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00123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00123">
        <w:rPr>
          <w:b/>
          <w:sz w:val="36"/>
          <w:szCs w:val="36"/>
          <w:lang w:val="nl-NL"/>
        </w:rPr>
        <w:t>A° 20</w:t>
      </w:r>
      <w:r w:rsidR="00C00533" w:rsidRPr="00000123">
        <w:rPr>
          <w:b/>
          <w:sz w:val="36"/>
          <w:szCs w:val="36"/>
          <w:lang w:val="nl-NL"/>
        </w:rPr>
        <w:t>1</w:t>
      </w:r>
      <w:r w:rsidRPr="00000123">
        <w:rPr>
          <w:b/>
          <w:sz w:val="36"/>
          <w:szCs w:val="36"/>
          <w:lang w:val="nl-NL"/>
        </w:rPr>
        <w:t>7</w:t>
      </w:r>
      <w:r w:rsidR="003D25AC" w:rsidRPr="00000123">
        <w:rPr>
          <w:sz w:val="36"/>
          <w:szCs w:val="36"/>
          <w:lang w:val="nl-NL"/>
        </w:rPr>
        <w:tab/>
      </w:r>
      <w:r w:rsidR="003D25AC" w:rsidRPr="00000123">
        <w:rPr>
          <w:b/>
          <w:sz w:val="36"/>
          <w:szCs w:val="36"/>
          <w:lang w:val="nl-NL"/>
        </w:rPr>
        <w:t xml:space="preserve">N° </w:t>
      </w:r>
      <w:r w:rsidR="00DC2FC9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5"/>
            </w:textInput>
          </w:ffData>
        </w:fldChar>
      </w:r>
      <w:bookmarkStart w:id="0" w:name="Text2"/>
      <w:r w:rsidR="00DC2FC9">
        <w:rPr>
          <w:b/>
          <w:sz w:val="36"/>
          <w:szCs w:val="36"/>
        </w:rPr>
        <w:instrText xml:space="preserve"> FORMTEXT </w:instrText>
      </w:r>
      <w:r w:rsidR="00DC2FC9">
        <w:rPr>
          <w:b/>
          <w:sz w:val="36"/>
          <w:szCs w:val="36"/>
        </w:rPr>
      </w:r>
      <w:r w:rsidR="00DC2FC9">
        <w:rPr>
          <w:b/>
          <w:sz w:val="36"/>
          <w:szCs w:val="36"/>
        </w:rPr>
        <w:fldChar w:fldCharType="separate"/>
      </w:r>
      <w:r w:rsidR="00DC2FC9">
        <w:rPr>
          <w:b/>
          <w:noProof/>
          <w:sz w:val="36"/>
          <w:szCs w:val="36"/>
        </w:rPr>
        <w:t>105</w:t>
      </w:r>
      <w:r w:rsidR="00DC2FC9">
        <w:rPr>
          <w:b/>
          <w:sz w:val="36"/>
          <w:szCs w:val="36"/>
        </w:rPr>
        <w:fldChar w:fldCharType="end"/>
      </w:r>
      <w:bookmarkEnd w:id="0"/>
    </w:p>
    <w:p w:rsidR="003D25AC" w:rsidRPr="0000012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0012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0012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00123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00123" w:rsidRDefault="003D25AC">
      <w:pPr>
        <w:pStyle w:val="Heading1"/>
        <w:rPr>
          <w:b w:val="0"/>
          <w:sz w:val="44"/>
          <w:lang w:val="nl-NL"/>
        </w:rPr>
      </w:pPr>
      <w:r w:rsidRPr="00000123">
        <w:rPr>
          <w:b w:val="0"/>
          <w:sz w:val="44"/>
          <w:lang w:val="nl-NL"/>
        </w:rPr>
        <w:t>PUBLICATIEBLAD</w:t>
      </w:r>
    </w:p>
    <w:p w:rsidR="003D25AC" w:rsidRPr="00000123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000123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000123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1A4761" w:rsidRPr="001A4761" w:rsidRDefault="00CA7F7A" w:rsidP="00D00328">
      <w:pPr>
        <w:jc w:val="both"/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>MINISTERIËLE REGELING MET ALGEMENE WERKING van de 27</w:t>
      </w:r>
      <w:r w:rsidRPr="00DC2FC9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december</w:t>
      </w:r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2017 tot </w:t>
      </w:r>
      <w:bookmarkStart w:id="1" w:name="_GoBack"/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wijziging van de Ministeriële regeling </w:t>
      </w:r>
      <w:proofErr w:type="spellStart"/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>teruglevertarieven</w:t>
      </w:r>
      <w:proofErr w:type="spellEnd"/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duurzaam opgewekte</w:t>
      </w:r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b/>
          <w:snapToGrid/>
          <w:sz w:val="22"/>
          <w:szCs w:val="22"/>
          <w:lang w:val="nl-NL"/>
        </w:rPr>
        <w:t>elektriciteit 2015</w:t>
      </w:r>
      <w:bookmarkEnd w:id="1"/>
      <w:r w:rsidR="001A4761" w:rsidRPr="001A4761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footnoteReference w:id="1"/>
      </w:r>
    </w:p>
    <w:p w:rsidR="001A4761" w:rsidRPr="001A4761" w:rsidRDefault="001A4761" w:rsidP="001A4761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1A4761">
        <w:rPr>
          <w:rFonts w:ascii="Palatino Linotype" w:hAnsi="Palatino Linotype"/>
          <w:b/>
          <w:snapToGrid/>
          <w:szCs w:val="24"/>
          <w:lang w:val="nl-NL"/>
        </w:rPr>
        <w:t>___________</w:t>
      </w:r>
    </w:p>
    <w:p w:rsidR="001A4761" w:rsidRPr="001A4761" w:rsidRDefault="001A4761" w:rsidP="001A4761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CA7F7A" w:rsidP="001A4761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 w:rsidR="001A4761" w:rsidRPr="001A4761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1A4761" w:rsidRPr="001A4761" w:rsidRDefault="001A4761" w:rsidP="001A4761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2A3CA5" w:rsidP="001A4761">
      <w:pPr>
        <w:widowControl/>
        <w:tabs>
          <w:tab w:val="left" w:pos="567"/>
        </w:tabs>
        <w:ind w:left="567" w:hanging="567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="001A4761" w:rsidRPr="001A4761">
        <w:rPr>
          <w:rFonts w:ascii="Palatino Linotype" w:hAnsi="Palatino Linotype"/>
          <w:snapToGrid/>
          <w:sz w:val="22"/>
          <w:szCs w:val="22"/>
          <w:lang w:val="nl-NL"/>
        </w:rPr>
        <w:t>Overwegende:</w:t>
      </w:r>
    </w:p>
    <w:p w:rsidR="001A4761" w:rsidRPr="001A4761" w:rsidRDefault="001A4761" w:rsidP="001A4761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dat </w:t>
      </w:r>
      <w:proofErr w:type="gram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krachtens</w:t>
      </w:r>
      <w:proofErr w:type="gram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artikel 2 van de Prijzenverordening 1961</w:t>
      </w:r>
      <w:r w:rsidR="00DC2FC9">
        <w:rPr>
          <w:rStyle w:val="FootnoteReference"/>
          <w:rFonts w:ascii="Palatino Linotype" w:hAnsi="Palatino Linotype"/>
          <w:snapToGrid/>
          <w:sz w:val="22"/>
          <w:szCs w:val="22"/>
          <w:lang w:val="nl-NL"/>
        </w:rPr>
        <w:footnoteReference w:id="2"/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de Minister bevoegd is prijzen van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goed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eren en diensten vast te stellen;</w:t>
      </w: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dat particuliere eindgebruikers en zakelijke eindgebruikers per facturatieperiode een vaste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vergoeding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opgesteld vermogen betalen aan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Distribution voor het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gebruik en het ter beschikking staan van het op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enbare elektriciteitsnet, de aansluiting op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het openbare elektriciteitsnet en het productievermogen;</w:t>
      </w: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dat bij het bepalen van de vaste vergoeding en het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teruglevertarief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één van de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uitgangspunten is dat er sprake dient te zijn van een redelijke terugverdienperiode met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betrekking tot de investering door particuliere eindgebruikers en zakelijke eindgebruikers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in PV-systemen;</w:t>
      </w: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dat de groei aan PV-systemen gedurende 2017 nagenoeg tot stil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stand is gekomen </w:t>
      </w:r>
      <w:proofErr w:type="gram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hetgeen</w:t>
      </w:r>
      <w:proofErr w:type="gram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mede heeft geleid tot een stijging van de aanschafprijzen van nieuwe PV-systemen op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Curaçao;</w:t>
      </w: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dat het ongewijzigd laten van de vaste vergoeding zal leiden tot een onwenselijk niveau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van de terugverdientijd van nieuwe PV-systemen;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da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t het daarom wenselijk is om de vaste vergoeding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opgesteld vermogen te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herzien, doch tevens rekening gehouden dient te worden met de financiële gevolgen voor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Distribution;</w:t>
      </w:r>
    </w:p>
    <w:p w:rsidR="00DC2FC9" w:rsidRDefault="00DC2FC9" w:rsidP="001A4761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1A4761" w:rsidP="001A4761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proofErr w:type="gramStart"/>
      <w:r w:rsidRPr="001A4761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  <w:proofErr w:type="gramEnd"/>
    </w:p>
    <w:p w:rsidR="001A4761" w:rsidRPr="001A4761" w:rsidRDefault="001A4761" w:rsidP="001A4761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Artikel I</w:t>
      </w: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In artikel 2, eerste lid, van de Minist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eriële regeling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teruglevertarieven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duurzaam opgewekte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elektriciteit 2015 wordt de zinsnede </w:t>
      </w:r>
      <w:r>
        <w:rPr>
          <w:rFonts w:ascii="Palatino Linotype" w:hAnsi="Palatino Linotype"/>
          <w:snapToGrid/>
          <w:sz w:val="22"/>
          <w:szCs w:val="22"/>
          <w:lang w:val="nl-NL"/>
        </w:rPr>
        <w:t>‘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een vaste vergoeding van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NAf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16,00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opgesteld PV-vermogen</w:t>
      </w:r>
      <w:r>
        <w:rPr>
          <w:rFonts w:ascii="Palatino Linotype" w:hAnsi="Palatino Linotype"/>
          <w:snapToGrid/>
          <w:sz w:val="22"/>
          <w:szCs w:val="22"/>
          <w:lang w:val="nl-NL"/>
        </w:rPr>
        <w:t>’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vervangen door: een vaste vergoeding van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NAf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8,00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opgesteld PV-vermogen.</w:t>
      </w: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Default="00CA7F7A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Artikel 3, eerste lid, van de Ministeriële regeling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teruglevertarieven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duurzaam opgewekte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elektriciteit 2015 komt te luiden:</w:t>
      </w:r>
    </w:p>
    <w:p w:rsidR="00DC2FC9" w:rsidRPr="00DC2FC9" w:rsidRDefault="00DC2FC9" w:rsidP="00DC2FC9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1. Voor het gebruik en het ter beschikking staan van het openbare elektriciteitsnet, de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aansluiting op het openbare elektriciteitsnet en het productievermogen betaalt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</w:p>
    <w:p w:rsidR="000058C5" w:rsidRPr="00DC2FC9" w:rsidRDefault="00CA7F7A" w:rsidP="00DC2FC9">
      <w:pPr>
        <w:widowControl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a. </w:t>
      </w:r>
      <w:r w:rsidR="00DC2FC9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een zakelijke eindgebruiker die valt onder tarief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groep elektriciteit 2 als bedoeld in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de bijlage bij artikel 2 van de Prijzenbeschikking aan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Distribution per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facturatieperiode een vaste vergoeding van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NAf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16,00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opgesteld PV</w:t>
      </w:r>
      <w:r>
        <w:rPr>
          <w:rFonts w:ascii="Palatino Linotype" w:hAnsi="Palatino Linotype"/>
          <w:snapToGrid/>
          <w:sz w:val="22"/>
          <w:szCs w:val="22"/>
          <w:lang w:val="nl-NL"/>
        </w:rPr>
        <w:t>-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vermogen;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ten behoeve van de bepaling van de totale vergoeding wordt het totaal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van het opgesteld PV-vermogen afgerond op een decimaal;</w:t>
      </w:r>
    </w:p>
    <w:p w:rsidR="000058C5" w:rsidRPr="00DC2FC9" w:rsidRDefault="00CA7F7A" w:rsidP="00DC2FC9">
      <w:pPr>
        <w:widowControl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b. </w:t>
      </w:r>
      <w:r w:rsidR="00DC2FC9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een zakelijke eindgebruiker die valt onder tariefgroep elektriciteit 22 of 24 als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bedoeld in de bijlage bij artikel 2 van de Prijzenbeschikking aan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Distribution per facturatieperiode een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vaste vergoeding van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NAf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24,00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opgesteld PV-vermogen; ten behoeve van de bepaling van de totale vergoeding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wordt het totaal van het opgesteld PV-vermogen afgerond op een decimaal;</w:t>
      </w:r>
    </w:p>
    <w:p w:rsidR="000058C5" w:rsidRPr="00DC2FC9" w:rsidRDefault="00CA7F7A" w:rsidP="00DC2FC9">
      <w:pPr>
        <w:widowControl/>
        <w:tabs>
          <w:tab w:val="left" w:pos="284"/>
          <w:tab w:val="left" w:pos="567"/>
        </w:tabs>
        <w:ind w:left="567" w:hanging="283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c. </w:t>
      </w:r>
      <w:r w:rsidR="00DC2FC9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een zakelijke eindgebruiker die valt onder tariefgroep elektrici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teit 23 of 33 als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bedoeld in de bijlage bij artikel 2 van de Prijzenbeschikking aan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Aqualectra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Distribution per facturatieperiode een vaste vergoeding van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NAf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8,00 per </w:t>
      </w:r>
      <w:proofErr w:type="spellStart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>kWp</w:t>
      </w:r>
      <w:proofErr w:type="spellEnd"/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opgesteld PV-vermogen; ten behoeve van de bepaling van de totale vergoeding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wordt he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t totaal van het opgesteld PV-vermogen afgerond op een decimaal.</w:t>
      </w: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Artikel III</w:t>
      </w: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0058C5" w:rsidRPr="00DC2FC9" w:rsidRDefault="00CA7F7A" w:rsidP="00DC2FC9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DC2FC9">
        <w:rPr>
          <w:rFonts w:ascii="Palatino Linotype" w:hAnsi="Palatino Linotype"/>
          <w:snapToGrid/>
          <w:sz w:val="22"/>
          <w:szCs w:val="22"/>
          <w:lang w:val="nl-NL"/>
        </w:rPr>
        <w:t>Deze ministeriële regeling treedt in werking met ingang van 1 januari 2018.</w:t>
      </w:r>
      <w:r w:rsidRPr="00DC2FC9">
        <w:rPr>
          <w:rFonts w:ascii="Palatino Linotype" w:hAnsi="Palatino Linotype"/>
          <w:snapToGrid/>
          <w:sz w:val="22"/>
          <w:szCs w:val="22"/>
          <w:lang w:val="nl-NL"/>
        </w:rPr>
        <w:t xml:space="preserve"> </w:t>
      </w:r>
    </w:p>
    <w:p w:rsidR="001A4761" w:rsidRPr="001A4761" w:rsidRDefault="001A4761" w:rsidP="001A4761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1A4761" w:rsidP="001A4761">
      <w:pPr>
        <w:widowControl/>
        <w:ind w:left="270" w:hanging="270"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1A4761" w:rsidP="001A4761">
      <w:pPr>
        <w:widowControl/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1A4761" w:rsidP="00CA7F7A">
      <w:pPr>
        <w:widowControl/>
        <w:ind w:left="5103" w:hanging="283"/>
        <w:rPr>
          <w:rFonts w:ascii="Palatino Linotype" w:hAnsi="Palatino Linotype"/>
          <w:snapToGrid/>
          <w:sz w:val="22"/>
          <w:szCs w:val="22"/>
          <w:lang w:val="nl-NL"/>
        </w:rPr>
      </w:pPr>
      <w:r w:rsidRPr="001A4761">
        <w:rPr>
          <w:rFonts w:ascii="Palatino Linotype" w:hAnsi="Palatino Linotype"/>
          <w:snapToGrid/>
          <w:sz w:val="22"/>
          <w:szCs w:val="22"/>
          <w:lang w:val="nl-NL"/>
        </w:rPr>
        <w:t xml:space="preserve">Gegeven te Willemstad, </w:t>
      </w:r>
      <w:r>
        <w:rPr>
          <w:rFonts w:ascii="Palatino Linotype" w:hAnsi="Palatino Linotype"/>
          <w:snapToGrid/>
          <w:sz w:val="22"/>
          <w:szCs w:val="22"/>
          <w:lang w:val="nl-NL"/>
        </w:rPr>
        <w:t>27 december 2017</w:t>
      </w:r>
    </w:p>
    <w:p w:rsidR="00CA7F7A" w:rsidRDefault="00CA7F7A" w:rsidP="00CA7F7A">
      <w:pPr>
        <w:widowControl/>
        <w:ind w:left="3600" w:firstLine="1220"/>
        <w:rPr>
          <w:rFonts w:ascii="Palatino Linotype" w:hAnsi="Palatino Linotype"/>
          <w:snapToGrid/>
          <w:sz w:val="22"/>
          <w:szCs w:val="22"/>
          <w:lang w:val="nl-NL"/>
        </w:rPr>
      </w:pPr>
      <w:r w:rsidRPr="00754F63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CA7F7A" w:rsidRPr="00754F63" w:rsidRDefault="00CA7F7A" w:rsidP="00CA7F7A">
      <w:pPr>
        <w:widowControl/>
        <w:ind w:left="3600" w:firstLine="720"/>
        <w:rPr>
          <w:rFonts w:ascii="Palatino Linotype" w:hAnsi="Palatino Linotype"/>
          <w:strike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ab/>
      </w: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         </w:t>
      </w:r>
      <w:r>
        <w:rPr>
          <w:rFonts w:ascii="Palatino Linotype" w:hAnsi="Palatino Linotype"/>
          <w:snapToGrid/>
          <w:sz w:val="22"/>
          <w:szCs w:val="22"/>
          <w:lang w:val="nl-NL"/>
        </w:rPr>
        <w:t>I.S. MARTINA</w:t>
      </w:r>
    </w:p>
    <w:p w:rsidR="001A4761" w:rsidRPr="001A4761" w:rsidRDefault="001A4761" w:rsidP="001A4761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1A4761" w:rsidP="001A4761">
      <w:pPr>
        <w:widowControl/>
        <w:ind w:left="5103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1A4761" w:rsidRPr="001A4761" w:rsidRDefault="00000123" w:rsidP="00CA7F7A">
      <w:pPr>
        <w:widowControl/>
        <w:ind w:left="4820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 xml:space="preserve">Uitgegeven de </w:t>
      </w:r>
      <w:r w:rsidR="001A4761">
        <w:rPr>
          <w:rFonts w:ascii="Palatino Linotype" w:hAnsi="Palatino Linotype"/>
          <w:snapToGrid/>
          <w:sz w:val="22"/>
          <w:szCs w:val="22"/>
          <w:lang w:val="nl-NL"/>
        </w:rPr>
        <w:t>2</w:t>
      </w:r>
      <w:r w:rsidR="00CA7F7A">
        <w:rPr>
          <w:rFonts w:ascii="Palatino Linotype" w:hAnsi="Palatino Linotype"/>
          <w:snapToGrid/>
          <w:sz w:val="22"/>
          <w:szCs w:val="22"/>
          <w:lang w:val="nl-NL"/>
        </w:rPr>
        <w:t>9</w:t>
      </w:r>
      <w:r w:rsidR="001E7718" w:rsidRPr="001A4761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="001A4761">
        <w:rPr>
          <w:rFonts w:ascii="Palatino Linotype" w:hAnsi="Palatino Linotype"/>
          <w:snapToGrid/>
          <w:sz w:val="22"/>
          <w:szCs w:val="22"/>
          <w:lang w:val="nl-NL"/>
        </w:rPr>
        <w:t xml:space="preserve"> december 2017</w:t>
      </w:r>
    </w:p>
    <w:p w:rsidR="001A4761" w:rsidRPr="001A4761" w:rsidRDefault="001A4761" w:rsidP="00CA7F7A">
      <w:pPr>
        <w:widowControl/>
        <w:ind w:left="4820"/>
        <w:rPr>
          <w:rFonts w:ascii="Palatino Linotype" w:hAnsi="Palatino Linotype"/>
          <w:snapToGrid/>
          <w:sz w:val="22"/>
          <w:szCs w:val="22"/>
          <w:lang w:val="nl-NL"/>
        </w:rPr>
      </w:pPr>
      <w:r w:rsidRPr="001A4761">
        <w:rPr>
          <w:rFonts w:ascii="Palatino Linotype" w:hAnsi="Palatino Linotype"/>
          <w:snapToGrid/>
          <w:sz w:val="22"/>
          <w:szCs w:val="22"/>
          <w:lang w:val="nl-NL"/>
        </w:rPr>
        <w:t>De Minister van Algemene Zaken</w:t>
      </w:r>
      <w:r w:rsidR="002A3CA5">
        <w:rPr>
          <w:rFonts w:ascii="Palatino Linotype" w:hAnsi="Palatino Linotype"/>
          <w:snapToGrid/>
          <w:sz w:val="22"/>
          <w:szCs w:val="22"/>
          <w:lang w:val="nl-NL"/>
        </w:rPr>
        <w:t xml:space="preserve"> a.i.</w:t>
      </w:r>
      <w:r w:rsidRPr="001A4761">
        <w:rPr>
          <w:rFonts w:ascii="Palatino Linotype" w:hAnsi="Palatino Linotype"/>
          <w:snapToGrid/>
          <w:sz w:val="22"/>
          <w:szCs w:val="22"/>
          <w:lang w:val="nl-NL"/>
        </w:rPr>
        <w:t xml:space="preserve">, </w:t>
      </w:r>
    </w:p>
    <w:p w:rsidR="001A4761" w:rsidRPr="001A4761" w:rsidRDefault="002A3CA5" w:rsidP="00CA7F7A">
      <w:pPr>
        <w:widowControl/>
        <w:tabs>
          <w:tab w:val="left" w:pos="5387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ab/>
        <w:t>M.M. ALCALA WALLÉ</w:t>
      </w:r>
    </w:p>
    <w:sectPr w:rsidR="001A4761" w:rsidRPr="001A4761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4761" w:rsidRDefault="001A4761">
      <w:pPr>
        <w:spacing w:line="20" w:lineRule="exact"/>
      </w:pPr>
    </w:p>
  </w:endnote>
  <w:endnote w:type="continuationSeparator" w:id="0">
    <w:p w:rsidR="001A4761" w:rsidRDefault="001A4761">
      <w:r>
        <w:t xml:space="preserve"> </w:t>
      </w:r>
    </w:p>
  </w:endnote>
  <w:endnote w:type="continuationNotice" w:id="1">
    <w:p w:rsidR="001A4761" w:rsidRDefault="001A476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4761" w:rsidRDefault="001A4761">
      <w:r>
        <w:separator/>
      </w:r>
    </w:p>
  </w:footnote>
  <w:footnote w:type="continuationSeparator" w:id="0">
    <w:p w:rsidR="001A4761" w:rsidRDefault="001A4761">
      <w:r>
        <w:continuationSeparator/>
      </w:r>
    </w:p>
  </w:footnote>
  <w:footnote w:id="1">
    <w:p w:rsidR="001A4761" w:rsidRPr="00DC2FC9" w:rsidRDefault="001A4761" w:rsidP="001A4761">
      <w:pPr>
        <w:pStyle w:val="FootnoteText"/>
        <w:rPr>
          <w:rFonts w:ascii="Palatino Linotype" w:hAnsi="Palatino Linotype"/>
          <w:sz w:val="18"/>
          <w:szCs w:val="18"/>
          <w:lang w:val="nl-NL"/>
        </w:rPr>
      </w:pPr>
      <w:r w:rsidRPr="00DC2FC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DC2FC9">
        <w:rPr>
          <w:rFonts w:ascii="Palatino Linotype" w:hAnsi="Palatino Linotype"/>
          <w:sz w:val="18"/>
          <w:szCs w:val="18"/>
          <w:lang w:val="nl-NL"/>
        </w:rPr>
        <w:t xml:space="preserve"> </w:t>
      </w:r>
      <w:r w:rsidR="00DC2FC9" w:rsidRPr="00DC2FC9">
        <w:rPr>
          <w:rFonts w:ascii="Palatino Linotype" w:hAnsi="Palatino Linotype"/>
          <w:sz w:val="18"/>
          <w:szCs w:val="18"/>
          <w:lang w:val="nl-NL"/>
        </w:rPr>
        <w:t>P.B. 2014, no. 100, zoals gewijzigd.</w:t>
      </w:r>
    </w:p>
  </w:footnote>
  <w:footnote w:id="2">
    <w:p w:rsidR="00DC2FC9" w:rsidRPr="00DC2FC9" w:rsidRDefault="00DC2FC9">
      <w:pPr>
        <w:pStyle w:val="FootnoteText"/>
        <w:rPr>
          <w:rFonts w:ascii="Palatino Linotype" w:hAnsi="Palatino Linotype"/>
          <w:sz w:val="18"/>
          <w:szCs w:val="18"/>
        </w:rPr>
      </w:pPr>
      <w:r w:rsidRPr="00DC2FC9">
        <w:rPr>
          <w:rStyle w:val="FootnoteReference"/>
          <w:rFonts w:ascii="Palatino Linotype" w:hAnsi="Palatino Linotype"/>
          <w:sz w:val="18"/>
          <w:szCs w:val="18"/>
        </w:rPr>
        <w:footnoteRef/>
      </w:r>
      <w:r w:rsidRPr="00DC2FC9">
        <w:rPr>
          <w:rFonts w:ascii="Palatino Linotype" w:hAnsi="Palatino Linotype"/>
          <w:sz w:val="18"/>
          <w:szCs w:val="18"/>
        </w:rPr>
        <w:t xml:space="preserve"> </w:t>
      </w:r>
      <w:r w:rsidRPr="00DC2FC9">
        <w:rPr>
          <w:rFonts w:ascii="Palatino Linotype" w:hAnsi="Palatino Linotype"/>
          <w:sz w:val="18"/>
          <w:szCs w:val="18"/>
          <w:lang w:val="nl-NL"/>
        </w:rPr>
        <w:t>P.B. 1961, no. 117</w:t>
      </w:r>
      <w:r>
        <w:rPr>
          <w:rFonts w:ascii="Palatino Linotype" w:hAnsi="Palatino Linotype"/>
          <w:sz w:val="18"/>
          <w:szCs w:val="18"/>
          <w:lang w:val="nl-N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A7F7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A7F7A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DC2FC9">
      <w:rPr>
        <w:rFonts w:ascii="Times New Roman" w:hAnsi="Times New Roman"/>
        <w:b/>
        <w:spacing w:val="-4"/>
        <w:sz w:val="36"/>
      </w:rPr>
      <w:t>105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CA7F7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CA7F7A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</w:t>
    </w:r>
    <w:r w:rsidR="001A4761">
      <w:rPr>
        <w:rFonts w:ascii="Times New Roman" w:hAnsi="Times New Roman"/>
        <w:b/>
        <w:spacing w:val="-4"/>
        <w:sz w:val="36"/>
      </w:rPr>
      <w:t>0</w:t>
    </w:r>
    <w:r w:rsidR="005D0989">
      <w:rPr>
        <w:rFonts w:ascii="Times New Roman" w:hAnsi="Times New Roman"/>
        <w:b/>
        <w:spacing w:val="-4"/>
        <w:sz w:val="36"/>
      </w:rPr>
      <w:t>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A052F"/>
    <w:multiLevelType w:val="hybridMultilevel"/>
    <w:tmpl w:val="D0587A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C24B4D"/>
    <w:multiLevelType w:val="hybridMultilevel"/>
    <w:tmpl w:val="9D345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761"/>
    <w:rsid w:val="00000123"/>
    <w:rsid w:val="0001282E"/>
    <w:rsid w:val="00023DB3"/>
    <w:rsid w:val="000254C1"/>
    <w:rsid w:val="000829F9"/>
    <w:rsid w:val="000A0DBD"/>
    <w:rsid w:val="000F1863"/>
    <w:rsid w:val="0014186C"/>
    <w:rsid w:val="00173FBA"/>
    <w:rsid w:val="001A4761"/>
    <w:rsid w:val="001A7D22"/>
    <w:rsid w:val="001C27B0"/>
    <w:rsid w:val="001C384D"/>
    <w:rsid w:val="001E7718"/>
    <w:rsid w:val="00213227"/>
    <w:rsid w:val="00282C3F"/>
    <w:rsid w:val="002A3CA5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156C6"/>
    <w:rsid w:val="005454F9"/>
    <w:rsid w:val="00593143"/>
    <w:rsid w:val="005B7EA9"/>
    <w:rsid w:val="005D0989"/>
    <w:rsid w:val="006147F1"/>
    <w:rsid w:val="006169E6"/>
    <w:rsid w:val="006725E6"/>
    <w:rsid w:val="006C19FE"/>
    <w:rsid w:val="00781AD6"/>
    <w:rsid w:val="00787464"/>
    <w:rsid w:val="007A6572"/>
    <w:rsid w:val="007C7D7D"/>
    <w:rsid w:val="007D4D73"/>
    <w:rsid w:val="00831996"/>
    <w:rsid w:val="00853D6F"/>
    <w:rsid w:val="00862E7C"/>
    <w:rsid w:val="00870E7E"/>
    <w:rsid w:val="008A1329"/>
    <w:rsid w:val="008B0FBF"/>
    <w:rsid w:val="008C60C3"/>
    <w:rsid w:val="008D67E9"/>
    <w:rsid w:val="008F676F"/>
    <w:rsid w:val="00907ECE"/>
    <w:rsid w:val="00910EBB"/>
    <w:rsid w:val="00957572"/>
    <w:rsid w:val="009E45FD"/>
    <w:rsid w:val="00A0173D"/>
    <w:rsid w:val="00AA53B3"/>
    <w:rsid w:val="00AC5F65"/>
    <w:rsid w:val="00B14BB9"/>
    <w:rsid w:val="00B21B99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A7F7A"/>
    <w:rsid w:val="00CC6CA3"/>
    <w:rsid w:val="00CE18CE"/>
    <w:rsid w:val="00CE5C4F"/>
    <w:rsid w:val="00D00328"/>
    <w:rsid w:val="00D03A15"/>
    <w:rsid w:val="00D50DA5"/>
    <w:rsid w:val="00D67282"/>
    <w:rsid w:val="00D95F17"/>
    <w:rsid w:val="00DC2FC9"/>
    <w:rsid w:val="00DC4B4C"/>
    <w:rsid w:val="00E42D6B"/>
    <w:rsid w:val="00E71B09"/>
    <w:rsid w:val="00EB4F49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39CDD365-AC4D-4F82-89B4-572805B6B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table" w:styleId="TableGrid">
    <w:name w:val="Table Grid"/>
    <w:basedOn w:val="TableNormal"/>
    <w:rsid w:val="001A47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907E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07ECE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%20-%20Copy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F69D1F-4C35-48A1-BC5C-B2EB25EE4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 - Copy (2)</Template>
  <TotalTime>1</TotalTime>
  <Pages>2</Pages>
  <Words>505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3595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Djurick Comenentia</cp:lastModifiedBy>
  <cp:revision>2</cp:revision>
  <cp:lastPrinted>2017-12-28T20:00:00Z</cp:lastPrinted>
  <dcterms:created xsi:type="dcterms:W3CDTF">2017-12-28T20:20:00Z</dcterms:created>
  <dcterms:modified xsi:type="dcterms:W3CDTF">2017-12-28T20:20:00Z</dcterms:modified>
</cp:coreProperties>
</file>