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064039">
        <w:rPr>
          <w:b/>
          <w:sz w:val="36"/>
          <w:szCs w:val="36"/>
        </w:rPr>
        <w:t>8</w:t>
      </w:r>
      <w:r w:rsidR="003D25AC" w:rsidRPr="00B920FE">
        <w:rPr>
          <w:sz w:val="36"/>
          <w:szCs w:val="36"/>
        </w:rPr>
        <w:tab/>
      </w:r>
      <w:r w:rsidR="003D25AC" w:rsidRPr="00B920FE">
        <w:rPr>
          <w:b/>
          <w:sz w:val="36"/>
          <w:szCs w:val="36"/>
        </w:rPr>
        <w:t xml:space="preserve">N° </w:t>
      </w:r>
      <w:r w:rsidR="00410D02">
        <w:rPr>
          <w:b/>
          <w:sz w:val="36"/>
          <w:szCs w:val="36"/>
        </w:rPr>
        <w:fldChar w:fldCharType="begin">
          <w:ffData>
            <w:name w:val="Text2"/>
            <w:enabled/>
            <w:calcOnExit w:val="0"/>
            <w:textInput>
              <w:default w:val="16"/>
            </w:textInput>
          </w:ffData>
        </w:fldChar>
      </w:r>
      <w:bookmarkStart w:id="0" w:name="Text2"/>
      <w:r w:rsidR="00410D02">
        <w:rPr>
          <w:b/>
          <w:sz w:val="36"/>
          <w:szCs w:val="36"/>
        </w:rPr>
        <w:instrText xml:space="preserve"> FORMTEXT </w:instrText>
      </w:r>
      <w:r w:rsidR="00410D02">
        <w:rPr>
          <w:b/>
          <w:sz w:val="36"/>
          <w:szCs w:val="36"/>
        </w:rPr>
      </w:r>
      <w:r w:rsidR="00410D02">
        <w:rPr>
          <w:b/>
          <w:sz w:val="36"/>
          <w:szCs w:val="36"/>
        </w:rPr>
        <w:fldChar w:fldCharType="separate"/>
      </w:r>
      <w:r w:rsidR="00410D02">
        <w:rPr>
          <w:b/>
          <w:noProof/>
          <w:sz w:val="36"/>
          <w:szCs w:val="36"/>
        </w:rPr>
        <w:t>16</w:t>
      </w:r>
      <w:r w:rsidR="00410D02">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410D02" w:rsidRDefault="008014E9" w:rsidP="00410D02">
      <w:pPr>
        <w:widowControl/>
        <w:rPr>
          <w:rFonts w:ascii="Palatino Linotype" w:eastAsia="MS Mincho" w:hAnsi="Palatino Linotype"/>
          <w:b/>
          <w:bCs/>
          <w:snapToGrid/>
          <w:color w:val="222324"/>
          <w:szCs w:val="24"/>
          <w:lang w:val="nl-NL" w:eastAsia="nl-NL"/>
        </w:rPr>
      </w:pPr>
      <w:r w:rsidRPr="008014E9">
        <w:rPr>
          <w:rFonts w:ascii="Palatino Linotype" w:eastAsia="MS Mincho" w:hAnsi="Palatino Linotype"/>
          <w:b/>
          <w:snapToGrid/>
          <w:szCs w:val="24"/>
          <w:lang w:val="nl-NL" w:eastAsia="nl-NL"/>
        </w:rPr>
        <w:t>MINISTERIËLE BESCHIKKING</w:t>
      </w:r>
      <w:r w:rsidRPr="00410D02">
        <w:rPr>
          <w:rFonts w:ascii="Palatino Linotype" w:eastAsia="MS Mincho" w:hAnsi="Palatino Linotype"/>
          <w:b/>
          <w:snapToGrid/>
          <w:szCs w:val="24"/>
          <w:lang w:val="nl-NL" w:eastAsia="nl-NL"/>
        </w:rPr>
        <w:t xml:space="preserve"> </w:t>
      </w:r>
      <w:r w:rsidRPr="00410D02">
        <w:rPr>
          <w:rFonts w:ascii="Palatino Linotype" w:eastAsia="MS Mincho" w:hAnsi="Palatino Linotype"/>
          <w:b/>
          <w:bCs/>
          <w:snapToGrid/>
          <w:color w:val="222324"/>
          <w:szCs w:val="24"/>
          <w:lang w:val="nl-NL" w:eastAsia="nl-NL"/>
        </w:rPr>
        <w:t>van de 7</w:t>
      </w:r>
      <w:r w:rsidRPr="00410D02">
        <w:rPr>
          <w:rFonts w:ascii="Palatino Linotype" w:eastAsia="MS Mincho" w:hAnsi="Palatino Linotype"/>
          <w:b/>
          <w:bCs/>
          <w:snapToGrid/>
          <w:color w:val="222324"/>
          <w:szCs w:val="24"/>
          <w:vertAlign w:val="superscript"/>
          <w:lang w:val="nl-NL" w:eastAsia="nl-NL"/>
        </w:rPr>
        <w:t>de</w:t>
      </w:r>
      <w:r w:rsidRPr="00410D02">
        <w:rPr>
          <w:rFonts w:ascii="Palatino Linotype" w:eastAsia="MS Mincho" w:hAnsi="Palatino Linotype"/>
          <w:b/>
          <w:bCs/>
          <w:snapToGrid/>
          <w:color w:val="222324"/>
          <w:szCs w:val="24"/>
          <w:lang w:val="nl-NL" w:eastAsia="nl-NL"/>
        </w:rPr>
        <w:t xml:space="preserve"> maart 2018 (Ministeriële beschikking rulingpraktijk)</w:t>
      </w:r>
    </w:p>
    <w:p w:rsidR="000269A6" w:rsidRDefault="000269A6" w:rsidP="00410D02">
      <w:pPr>
        <w:widowControl/>
        <w:rPr>
          <w:rFonts w:ascii="Palatino Linotype" w:eastAsia="MS Mincho" w:hAnsi="Palatino Linotype"/>
          <w:b/>
          <w:bCs/>
          <w:snapToGrid/>
          <w:color w:val="222324"/>
          <w:szCs w:val="24"/>
          <w:lang w:val="nl-NL" w:eastAsia="nl-NL"/>
        </w:rPr>
      </w:pPr>
    </w:p>
    <w:p w:rsidR="00410D02" w:rsidRPr="008014E9" w:rsidRDefault="00410D02" w:rsidP="00410D02">
      <w:pPr>
        <w:widowControl/>
        <w:jc w:val="center"/>
        <w:rPr>
          <w:rFonts w:ascii="Palatino Linotype" w:eastAsia="MS Mincho" w:hAnsi="Palatino Linotype"/>
          <w:b/>
          <w:bCs/>
          <w:caps/>
          <w:snapToGrid/>
          <w:color w:val="222324"/>
          <w:sz w:val="22"/>
          <w:szCs w:val="22"/>
          <w:lang w:val="nl-NL" w:eastAsia="nl-NL"/>
        </w:rPr>
      </w:pPr>
      <w:r>
        <w:rPr>
          <w:rFonts w:ascii="Palatino Linotype" w:eastAsia="MS Mincho" w:hAnsi="Palatino Linotype"/>
          <w:b/>
          <w:bCs/>
          <w:caps/>
          <w:snapToGrid/>
          <w:color w:val="222324"/>
          <w:sz w:val="22"/>
          <w:szCs w:val="22"/>
          <w:lang w:val="nl-NL" w:eastAsia="nl-NL"/>
        </w:rPr>
        <w:t>____________</w:t>
      </w:r>
    </w:p>
    <w:p w:rsidR="00410D02" w:rsidRDefault="00410D02" w:rsidP="008014E9">
      <w:pPr>
        <w:widowControl/>
        <w:jc w:val="center"/>
        <w:rPr>
          <w:rFonts w:ascii="Palatino Linotype" w:eastAsia="MS Mincho" w:hAnsi="Palatino Linotype"/>
          <w:bCs/>
          <w:caps/>
          <w:snapToGrid/>
          <w:color w:val="222324"/>
          <w:szCs w:val="24"/>
          <w:lang w:val="nl-NL" w:eastAsia="nl-NL"/>
        </w:rPr>
      </w:pPr>
    </w:p>
    <w:p w:rsidR="008014E9" w:rsidRPr="008014E9" w:rsidRDefault="008014E9" w:rsidP="008014E9">
      <w:pPr>
        <w:widowControl/>
        <w:jc w:val="center"/>
        <w:rPr>
          <w:rFonts w:ascii="Palatino Linotype" w:eastAsia="MS Mincho" w:hAnsi="Palatino Linotype"/>
          <w:bCs/>
          <w:snapToGrid/>
          <w:color w:val="222324"/>
          <w:szCs w:val="24"/>
          <w:lang w:val="nl-NL" w:eastAsia="nl-NL"/>
        </w:rPr>
      </w:pPr>
      <w:r w:rsidRPr="008014E9">
        <w:rPr>
          <w:rFonts w:ascii="Palatino Linotype" w:eastAsia="MS Mincho" w:hAnsi="Palatino Linotype"/>
          <w:bCs/>
          <w:caps/>
          <w:snapToGrid/>
          <w:color w:val="222324"/>
          <w:szCs w:val="24"/>
          <w:lang w:val="nl-NL" w:eastAsia="nl-NL"/>
        </w:rPr>
        <w:t>D</w:t>
      </w:r>
      <w:r w:rsidRPr="008014E9">
        <w:rPr>
          <w:rFonts w:ascii="Palatino Linotype" w:eastAsia="MS Mincho" w:hAnsi="Palatino Linotype"/>
          <w:bCs/>
          <w:snapToGrid/>
          <w:color w:val="222324"/>
          <w:szCs w:val="24"/>
          <w:lang w:val="nl-NL" w:eastAsia="nl-NL"/>
        </w:rPr>
        <w:t>e</w:t>
      </w:r>
      <w:r w:rsidRPr="008014E9">
        <w:rPr>
          <w:rFonts w:ascii="Palatino Linotype" w:eastAsia="MS Mincho" w:hAnsi="Palatino Linotype"/>
          <w:bCs/>
          <w:caps/>
          <w:snapToGrid/>
          <w:color w:val="222324"/>
          <w:szCs w:val="24"/>
          <w:lang w:val="nl-NL" w:eastAsia="nl-NL"/>
        </w:rPr>
        <w:t xml:space="preserve">  M</w:t>
      </w:r>
      <w:r w:rsidRPr="008014E9">
        <w:rPr>
          <w:rFonts w:ascii="Palatino Linotype" w:eastAsia="MS Mincho" w:hAnsi="Palatino Linotype"/>
          <w:bCs/>
          <w:snapToGrid/>
          <w:color w:val="222324"/>
          <w:szCs w:val="24"/>
          <w:lang w:val="nl-NL" w:eastAsia="nl-NL"/>
        </w:rPr>
        <w:t xml:space="preserve">inister </w:t>
      </w:r>
      <w:r w:rsidRPr="008014E9">
        <w:rPr>
          <w:rFonts w:ascii="Palatino Linotype" w:eastAsia="MS Mincho" w:hAnsi="Palatino Linotype"/>
          <w:bCs/>
          <w:caps/>
          <w:snapToGrid/>
          <w:color w:val="222324"/>
          <w:szCs w:val="24"/>
          <w:lang w:val="nl-NL" w:eastAsia="nl-NL"/>
        </w:rPr>
        <w:t xml:space="preserve"> </w:t>
      </w:r>
      <w:r w:rsidRPr="008014E9">
        <w:rPr>
          <w:rFonts w:ascii="Palatino Linotype" w:eastAsia="MS Mincho" w:hAnsi="Palatino Linotype"/>
          <w:bCs/>
          <w:snapToGrid/>
          <w:color w:val="222324"/>
          <w:szCs w:val="24"/>
          <w:lang w:val="nl-NL" w:eastAsia="nl-NL"/>
        </w:rPr>
        <w:t xml:space="preserve">van </w:t>
      </w:r>
      <w:r w:rsidRPr="008014E9">
        <w:rPr>
          <w:rFonts w:ascii="Palatino Linotype" w:eastAsia="MS Mincho" w:hAnsi="Palatino Linotype"/>
          <w:bCs/>
          <w:caps/>
          <w:snapToGrid/>
          <w:color w:val="222324"/>
          <w:szCs w:val="24"/>
          <w:lang w:val="nl-NL" w:eastAsia="nl-NL"/>
        </w:rPr>
        <w:t xml:space="preserve"> </w:t>
      </w:r>
      <w:r w:rsidRPr="008014E9">
        <w:rPr>
          <w:rFonts w:ascii="Palatino Linotype" w:eastAsia="MS Mincho" w:hAnsi="Palatino Linotype"/>
          <w:bCs/>
          <w:snapToGrid/>
          <w:color w:val="222324"/>
          <w:szCs w:val="24"/>
          <w:lang w:val="nl-NL" w:eastAsia="nl-NL"/>
        </w:rPr>
        <w:t>Financiën</w:t>
      </w:r>
      <w:r w:rsidR="00C0141B">
        <w:rPr>
          <w:rFonts w:ascii="Palatino Linotype" w:eastAsia="MS Mincho" w:hAnsi="Palatino Linotype"/>
          <w:bCs/>
          <w:snapToGrid/>
          <w:color w:val="222324"/>
          <w:szCs w:val="24"/>
          <w:lang w:val="nl-NL" w:eastAsia="nl-NL"/>
        </w:rPr>
        <w:t>,</w:t>
      </w:r>
    </w:p>
    <w:p w:rsidR="008014E9" w:rsidRPr="008014E9" w:rsidRDefault="008014E9" w:rsidP="008014E9">
      <w:pPr>
        <w:widowControl/>
        <w:tabs>
          <w:tab w:val="left" w:pos="567"/>
        </w:tabs>
        <w:rPr>
          <w:rFonts w:ascii="Palatino Linotype" w:eastAsia="MS Mincho" w:hAnsi="Palatino Linotype"/>
          <w:snapToGrid/>
          <w:sz w:val="22"/>
          <w:szCs w:val="22"/>
          <w:lang w:val="nl-NL" w:eastAsia="nl-NL"/>
        </w:rPr>
      </w:pPr>
    </w:p>
    <w:p w:rsidR="008014E9" w:rsidRPr="008014E9" w:rsidRDefault="008014E9" w:rsidP="008014E9">
      <w:pPr>
        <w:widowControl/>
        <w:tabs>
          <w:tab w:val="left" w:pos="567"/>
        </w:tabs>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Gelezen:</w:t>
      </w:r>
    </w:p>
    <w:p w:rsidR="008014E9" w:rsidRPr="008014E9" w:rsidRDefault="008014E9" w:rsidP="008014E9">
      <w:pPr>
        <w:widowControl/>
        <w:tabs>
          <w:tab w:val="left" w:pos="567"/>
        </w:tabs>
        <w:rPr>
          <w:rFonts w:ascii="Palatino Linotype" w:eastAsia="MS Mincho" w:hAnsi="Palatino Linotype"/>
          <w:snapToGrid/>
          <w:sz w:val="22"/>
          <w:szCs w:val="22"/>
          <w:lang w:val="nl-NL" w:eastAsia="nl-NL"/>
        </w:rPr>
      </w:pPr>
    </w:p>
    <w:p w:rsidR="008014E9" w:rsidRPr="008014E9" w:rsidRDefault="008014E9" w:rsidP="008014E9">
      <w:pPr>
        <w:widowControl/>
        <w:jc w:val="both"/>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brief van de Secretaris-generaal van het Ministerie van Financiën, d.d. 13 november 2017, zaaknummer 2017/043495;</w:t>
      </w:r>
    </w:p>
    <w:p w:rsidR="008014E9" w:rsidRDefault="008014E9" w:rsidP="008014E9">
      <w:pPr>
        <w:widowControl/>
        <w:rPr>
          <w:rFonts w:ascii="Palatino Linotype" w:eastAsia="MS Mincho" w:hAnsi="Palatino Linotype"/>
          <w:snapToGrid/>
          <w:sz w:val="22"/>
          <w:szCs w:val="22"/>
          <w:lang w:val="nl-NL" w:eastAsia="nl-NL"/>
        </w:rPr>
      </w:pPr>
    </w:p>
    <w:p w:rsidR="000269A6" w:rsidRPr="008014E9" w:rsidRDefault="000269A6"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Overwegende:</w:t>
      </w:r>
    </w:p>
    <w:p w:rsidR="008014E9" w:rsidRPr="008014E9" w:rsidRDefault="008014E9" w:rsidP="008014E9">
      <w:pPr>
        <w:widowControl/>
        <w:tabs>
          <w:tab w:val="left" w:pos="567"/>
        </w:tabs>
        <w:rPr>
          <w:rFonts w:ascii="Palatino Linotype" w:eastAsia="MS Mincho" w:hAnsi="Palatino Linotype"/>
          <w:snapToGrid/>
          <w:sz w:val="22"/>
          <w:szCs w:val="22"/>
          <w:lang w:val="nl-NL" w:eastAsia="nl-NL"/>
        </w:rPr>
      </w:pPr>
    </w:p>
    <w:p w:rsidR="008014E9" w:rsidRPr="008014E9" w:rsidRDefault="008014E9" w:rsidP="008014E9">
      <w:pPr>
        <w:widowControl/>
        <w:jc w:val="both"/>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dat in het kader van de internationale verplichtingen van het Land het wenselijk is nieuwe kaders vast te stellen om te bewerkstelligen dat de rulingpraktijk efficiënter alsmede effectiever kan functioneren;</w:t>
      </w:r>
    </w:p>
    <w:p w:rsidR="008014E9" w:rsidRDefault="008014E9" w:rsidP="008014E9">
      <w:pPr>
        <w:widowControl/>
        <w:jc w:val="both"/>
        <w:rPr>
          <w:rFonts w:ascii="Palatino Linotype" w:eastAsia="MS Mincho" w:hAnsi="Palatino Linotype"/>
          <w:snapToGrid/>
          <w:sz w:val="22"/>
          <w:szCs w:val="22"/>
          <w:lang w:val="nl-NL" w:eastAsia="nl-NL"/>
        </w:rPr>
      </w:pPr>
    </w:p>
    <w:p w:rsidR="000269A6" w:rsidRPr="008014E9" w:rsidRDefault="000269A6" w:rsidP="008014E9">
      <w:pPr>
        <w:widowControl/>
        <w:jc w:val="both"/>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Gezien:</w:t>
      </w:r>
    </w:p>
    <w:p w:rsidR="008014E9" w:rsidRPr="008014E9" w:rsidRDefault="008014E9" w:rsidP="008014E9">
      <w:pPr>
        <w:widowControl/>
        <w:tabs>
          <w:tab w:val="left" w:pos="567"/>
        </w:tabs>
        <w:rPr>
          <w:rFonts w:ascii="Palatino Linotype" w:eastAsia="MS Mincho" w:hAnsi="Palatino Linotype"/>
          <w:snapToGrid/>
          <w:sz w:val="22"/>
          <w:szCs w:val="22"/>
          <w:lang w:val="nl-NL" w:eastAsia="nl-NL"/>
        </w:rPr>
      </w:pPr>
    </w:p>
    <w:p w:rsidR="008014E9" w:rsidRPr="008014E9" w:rsidRDefault="008014E9" w:rsidP="008014E9">
      <w:pPr>
        <w:widowControl/>
        <w:jc w:val="both"/>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het advies van Wetgeving en Juridische Zaken, d.d. 5 februari 2018, WJZ 18/0038 zaaknummer 2017/043495;</w:t>
      </w:r>
    </w:p>
    <w:p w:rsidR="008014E9" w:rsidRDefault="008014E9" w:rsidP="008014E9">
      <w:pPr>
        <w:widowControl/>
        <w:rPr>
          <w:rFonts w:ascii="Palatino Linotype" w:eastAsia="MS Mincho" w:hAnsi="Palatino Linotype"/>
          <w:snapToGrid/>
          <w:sz w:val="22"/>
          <w:szCs w:val="22"/>
          <w:lang w:val="nl-NL" w:eastAsia="nl-NL"/>
        </w:rPr>
      </w:pPr>
    </w:p>
    <w:p w:rsidR="000269A6" w:rsidRPr="008014E9" w:rsidRDefault="000269A6"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jc w:val="center"/>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H e e f t  b e s l o t e n:</w:t>
      </w:r>
    </w:p>
    <w:p w:rsidR="008014E9" w:rsidRPr="008014E9" w:rsidRDefault="008014E9" w:rsidP="008014E9">
      <w:pPr>
        <w:widowControl/>
        <w:jc w:val="center"/>
        <w:rPr>
          <w:rFonts w:ascii="Palatino Linotype" w:eastAsia="MS Mincho" w:hAnsi="Palatino Linotype" w:cs="Arial"/>
          <w:snapToGrid/>
          <w:sz w:val="22"/>
          <w:szCs w:val="22"/>
          <w:lang w:val="nl-NL" w:eastAsia="nl-NL"/>
        </w:rPr>
      </w:pPr>
    </w:p>
    <w:p w:rsidR="008014E9" w:rsidRPr="008014E9" w:rsidRDefault="008014E9" w:rsidP="008014E9">
      <w:pPr>
        <w:widowControl/>
        <w:jc w:val="center"/>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Artikel 1</w:t>
      </w:r>
    </w:p>
    <w:p w:rsidR="008014E9" w:rsidRPr="008014E9" w:rsidRDefault="008014E9" w:rsidP="008014E9">
      <w:pPr>
        <w:widowControl/>
        <w:jc w:val="both"/>
        <w:rPr>
          <w:rFonts w:ascii="Palatino Linotype" w:eastAsia="MS Mincho" w:hAnsi="Palatino Linotype" w:cs="Arial"/>
          <w:snapToGrid/>
          <w:sz w:val="22"/>
          <w:szCs w:val="22"/>
          <w:lang w:val="nl-NL" w:eastAsia="nl-NL"/>
        </w:rPr>
      </w:pPr>
    </w:p>
    <w:p w:rsidR="008014E9" w:rsidRPr="008014E9" w:rsidRDefault="008014E9" w:rsidP="008014E9">
      <w:pPr>
        <w:widowControl/>
        <w:jc w:val="both"/>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In deze beschikking wordt onder ruling verstaan vooraf gemaakte afspraken tussen een belastingplichtige en de Inspecteur als bedoeld in artikel 2, tweede lid, onderdelen c en f, van de Algemene landsverordening Landsbelastingen, omtrent hoe bepalingen van de Landsverordening op de winstbelasting 1940 zullen worden toegepast op een specifieke situatie, een verrichting of een transactie.</w:t>
      </w:r>
    </w:p>
    <w:p w:rsidR="008014E9" w:rsidRPr="008014E9" w:rsidRDefault="008014E9" w:rsidP="008014E9">
      <w:pPr>
        <w:widowControl/>
        <w:jc w:val="both"/>
        <w:rPr>
          <w:rFonts w:ascii="Palatino Linotype" w:eastAsia="MS Mincho" w:hAnsi="Palatino Linotype" w:cs="Arial"/>
          <w:snapToGrid/>
          <w:sz w:val="22"/>
          <w:szCs w:val="22"/>
          <w:lang w:val="nl-NL" w:eastAsia="nl-NL"/>
        </w:rPr>
      </w:pPr>
    </w:p>
    <w:p w:rsidR="008014E9" w:rsidRDefault="008014E9" w:rsidP="008014E9">
      <w:pPr>
        <w:widowControl/>
        <w:jc w:val="both"/>
        <w:rPr>
          <w:rFonts w:ascii="Palatino Linotype" w:eastAsia="MS Mincho" w:hAnsi="Palatino Linotype" w:cs="Arial"/>
          <w:snapToGrid/>
          <w:sz w:val="22"/>
          <w:szCs w:val="22"/>
          <w:lang w:val="nl-NL" w:eastAsia="nl-NL"/>
        </w:rPr>
      </w:pPr>
    </w:p>
    <w:p w:rsidR="008014E9" w:rsidRPr="008014E9" w:rsidRDefault="008014E9" w:rsidP="008014E9">
      <w:pPr>
        <w:widowControl/>
        <w:jc w:val="center"/>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Artikel 2</w:t>
      </w:r>
    </w:p>
    <w:p w:rsidR="008014E9" w:rsidRPr="008014E9" w:rsidRDefault="008014E9" w:rsidP="008014E9">
      <w:pPr>
        <w:widowControl/>
        <w:jc w:val="center"/>
        <w:rPr>
          <w:rFonts w:ascii="Palatino Linotype" w:eastAsia="MS Mincho" w:hAnsi="Palatino Linotype" w:cs="Arial"/>
          <w:snapToGrid/>
          <w:sz w:val="22"/>
          <w:szCs w:val="22"/>
          <w:lang w:val="nl-NL" w:eastAsia="nl-NL"/>
        </w:rPr>
      </w:pPr>
    </w:p>
    <w:p w:rsidR="008014E9" w:rsidRPr="008014E9" w:rsidRDefault="008014E9" w:rsidP="000269A6">
      <w:pPr>
        <w:widowControl/>
        <w:numPr>
          <w:ilvl w:val="0"/>
          <w:numId w:val="1"/>
        </w:numPr>
        <w:tabs>
          <w:tab w:val="left" w:pos="360"/>
        </w:tabs>
        <w:ind w:left="360"/>
        <w:contextualSpacing/>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De rulingpraktijk wordt overeenkomstig de kaders opgenomen in bijlage A van deze beschikking en het tweede tot en met het vierde lid vastgesteld.</w:t>
      </w:r>
    </w:p>
    <w:p w:rsidR="008014E9" w:rsidRPr="008014E9" w:rsidRDefault="008014E9" w:rsidP="000269A6">
      <w:pPr>
        <w:widowControl/>
        <w:numPr>
          <w:ilvl w:val="0"/>
          <w:numId w:val="1"/>
        </w:numPr>
        <w:tabs>
          <w:tab w:val="left" w:pos="360"/>
        </w:tabs>
        <w:ind w:left="360"/>
        <w:contextualSpacing/>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lastRenderedPageBreak/>
        <w:t>Een ruling heeft een geldigheidsduur van 3 jaar, mits de feiten en omstandigheden materieel niet zullen veranderen.</w:t>
      </w:r>
    </w:p>
    <w:p w:rsidR="008014E9" w:rsidRPr="008014E9" w:rsidRDefault="008014E9" w:rsidP="000269A6">
      <w:pPr>
        <w:widowControl/>
        <w:numPr>
          <w:ilvl w:val="0"/>
          <w:numId w:val="1"/>
        </w:numPr>
        <w:tabs>
          <w:tab w:val="left" w:pos="360"/>
        </w:tabs>
        <w:ind w:left="360"/>
        <w:contextualSpacing/>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Een ruling wordt niet afgegeven voor zover er sprake is van misbruik van de wet of in het geval de ruling in strijd zou komen met de goede trouw die tegenover verdragspartners verschuldigd is.</w:t>
      </w:r>
    </w:p>
    <w:p w:rsidR="008014E9" w:rsidRPr="008014E9" w:rsidRDefault="008014E9" w:rsidP="000269A6">
      <w:pPr>
        <w:widowControl/>
        <w:numPr>
          <w:ilvl w:val="0"/>
          <w:numId w:val="1"/>
        </w:numPr>
        <w:tabs>
          <w:tab w:val="left" w:pos="360"/>
        </w:tabs>
        <w:ind w:left="360"/>
        <w:contextualSpacing/>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 xml:space="preserve">Bekendmaking van een ruling vindt plaats met inachtneming van de gebruikelijke vertrouwelijke aangelegenheden van de belastingplichtige in kwestie. </w:t>
      </w:r>
    </w:p>
    <w:p w:rsidR="008014E9" w:rsidRPr="008014E9" w:rsidRDefault="008014E9" w:rsidP="008014E9">
      <w:pPr>
        <w:widowControl/>
        <w:rPr>
          <w:rFonts w:ascii="Palatino Linotype" w:eastAsia="MS Mincho" w:hAnsi="Palatino Linotype" w:cs="Arial"/>
          <w:snapToGrid/>
          <w:sz w:val="22"/>
          <w:szCs w:val="22"/>
          <w:lang w:val="nl-NL" w:eastAsia="nl-NL"/>
        </w:rPr>
      </w:pPr>
    </w:p>
    <w:p w:rsidR="008014E9" w:rsidRPr="008014E9" w:rsidRDefault="008014E9" w:rsidP="008014E9">
      <w:pPr>
        <w:widowControl/>
        <w:jc w:val="center"/>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Artikel 3</w:t>
      </w:r>
    </w:p>
    <w:p w:rsidR="008014E9" w:rsidRPr="008014E9" w:rsidRDefault="008014E9" w:rsidP="008014E9">
      <w:pPr>
        <w:widowControl/>
        <w:jc w:val="center"/>
        <w:rPr>
          <w:rFonts w:ascii="Palatino Linotype" w:eastAsia="MS Mincho" w:hAnsi="Palatino Linotype" w:cs="Arial"/>
          <w:snapToGrid/>
          <w:sz w:val="22"/>
          <w:szCs w:val="22"/>
          <w:lang w:val="nl-NL" w:eastAsia="nl-NL"/>
        </w:rPr>
      </w:pPr>
    </w:p>
    <w:p w:rsidR="008014E9" w:rsidRPr="008014E9" w:rsidRDefault="008014E9" w:rsidP="008014E9">
      <w:pPr>
        <w:widowControl/>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De Ministeriële beschikking rulingbeleid winstbelasting, d.d. 6 oktober 2006, No. 974/RNA wordt ingetrokken.</w:t>
      </w:r>
    </w:p>
    <w:p w:rsidR="008014E9" w:rsidRPr="008014E9" w:rsidRDefault="008014E9" w:rsidP="008014E9">
      <w:pPr>
        <w:widowControl/>
        <w:rPr>
          <w:rFonts w:ascii="Palatino Linotype" w:eastAsia="MS Mincho" w:hAnsi="Palatino Linotype" w:cs="Arial"/>
          <w:snapToGrid/>
          <w:sz w:val="22"/>
          <w:szCs w:val="22"/>
          <w:lang w:val="nl-NL" w:eastAsia="nl-NL"/>
        </w:rPr>
      </w:pPr>
    </w:p>
    <w:p w:rsidR="008014E9" w:rsidRPr="008014E9" w:rsidRDefault="008014E9" w:rsidP="008014E9">
      <w:pPr>
        <w:widowControl/>
        <w:jc w:val="center"/>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Artikel 4</w:t>
      </w:r>
    </w:p>
    <w:p w:rsidR="008014E9" w:rsidRPr="008014E9" w:rsidRDefault="008014E9" w:rsidP="008014E9">
      <w:pPr>
        <w:widowControl/>
        <w:jc w:val="center"/>
        <w:rPr>
          <w:rFonts w:ascii="Palatino Linotype" w:eastAsia="MS Mincho" w:hAnsi="Palatino Linotype" w:cs="Arial"/>
          <w:snapToGrid/>
          <w:sz w:val="22"/>
          <w:szCs w:val="22"/>
          <w:lang w:val="nl-NL" w:eastAsia="nl-NL"/>
        </w:rPr>
      </w:pPr>
    </w:p>
    <w:p w:rsidR="008014E9" w:rsidRPr="008014E9" w:rsidRDefault="008014E9" w:rsidP="008014E9">
      <w:pPr>
        <w:widowControl/>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Deze beschikking wordt in het Publicatieblad bekendgemaakt.</w:t>
      </w:r>
    </w:p>
    <w:p w:rsidR="008014E9" w:rsidRPr="008014E9" w:rsidRDefault="008014E9" w:rsidP="008014E9">
      <w:pPr>
        <w:widowControl/>
        <w:rPr>
          <w:rFonts w:ascii="Palatino Linotype" w:eastAsia="MS Mincho" w:hAnsi="Palatino Linotype" w:cs="Arial"/>
          <w:snapToGrid/>
          <w:sz w:val="22"/>
          <w:szCs w:val="22"/>
          <w:lang w:val="nl-NL" w:eastAsia="nl-NL"/>
        </w:rPr>
      </w:pPr>
    </w:p>
    <w:p w:rsidR="008014E9" w:rsidRPr="008014E9" w:rsidRDefault="008014E9" w:rsidP="008014E9">
      <w:pPr>
        <w:widowControl/>
        <w:jc w:val="center"/>
        <w:rPr>
          <w:rFonts w:ascii="Palatino Linotype" w:eastAsia="MS Mincho" w:hAnsi="Palatino Linotype" w:cs="Arial"/>
          <w:snapToGrid/>
          <w:sz w:val="22"/>
          <w:szCs w:val="22"/>
          <w:lang w:val="nl-NL" w:eastAsia="nl-NL"/>
        </w:rPr>
      </w:pPr>
      <w:r w:rsidRPr="008014E9">
        <w:rPr>
          <w:rFonts w:ascii="Palatino Linotype" w:eastAsia="MS Mincho" w:hAnsi="Palatino Linotype" w:cs="Arial"/>
          <w:snapToGrid/>
          <w:sz w:val="22"/>
          <w:szCs w:val="22"/>
          <w:lang w:val="nl-NL" w:eastAsia="nl-NL"/>
        </w:rPr>
        <w:t>Artikel 5</w:t>
      </w:r>
    </w:p>
    <w:p w:rsidR="008014E9" w:rsidRPr="008014E9" w:rsidRDefault="008014E9" w:rsidP="008014E9">
      <w:pPr>
        <w:widowControl/>
        <w:jc w:val="both"/>
        <w:rPr>
          <w:rFonts w:ascii="Palatino Linotype" w:eastAsia="MS Mincho" w:hAnsi="Palatino Linotype" w:cs="Arial"/>
          <w:snapToGrid/>
          <w:sz w:val="22"/>
          <w:szCs w:val="22"/>
          <w:lang w:val="nl-NL" w:eastAsia="nl-NL"/>
        </w:rPr>
      </w:pPr>
    </w:p>
    <w:p w:rsidR="008014E9" w:rsidRPr="008014E9" w:rsidRDefault="008014E9" w:rsidP="008014E9">
      <w:pPr>
        <w:widowControl/>
        <w:jc w:val="both"/>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Deze beschikking treedt in werking met ingang van de dag na de datum van bekendmaking.</w:t>
      </w:r>
    </w:p>
    <w:p w:rsidR="008014E9" w:rsidRPr="008014E9" w:rsidRDefault="008014E9" w:rsidP="008014E9">
      <w:pPr>
        <w:widowControl/>
        <w:jc w:val="both"/>
        <w:rPr>
          <w:rFonts w:ascii="Palatino Linotype" w:eastAsia="MS Mincho" w:hAnsi="Palatino Linotype" w:cs="Arial"/>
          <w:snapToGrid/>
          <w:sz w:val="22"/>
          <w:szCs w:val="22"/>
          <w:lang w:val="nl-NL" w:eastAsia="nl-NL"/>
        </w:rPr>
      </w:pPr>
    </w:p>
    <w:p w:rsidR="008014E9" w:rsidRPr="008014E9" w:rsidRDefault="008014E9" w:rsidP="008014E9">
      <w:pPr>
        <w:widowControl/>
        <w:tabs>
          <w:tab w:val="left" w:pos="567"/>
        </w:tabs>
        <w:jc w:val="center"/>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Artikel 6</w:t>
      </w:r>
    </w:p>
    <w:p w:rsidR="008014E9" w:rsidRPr="008014E9" w:rsidRDefault="008014E9" w:rsidP="008014E9">
      <w:pPr>
        <w:widowControl/>
        <w:tabs>
          <w:tab w:val="left" w:pos="567"/>
        </w:tabs>
        <w:jc w:val="center"/>
        <w:rPr>
          <w:rFonts w:ascii="Palatino Linotype" w:eastAsia="MS Mincho" w:hAnsi="Palatino Linotype"/>
          <w:snapToGrid/>
          <w:sz w:val="22"/>
          <w:szCs w:val="22"/>
          <w:lang w:val="nl-NL" w:eastAsia="nl-NL"/>
        </w:rPr>
      </w:pPr>
    </w:p>
    <w:p w:rsidR="008014E9" w:rsidRPr="008014E9" w:rsidRDefault="008014E9" w:rsidP="008014E9">
      <w:pPr>
        <w:widowControl/>
        <w:tabs>
          <w:tab w:val="left" w:pos="567"/>
        </w:tabs>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Deze beschikking wordt aangehaald als: Ministeriële beschikking rulingpraktijk.</w:t>
      </w:r>
    </w:p>
    <w:p w:rsidR="008014E9" w:rsidRPr="008014E9" w:rsidRDefault="008014E9" w:rsidP="008014E9">
      <w:pPr>
        <w:widowControl/>
        <w:tabs>
          <w:tab w:val="left" w:pos="567"/>
        </w:tabs>
        <w:rPr>
          <w:rFonts w:ascii="Palatino Linotype" w:eastAsia="MS Mincho" w:hAnsi="Palatino Linotype"/>
          <w:snapToGrid/>
          <w:sz w:val="22"/>
          <w:szCs w:val="22"/>
          <w:lang w:val="nl-NL" w:eastAsia="nl-NL"/>
        </w:rPr>
      </w:pPr>
    </w:p>
    <w:p w:rsidR="008014E9" w:rsidRDefault="008014E9" w:rsidP="008014E9">
      <w:pPr>
        <w:widowControl/>
        <w:rPr>
          <w:rFonts w:ascii="Palatino Linotype" w:eastAsia="MS Mincho" w:hAnsi="Palatino Linotype"/>
          <w:snapToGrid/>
          <w:sz w:val="22"/>
          <w:szCs w:val="22"/>
          <w:lang w:val="nl-NL" w:eastAsia="nl-NL"/>
        </w:rPr>
      </w:pPr>
    </w:p>
    <w:p w:rsidR="001E40CE" w:rsidRPr="008014E9" w:rsidRDefault="001E40CE" w:rsidP="008014E9">
      <w:pPr>
        <w:widowControl/>
        <w:rPr>
          <w:rFonts w:ascii="Palatino Linotype" w:eastAsia="MS Mincho" w:hAnsi="Palatino Linotype"/>
          <w:snapToGrid/>
          <w:sz w:val="22"/>
          <w:szCs w:val="22"/>
          <w:lang w:val="nl-NL" w:eastAsia="nl-NL"/>
        </w:rPr>
      </w:pPr>
    </w:p>
    <w:p w:rsidR="008014E9" w:rsidRDefault="008014E9" w:rsidP="008014E9">
      <w:pPr>
        <w:widowControl/>
        <w:tabs>
          <w:tab w:val="left" w:pos="5954"/>
        </w:tabs>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ab/>
        <w:t xml:space="preserve">Willemstad, </w:t>
      </w:r>
      <w:r w:rsidR="001E40CE">
        <w:rPr>
          <w:rFonts w:ascii="Palatino Linotype" w:eastAsia="MS Mincho" w:hAnsi="Palatino Linotype"/>
          <w:snapToGrid/>
          <w:sz w:val="22"/>
          <w:szCs w:val="22"/>
          <w:lang w:val="nl-NL" w:eastAsia="nl-NL"/>
        </w:rPr>
        <w:t>7 maart 2018</w:t>
      </w:r>
    </w:p>
    <w:p w:rsidR="001E40CE" w:rsidRPr="008014E9" w:rsidRDefault="001E40CE" w:rsidP="008014E9">
      <w:pPr>
        <w:widowControl/>
        <w:tabs>
          <w:tab w:val="left" w:pos="5954"/>
        </w:tabs>
        <w:rPr>
          <w:rFonts w:ascii="Palatino Linotype" w:eastAsia="MS Mincho" w:hAnsi="Palatino Linotype"/>
          <w:snapToGrid/>
          <w:sz w:val="22"/>
          <w:szCs w:val="22"/>
          <w:lang w:val="nl-NL" w:eastAsia="nl-NL"/>
        </w:rPr>
      </w:pPr>
      <w:r>
        <w:rPr>
          <w:rFonts w:ascii="Palatino Linotype" w:eastAsia="MS Mincho" w:hAnsi="Palatino Linotype"/>
          <w:snapToGrid/>
          <w:sz w:val="22"/>
          <w:szCs w:val="22"/>
          <w:lang w:val="nl-NL" w:eastAsia="nl-NL"/>
        </w:rPr>
        <w:tab/>
      </w:r>
    </w:p>
    <w:p w:rsidR="008014E9" w:rsidRPr="008014E9" w:rsidRDefault="008014E9" w:rsidP="008014E9">
      <w:pPr>
        <w:widowControl/>
        <w:jc w:val="right"/>
        <w:rPr>
          <w:rFonts w:ascii="Palatino Linotype" w:eastAsia="MS Mincho" w:hAnsi="Palatino Linotype"/>
          <w:snapToGrid/>
          <w:sz w:val="22"/>
          <w:szCs w:val="22"/>
          <w:lang w:val="nl-NL" w:eastAsia="nl-NL"/>
        </w:rPr>
      </w:pPr>
    </w:p>
    <w:p w:rsidR="008014E9" w:rsidRPr="008014E9" w:rsidRDefault="008014E9" w:rsidP="008014E9">
      <w:pPr>
        <w:widowControl/>
        <w:jc w:val="right"/>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Minister van Financiën,</w:t>
      </w:r>
    </w:p>
    <w:p w:rsidR="001E40CE" w:rsidRDefault="001E40CE" w:rsidP="001E40CE">
      <w:pPr>
        <w:widowControl/>
        <w:rPr>
          <w:rFonts w:ascii="Palatino Linotype" w:eastAsia="MS Mincho" w:hAnsi="Palatino Linotype"/>
          <w:snapToGrid/>
          <w:sz w:val="22"/>
          <w:szCs w:val="22"/>
          <w:lang w:val="nl-NL"/>
        </w:rPr>
      </w:pPr>
      <w:r>
        <w:rPr>
          <w:rFonts w:ascii="Palatino Linotype" w:eastAsia="MS Mincho" w:hAnsi="Palatino Linotype"/>
          <w:sz w:val="22"/>
          <w:szCs w:val="22"/>
          <w:lang w:val="nl-NL"/>
        </w:rPr>
        <w:t xml:space="preserve">     K.A. GIJSBERTHA</w:t>
      </w:r>
    </w:p>
    <w:p w:rsidR="008014E9" w:rsidRPr="008014E9" w:rsidRDefault="008014E9" w:rsidP="008014E9">
      <w:pPr>
        <w:widowControl/>
        <w:rPr>
          <w:rFonts w:ascii="Palatino Linotype" w:eastAsia="MS Mincho" w:hAnsi="Palatino Linotype"/>
          <w:snapToGrid/>
          <w:sz w:val="20"/>
          <w:szCs w:val="22"/>
          <w:lang w:val="nl-NL" w:eastAsia="nl-NL"/>
        </w:rPr>
      </w:pPr>
    </w:p>
    <w:p w:rsidR="008014E9" w:rsidRDefault="008014E9" w:rsidP="008014E9">
      <w:pPr>
        <w:widowControl/>
        <w:rPr>
          <w:rFonts w:ascii="Palatino Linotype" w:eastAsia="MS Mincho" w:hAnsi="Palatino Linotype"/>
          <w:snapToGrid/>
          <w:sz w:val="20"/>
          <w:szCs w:val="22"/>
          <w:lang w:val="nl-NL" w:eastAsia="nl-NL"/>
        </w:rPr>
      </w:pPr>
    </w:p>
    <w:p w:rsidR="001E40CE" w:rsidRPr="008014E9" w:rsidRDefault="001E40CE" w:rsidP="008014E9">
      <w:pPr>
        <w:widowControl/>
        <w:rPr>
          <w:rFonts w:ascii="Palatino Linotype" w:eastAsia="MS Mincho" w:hAnsi="Palatino Linotype"/>
          <w:snapToGrid/>
          <w:sz w:val="20"/>
          <w:szCs w:val="22"/>
          <w:lang w:val="nl-NL" w:eastAsia="nl-NL"/>
        </w:rPr>
      </w:pPr>
    </w:p>
    <w:p w:rsidR="008014E9" w:rsidRPr="008014E9" w:rsidRDefault="008014E9" w:rsidP="000269A6">
      <w:pPr>
        <w:widowControl/>
        <w:tabs>
          <w:tab w:val="left" w:pos="5946"/>
        </w:tabs>
        <w:rPr>
          <w:rFonts w:ascii="Palatino Linotype" w:eastAsia="MS Mincho" w:hAnsi="Palatino Linotype"/>
          <w:snapToGrid/>
          <w:sz w:val="20"/>
          <w:szCs w:val="22"/>
          <w:lang w:val="nl-NL" w:eastAsia="nl-NL"/>
        </w:rPr>
      </w:pPr>
      <w:r w:rsidRPr="008014E9">
        <w:rPr>
          <w:rFonts w:ascii="Palatino Linotype" w:eastAsia="MS Mincho" w:hAnsi="Palatino Linotype"/>
          <w:snapToGrid/>
          <w:sz w:val="20"/>
          <w:szCs w:val="22"/>
          <w:lang w:val="nl-NL" w:eastAsia="nl-NL"/>
        </w:rPr>
        <w:tab/>
        <w:t>Uitgegeven</w:t>
      </w:r>
      <w:r w:rsidR="001E40CE">
        <w:rPr>
          <w:rFonts w:ascii="Palatino Linotype" w:eastAsia="MS Mincho" w:hAnsi="Palatino Linotype"/>
          <w:snapToGrid/>
          <w:sz w:val="20"/>
          <w:szCs w:val="22"/>
          <w:lang w:val="nl-NL" w:eastAsia="nl-NL"/>
        </w:rPr>
        <w:t xml:space="preserve"> de 27</w:t>
      </w:r>
      <w:r w:rsidR="001E40CE" w:rsidRPr="001E40CE">
        <w:rPr>
          <w:rFonts w:ascii="Palatino Linotype" w:eastAsia="MS Mincho" w:hAnsi="Palatino Linotype"/>
          <w:snapToGrid/>
          <w:sz w:val="20"/>
          <w:szCs w:val="22"/>
          <w:vertAlign w:val="superscript"/>
          <w:lang w:val="nl-NL" w:eastAsia="nl-NL"/>
        </w:rPr>
        <w:t>ste</w:t>
      </w:r>
      <w:r w:rsidR="001E40CE">
        <w:rPr>
          <w:rFonts w:ascii="Palatino Linotype" w:eastAsia="MS Mincho" w:hAnsi="Palatino Linotype"/>
          <w:snapToGrid/>
          <w:sz w:val="20"/>
          <w:szCs w:val="22"/>
          <w:lang w:val="nl-NL" w:eastAsia="nl-NL"/>
        </w:rPr>
        <w:t xml:space="preserve"> maart 2018</w:t>
      </w:r>
    </w:p>
    <w:p w:rsidR="008014E9" w:rsidRDefault="008014E9" w:rsidP="000269A6">
      <w:pPr>
        <w:widowControl/>
        <w:tabs>
          <w:tab w:val="left" w:pos="5946"/>
        </w:tabs>
        <w:ind w:left="5954"/>
        <w:rPr>
          <w:rFonts w:ascii="Palatino Linotype" w:eastAsia="MS Mincho" w:hAnsi="Palatino Linotype"/>
          <w:snapToGrid/>
          <w:sz w:val="20"/>
          <w:szCs w:val="22"/>
          <w:lang w:val="nl-NL" w:eastAsia="nl-NL"/>
        </w:rPr>
      </w:pPr>
      <w:r w:rsidRPr="008014E9">
        <w:rPr>
          <w:rFonts w:ascii="Palatino Linotype" w:eastAsia="MS Mincho" w:hAnsi="Palatino Linotype"/>
          <w:snapToGrid/>
          <w:sz w:val="20"/>
          <w:szCs w:val="22"/>
          <w:lang w:val="nl-NL" w:eastAsia="nl-NL"/>
        </w:rPr>
        <w:t xml:space="preserve">De Minister van Algemene Zaken, </w:t>
      </w:r>
    </w:p>
    <w:p w:rsidR="001E40CE" w:rsidRDefault="001E40CE" w:rsidP="001E40CE">
      <w:pPr>
        <w:widowControl/>
        <w:ind w:left="5297" w:firstLine="657"/>
        <w:rPr>
          <w:rFonts w:ascii="Palatino Linotype" w:eastAsia="MS Mincho" w:hAnsi="Palatino Linotype"/>
          <w:snapToGrid/>
          <w:sz w:val="22"/>
          <w:szCs w:val="22"/>
          <w:lang w:val="nl-NL"/>
        </w:rPr>
      </w:pPr>
      <w:r>
        <w:rPr>
          <w:rFonts w:ascii="Palatino Linotype" w:eastAsia="MS Mincho" w:hAnsi="Palatino Linotype"/>
          <w:sz w:val="22"/>
          <w:szCs w:val="22"/>
          <w:lang w:val="nl-NL"/>
        </w:rPr>
        <w:t xml:space="preserve">        E.P. RHUGGENAATH</w:t>
      </w:r>
    </w:p>
    <w:p w:rsidR="001E40CE" w:rsidRDefault="001E40CE" w:rsidP="001E40CE">
      <w:pPr>
        <w:widowControl/>
        <w:rPr>
          <w:rFonts w:ascii="Palatino Linotype" w:eastAsia="MS Mincho" w:hAnsi="Palatino Linotype"/>
          <w:sz w:val="22"/>
          <w:szCs w:val="22"/>
          <w:lang w:val="nl-NL"/>
        </w:rPr>
      </w:pPr>
      <w:r>
        <w:rPr>
          <w:rFonts w:ascii="Palatino Linotype" w:eastAsia="MS Mincho" w:hAnsi="Palatino Linotype"/>
          <w:sz w:val="22"/>
          <w:szCs w:val="22"/>
          <w:lang w:val="nl-NL"/>
        </w:rPr>
        <w:br w:type="page"/>
      </w:r>
    </w:p>
    <w:p w:rsidR="001E40CE" w:rsidRPr="008014E9" w:rsidRDefault="001E40CE" w:rsidP="001E40CE">
      <w:pPr>
        <w:widowControl/>
        <w:tabs>
          <w:tab w:val="left" w:pos="5946"/>
        </w:tabs>
        <w:ind w:left="5954"/>
        <w:rPr>
          <w:rFonts w:ascii="Palatino Linotype" w:eastAsia="MS Mincho" w:hAnsi="Palatino Linotype"/>
          <w:snapToGrid/>
          <w:sz w:val="20"/>
          <w:szCs w:val="22"/>
          <w:lang w:val="nl-NL" w:eastAsia="nl-NL"/>
        </w:rPr>
      </w:pPr>
    </w:p>
    <w:p w:rsidR="008014E9" w:rsidRPr="008014E9" w:rsidRDefault="008014E9" w:rsidP="008014E9">
      <w:pPr>
        <w:widowControl/>
        <w:rPr>
          <w:rFonts w:ascii="Palatino Linotype" w:eastAsia="MS Mincho" w:hAnsi="Palatino Linotype"/>
          <w:b/>
          <w:snapToGrid/>
          <w:sz w:val="22"/>
          <w:szCs w:val="22"/>
          <w:lang w:val="nl-NL" w:eastAsia="nl-NL"/>
        </w:rPr>
      </w:pPr>
      <w:r w:rsidRPr="008014E9">
        <w:rPr>
          <w:rFonts w:ascii="Palatino Linotype" w:eastAsia="MS Mincho" w:hAnsi="Palatino Linotype"/>
          <w:b/>
          <w:snapToGrid/>
          <w:sz w:val="22"/>
          <w:szCs w:val="22"/>
          <w:lang w:val="nl-NL" w:eastAsia="nl-NL"/>
        </w:rPr>
        <w:t>Bijlage behorende bij de</w:t>
      </w:r>
      <w:r w:rsidRPr="008014E9">
        <w:rPr>
          <w:rFonts w:ascii="Palatino Linotype" w:eastAsia="MS Mincho" w:hAnsi="Palatino Linotype"/>
          <w:b/>
          <w:snapToGrid/>
          <w:sz w:val="20"/>
          <w:szCs w:val="22"/>
          <w:lang w:val="nl-NL" w:eastAsia="nl-NL"/>
        </w:rPr>
        <w:t xml:space="preserve"> </w:t>
      </w:r>
      <w:r w:rsidRPr="008014E9">
        <w:rPr>
          <w:rFonts w:ascii="Palatino Linotype" w:eastAsia="MS Mincho" w:hAnsi="Palatino Linotype"/>
          <w:b/>
          <w:snapToGrid/>
          <w:sz w:val="22"/>
          <w:szCs w:val="22"/>
          <w:lang w:val="nl-NL" w:eastAsia="nl-NL"/>
        </w:rPr>
        <w:t>Ministeriële beschikking rulingpraktijk</w:t>
      </w:r>
    </w:p>
    <w:p w:rsidR="008014E9" w:rsidRPr="008014E9" w:rsidRDefault="008014E9" w:rsidP="008014E9">
      <w:pPr>
        <w:widowControl/>
        <w:rPr>
          <w:rFonts w:ascii="Palatino Linotype" w:eastAsia="MS Mincho" w:hAnsi="Palatino Linotype"/>
          <w:b/>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u w:val="single"/>
          <w:lang w:val="nl-NL" w:eastAsia="nl-NL"/>
        </w:rPr>
      </w:pPr>
      <w:r w:rsidRPr="008014E9">
        <w:rPr>
          <w:rFonts w:ascii="Palatino Linotype" w:eastAsia="MS Mincho" w:hAnsi="Palatino Linotype"/>
          <w:snapToGrid/>
          <w:sz w:val="22"/>
          <w:szCs w:val="22"/>
          <w:u w:val="single"/>
          <w:lang w:val="nl-NL" w:eastAsia="nl-NL"/>
        </w:rPr>
        <w:t>Inleiding</w:t>
      </w: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Uit het recent gepubliceerde rapport van de Organisatie voor Economische Samenwerking en Ontwikkeling (hierna te noemen: “OESO”), in samenwerking met het Internationaal Monetair Fonds (IMF) aan de Ministers van de G – 20 landen, genaamd “Tax Certainty</w:t>
      </w:r>
      <w:r w:rsidRPr="008014E9">
        <w:rPr>
          <w:rFonts w:ascii="Palatino Linotype" w:eastAsia="MS Mincho" w:hAnsi="Palatino Linotype"/>
          <w:snapToGrid/>
          <w:sz w:val="22"/>
          <w:szCs w:val="22"/>
          <w:vertAlign w:val="superscript"/>
          <w:lang w:val="nl-NL" w:eastAsia="nl-NL"/>
        </w:rPr>
        <w:footnoteReference w:id="1"/>
      </w:r>
      <w:r w:rsidRPr="008014E9">
        <w:rPr>
          <w:rFonts w:ascii="Palatino Linotype" w:eastAsia="MS Mincho" w:hAnsi="Palatino Linotype"/>
          <w:snapToGrid/>
          <w:sz w:val="22"/>
          <w:szCs w:val="22"/>
          <w:lang w:val="nl-NL" w:eastAsia="nl-NL"/>
        </w:rPr>
        <w:t>” blijkt dat er risico’s bestaan voor de internationale investeringen door onzekerheid op belastinggebied. In dit rapport benoemen internationale bedrijven als grote factor van deze onzekerheid, het adequaat functioneren van de Belastingdienst. Bedrijven noemen het functioneren van de Belastingdienst als een van de meest grote factoren die bijdragen aan onzekerheid op belastinggebied. En dan wordt met name de bureaucratie van de Belastingdienst genoemd als drijvende factor.</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Vervolgens geeft het rapport aan welke elementen aangewend kunnen worden door overheden om de betrouwbaarheid te vergroten van het belastingsysteem. Het rapport geeft aan dat omwille van het vergroten van de betrouwbaarheid en de consistentie van de Belastingdienst, het invoeren van het element “rulings” hieraan een aanzienlijke bijdrage verleent. Het rapport onderstreept dat, door het uitgeven van rulings op een tijdige manier, alsmede de technische discussies die hieraan vooraf gaan bijdrage aan een proactieve houding van de belastingbetaler ten aanzien van de fiscaal-juridische mogelijkheden. Tevens noemt het rapport dat bij het afgeven van “rulings” op een tijdige manier de belastingplichtige gewend raakt aan de operationele praktijk van de Belastingdienst, waardoor er verdere belastingzekerheid wordt verschaft aan de belastingplichtige.</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Curaçao kent reeds de praktijk van “rulings” afgeven en het vooraf komen tot afspraken met de Belastingdienst over een passende modus operandi hoe er met bepaalde belastingaspecten omgegaan dient te worden is een groot goed in het genereren van lang jarige zekerheid voor de belastingplichtige, alsmede om een inzicht te hebben in wat de belastingplichtige voor activiteiten ontplooit. Het is een instrument waarmee tevens de Belastingdienst veel meer inzicht krijgt in de activiteiten van de belastingplichtige dan anders het geval is. Hiermee dient de Curaçaose rulingpraktijk verbeterd te worden, alsmede aangepast te worden aan de nieuwe internationale standaarden zoals deze door de OESO worden voorgeschreven.</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Met deze aanpassingen wordt de zekerheid geboden aan de belastingplichtige, waar deze behoefte aan heeft, en tegelijkertijd wordt de rulingpraktijk verduurzaamd met het oog op de toekomst.</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u w:val="single"/>
          <w:lang w:val="nl-NL" w:eastAsia="nl-NL"/>
        </w:rPr>
      </w:pPr>
      <w:r w:rsidRPr="008014E9">
        <w:rPr>
          <w:rFonts w:ascii="Palatino Linotype" w:eastAsia="MS Mincho" w:hAnsi="Palatino Linotype"/>
          <w:snapToGrid/>
          <w:sz w:val="22"/>
          <w:szCs w:val="22"/>
          <w:u w:val="single"/>
          <w:lang w:val="nl-NL" w:eastAsia="nl-NL"/>
        </w:rPr>
        <w:t>De Curaçaose praktijk</w:t>
      </w: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 xml:space="preserve">Als we het hebben over de rulingpraktijk op Curaçao, dan gaat dit om vooraf gemaakte afspraken tussen rechtspersonen en de Inspecteur der Belastingen, betreffende transacties, situaties en verrichtingen van deze rechtspersonen en de hiermee samenhangende artikelen uit de </w:t>
      </w:r>
      <w:r w:rsidRPr="008014E9">
        <w:rPr>
          <w:rFonts w:ascii="Palatino Linotype" w:eastAsia="MS Mincho" w:hAnsi="Palatino Linotype" w:cs="Arial"/>
          <w:snapToGrid/>
          <w:sz w:val="22"/>
          <w:szCs w:val="22"/>
          <w:lang w:val="nl-NL" w:eastAsia="nl-NL"/>
        </w:rPr>
        <w:t>Landsverordening op de winstbelasting 1940</w:t>
      </w:r>
      <w:r w:rsidRPr="008014E9">
        <w:rPr>
          <w:rFonts w:ascii="Palatino Linotype" w:eastAsia="MS Mincho" w:hAnsi="Palatino Linotype"/>
          <w:snapToGrid/>
          <w:sz w:val="22"/>
          <w:szCs w:val="22"/>
          <w:lang w:val="nl-NL" w:eastAsia="nl-NL"/>
        </w:rPr>
        <w:t>.</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ruling zoals deze tot stand is gekomen, voor een bepaalde tijdsduur, is een bindende afspraak voor zowel de belastingbetaler als de Inspectie der Belastingen en wordt enkel nietig als de wetgeving wordt aangepast en de ruling in strijd is met de nieuwe wetgeving, of als de activiteiten van de belastingplichtige een andere vorm aannemen dan op voorhand afgesproken in de “ruling”.</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aanpassing van de rulingpraktijk dient te voorzien in het adequaat administreren van de “rulings” om zo te kunnen voldoen aan de lokale wetgeving ter spontane uitwisseling van de informatie welke vervat is in de ruling met de desbetreffende verdragspartner en om hiermee te voldoen aan minimumstandaard 5 van de BEPS agenda. In dit kader dient ook het effect in de andere jurisdictie, waar de ruling effect op heeft, meegegeven te worden aan de Inspecteur der Belastingen bij het in overweging nemen van de ruling. Dit punt hangt nauw samen met de eisen die gesteld worden aan de ruling praktijk onder minimumstandard 5 van de BEPS agenda.</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Ten slotte dienen de voorwaarden tot het komen van een ruling met de Inspecteur der Belastingen voor een ieder, als belastingplichtige, bekend te zijn. De voorwaarden van het komen tot een ruling dienen dan ook gepubliceerd te worden ter informatie verschaffing van het bredere publiek.</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u w:val="single"/>
          <w:lang w:val="nl-NL" w:eastAsia="nl-NL"/>
        </w:rPr>
      </w:pPr>
      <w:r w:rsidRPr="008014E9">
        <w:rPr>
          <w:rFonts w:ascii="Palatino Linotype" w:eastAsia="MS Mincho" w:hAnsi="Palatino Linotype"/>
          <w:snapToGrid/>
          <w:sz w:val="22"/>
          <w:szCs w:val="22"/>
          <w:u w:val="single"/>
          <w:lang w:val="nl-NL" w:eastAsia="nl-NL"/>
        </w:rPr>
        <w:t>Inrichting Curaçaose ruling praktijk</w:t>
      </w:r>
    </w:p>
    <w:p w:rsidR="008014E9" w:rsidRPr="008014E9" w:rsidRDefault="008014E9" w:rsidP="008014E9">
      <w:pPr>
        <w:widowControl/>
        <w:rPr>
          <w:rFonts w:ascii="Palatino Linotype" w:eastAsia="MS Mincho" w:hAnsi="Palatino Linotype"/>
          <w:snapToGrid/>
          <w:sz w:val="22"/>
          <w:szCs w:val="22"/>
          <w:u w:val="single"/>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Als we kijken naar de inrichting van de Curaçaose ruling praktijk, geeft het “Revamp of the Work on Harmful Tax Practices: Framework for Improving Transparency in relation to Rulings” van de OESO belangrijke handvatten om de inrichting verder vorm te geven. Zo geeft de OESO in dit rapport aan welke “best practices</w:t>
      </w:r>
      <w:r w:rsidRPr="008014E9">
        <w:rPr>
          <w:rFonts w:ascii="Palatino Linotype" w:eastAsia="MS Mincho" w:hAnsi="Palatino Linotype"/>
          <w:snapToGrid/>
          <w:sz w:val="22"/>
          <w:szCs w:val="22"/>
          <w:vertAlign w:val="superscript"/>
          <w:lang w:val="nl-NL" w:eastAsia="nl-NL"/>
        </w:rPr>
        <w:footnoteReference w:id="2"/>
      </w:r>
      <w:r w:rsidRPr="008014E9">
        <w:rPr>
          <w:rFonts w:ascii="Palatino Linotype" w:eastAsia="MS Mincho" w:hAnsi="Palatino Linotype"/>
          <w:snapToGrid/>
          <w:sz w:val="22"/>
          <w:szCs w:val="22"/>
          <w:lang w:val="nl-NL" w:eastAsia="nl-NL"/>
        </w:rPr>
        <w:t>” er zijn voor de totstandkoming, die controle en de uitwisseing van rulings. Aan de hand van deze “best practices” dient de rulingpraktijk van Curaçao als volgt gastalte te krijgen;</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b/>
          <w:snapToGrid/>
          <w:sz w:val="22"/>
          <w:szCs w:val="22"/>
          <w:lang w:val="nl-NL" w:eastAsia="nl-NL"/>
        </w:rPr>
      </w:pPr>
      <w:r w:rsidRPr="008014E9">
        <w:rPr>
          <w:rFonts w:ascii="Palatino Linotype" w:eastAsia="MS Mincho" w:hAnsi="Palatino Linotype"/>
          <w:b/>
          <w:snapToGrid/>
          <w:sz w:val="22"/>
          <w:szCs w:val="22"/>
          <w:lang w:val="nl-NL" w:eastAsia="nl-NL"/>
        </w:rPr>
        <w:t>Vooraf overeengekomen rulings voor belastingen op winsten</w:t>
      </w:r>
    </w:p>
    <w:p w:rsidR="008014E9" w:rsidRPr="008014E9" w:rsidRDefault="008014E9" w:rsidP="008014E9">
      <w:pPr>
        <w:widowControl/>
        <w:rPr>
          <w:rFonts w:ascii="Palatino Linotype" w:eastAsia="MS Mincho" w:hAnsi="Palatino Linotype"/>
          <w:b/>
          <w:snapToGrid/>
          <w:sz w:val="22"/>
          <w:szCs w:val="22"/>
          <w:lang w:val="nl-NL" w:eastAsia="nl-NL"/>
        </w:rPr>
      </w:pP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Het Winstbelasting Ruling Comité, van de Inspectie der Belastingen is de enige autoriteit die toekomstige belasting rulings overeenkomt. Elke ruling dient door ten minste twee leden van dit Comité in behandeling genomen te worden.</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lastRenderedPageBreak/>
        <w:t xml:space="preserve">Een ruling is een geschreven waarborgverklaring die een interpretatie bekrachtigd van een bepaald artikel of bepaalde artikelen van de </w:t>
      </w:r>
      <w:r w:rsidRPr="008014E9">
        <w:rPr>
          <w:rFonts w:ascii="Palatino Linotype" w:eastAsia="MS Mincho" w:hAnsi="Palatino Linotype" w:cs="Arial"/>
          <w:snapToGrid/>
          <w:sz w:val="22"/>
          <w:szCs w:val="22"/>
          <w:lang w:val="nl-NL" w:eastAsia="nl-NL"/>
        </w:rPr>
        <w:t>Landsverordening op de winstbelasting 1940</w:t>
      </w:r>
      <w:r w:rsidRPr="008014E9">
        <w:rPr>
          <w:rFonts w:ascii="Palatino Linotype" w:eastAsia="MS Mincho" w:hAnsi="Palatino Linotype"/>
          <w:snapToGrid/>
          <w:sz w:val="22"/>
          <w:szCs w:val="22"/>
          <w:lang w:val="nl-NL" w:eastAsia="nl-NL"/>
        </w:rPr>
        <w:t xml:space="preserve"> ten aanzien van de transactie, situatie of verrichtingen die de belastingplichtige op het oog heeft, includerend zgn. advance pricing agreements.</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Een ruling wordt enkel in behandeling genomen door het Comité, als deze schriftelijk met alle relevante informatie ingediend wordt.</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Gegeven de voorbehouden beschreven in de ruling, wordt een ruling behandeld als bindend voor de Inspectie der Belastingen.</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In het geval dat de wetgeving wordt aangepast, nadat de ruling is uitgegeven, maar deze niet langer voldoet aan de hernieuwde wetgeving komt deze ruling automatisch te vervallen.</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volgende informatie dient verplicht aangeleverd te worden bij de aanvraag van een ruling bij het Comite:</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naam, het adres, het CRIB nummer van belastingplichtige;</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verklaring van de vertegenwoordiger van de belastingplichtige/ overeenkomst dat de vertegenwoordiger de belastingplichtige vertegenwoordigd;</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 xml:space="preserve">volledig omschrijving van de relevante feiten en de voorgestelde transacties; </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land(en) waar de rulings meer uitgewisseld dienen te worden;</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anleveren van organogram;</w:t>
      </w:r>
      <w:bookmarkStart w:id="1" w:name="_GoBack"/>
      <w:bookmarkEnd w:id="1"/>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het doel van de transacties;</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welke rulings aangevraagd worden;</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zo nodig pricing rapporten;</w:t>
      </w:r>
    </w:p>
    <w:p w:rsidR="008014E9" w:rsidRPr="008014E9" w:rsidRDefault="008014E9" w:rsidP="000269A6">
      <w:pPr>
        <w:widowControl/>
        <w:numPr>
          <w:ilvl w:val="0"/>
          <w:numId w:val="3"/>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aangeven wat het effect is in andere jurisdicties.</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aanvraag van rulings wordt binnen 30 werkdagen behandeld of overeengekomen;</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Een voorbespreking ten aanzien van een in behandeling zijnde ruling kan aangevraagd worden, om het verzoek nader toe te lichten / te bediscussiëren;</w:t>
      </w:r>
    </w:p>
    <w:p w:rsidR="008014E9" w:rsidRPr="008014E9" w:rsidRDefault="008014E9" w:rsidP="000269A6">
      <w:pPr>
        <w:widowControl/>
        <w:numPr>
          <w:ilvl w:val="0"/>
          <w:numId w:val="2"/>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Ingevolge BEPS agenda van de OESO, minimumstandaard 5, heeft Curaçao toegezegd om informatie betreffende rulings op spontane basis uit te wisselen. Deze uitwisseling betreft de grensoverschrijdende rulings aangaande:</w:t>
      </w:r>
    </w:p>
    <w:p w:rsidR="008014E9" w:rsidRPr="008014E9" w:rsidRDefault="008014E9" w:rsidP="001E40CE">
      <w:pPr>
        <w:widowControl/>
        <w:ind w:left="720"/>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1° preferentiële regimes, waaronder ook de cocktail rulings;</w:t>
      </w:r>
    </w:p>
    <w:p w:rsidR="008014E9" w:rsidRPr="008014E9" w:rsidRDefault="008014E9" w:rsidP="001E40CE">
      <w:pPr>
        <w:widowControl/>
        <w:ind w:left="720"/>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2° transfer pricing;</w:t>
      </w:r>
    </w:p>
    <w:p w:rsidR="008014E9" w:rsidRPr="008014E9" w:rsidRDefault="008014E9" w:rsidP="001E40CE">
      <w:pPr>
        <w:widowControl/>
        <w:ind w:left="720"/>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3°de zogenaamde “conduit” situaties;</w:t>
      </w:r>
    </w:p>
    <w:p w:rsidR="008014E9" w:rsidRPr="008014E9" w:rsidRDefault="008014E9" w:rsidP="001E40CE">
      <w:pPr>
        <w:widowControl/>
        <w:ind w:left="720"/>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4° de vaste inrichting;</w:t>
      </w:r>
    </w:p>
    <w:p w:rsidR="008014E9" w:rsidRPr="008014E9" w:rsidRDefault="008014E9" w:rsidP="001E40CE">
      <w:pPr>
        <w:widowControl/>
        <w:ind w:firstLine="709"/>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5° verlaging van de grondslag voor de belastingheffing;</w:t>
      </w:r>
    </w:p>
    <w:p w:rsidR="008014E9" w:rsidRPr="008014E9" w:rsidRDefault="008014E9" w:rsidP="001E40CE">
      <w:pPr>
        <w:widowControl/>
        <w:ind w:left="720"/>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6° situaties die kunnen leiden tot BEPS problematiek.</w:t>
      </w:r>
    </w:p>
    <w:p w:rsidR="008014E9" w:rsidRPr="008014E9" w:rsidRDefault="008014E9" w:rsidP="001E40CE">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u w:val="single"/>
          <w:lang w:val="nl-NL" w:eastAsia="nl-NL"/>
        </w:rPr>
      </w:pPr>
      <w:r w:rsidRPr="008014E9">
        <w:rPr>
          <w:rFonts w:ascii="Palatino Linotype" w:eastAsia="MS Mincho" w:hAnsi="Palatino Linotype"/>
          <w:snapToGrid/>
          <w:sz w:val="22"/>
          <w:szCs w:val="22"/>
          <w:lang w:val="nl-NL" w:eastAsia="nl-NL"/>
        </w:rPr>
        <w:t xml:space="preserve"> </w:t>
      </w:r>
      <w:r w:rsidRPr="008014E9">
        <w:rPr>
          <w:rFonts w:ascii="Palatino Linotype" w:eastAsia="MS Mincho" w:hAnsi="Palatino Linotype"/>
          <w:snapToGrid/>
          <w:sz w:val="22"/>
          <w:szCs w:val="22"/>
          <w:u w:val="single"/>
          <w:lang w:val="nl-NL" w:eastAsia="nl-NL"/>
        </w:rPr>
        <w:t>Tot slot</w:t>
      </w:r>
    </w:p>
    <w:p w:rsidR="008014E9" w:rsidRPr="008014E9" w:rsidRDefault="008014E9" w:rsidP="008014E9">
      <w:pPr>
        <w:widowControl/>
        <w:rPr>
          <w:rFonts w:ascii="Palatino Linotype" w:eastAsia="MS Mincho" w:hAnsi="Palatino Linotype"/>
          <w:snapToGrid/>
          <w:sz w:val="22"/>
          <w:szCs w:val="22"/>
          <w:u w:val="single"/>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Bij het overeenkomen van de ruling, dient tevens een toezichtcommissie de geëigende controle van deze ruling onder zijn verantwoordelijkheid te nemen. In de “best practices” van de OESO wordt gerefereerd aan de volgende twee controles;</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0269A6">
      <w:pPr>
        <w:widowControl/>
        <w:numPr>
          <w:ilvl w:val="0"/>
          <w:numId w:val="4"/>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Het nagaan of de ruling binnen de grenzen van het wettelijk kader blijft en of de achtergrond informatie bij de aanvraag van de ruling genoeg context biedt voor het daadwerkelijk overeenkomen van de ruling;</w:t>
      </w:r>
    </w:p>
    <w:p w:rsidR="008014E9" w:rsidRPr="008014E9" w:rsidRDefault="008014E9" w:rsidP="000269A6">
      <w:pPr>
        <w:widowControl/>
        <w:numPr>
          <w:ilvl w:val="0"/>
          <w:numId w:val="4"/>
        </w:numPr>
        <w:contextualSpacing/>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Het nagaan of de ruling binnen de internationale context een aanvaardbare ruling is, waarbij het effect op de andere jurisdictie waarbinnen de belastingplichtige opereert een niet dermate effect heeft dat dit in de praktijk er op neer gaat komen dat er BEPS effecten worden gecreëerd.</w:t>
      </w:r>
    </w:p>
    <w:p w:rsidR="008014E9" w:rsidRPr="008014E9" w:rsidRDefault="008014E9" w:rsidP="008014E9">
      <w:pPr>
        <w:widowControl/>
        <w:rPr>
          <w:rFonts w:ascii="Palatino Linotype" w:eastAsia="MS Mincho" w:hAnsi="Palatino Linotype"/>
          <w:snapToGrid/>
          <w:sz w:val="22"/>
          <w:szCs w:val="22"/>
          <w:lang w:val="nl-NL" w:eastAsia="nl-NL"/>
        </w:rPr>
      </w:pPr>
    </w:p>
    <w:p w:rsidR="008014E9" w:rsidRPr="008014E9" w:rsidRDefault="008014E9" w:rsidP="008014E9">
      <w:pPr>
        <w:widowControl/>
        <w:rPr>
          <w:rFonts w:ascii="Palatino Linotype" w:eastAsia="MS Mincho" w:hAnsi="Palatino Linotype"/>
          <w:snapToGrid/>
          <w:sz w:val="22"/>
          <w:szCs w:val="22"/>
          <w:lang w:val="nl-NL" w:eastAsia="nl-NL"/>
        </w:rPr>
      </w:pPr>
      <w:r w:rsidRPr="008014E9">
        <w:rPr>
          <w:rFonts w:ascii="Palatino Linotype" w:eastAsia="MS Mincho" w:hAnsi="Palatino Linotype"/>
          <w:snapToGrid/>
          <w:sz w:val="22"/>
          <w:szCs w:val="22"/>
          <w:lang w:val="nl-NL" w:eastAsia="nl-NL"/>
        </w:rPr>
        <w:t>De leden van de Toezicht Commissie Rulings zullen bij landsbesluit door de Minister van Financiën worden aangewezen.</w:t>
      </w: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4E9" w:rsidRDefault="008014E9">
      <w:pPr>
        <w:spacing w:line="20" w:lineRule="exact"/>
      </w:pPr>
    </w:p>
  </w:endnote>
  <w:endnote w:type="continuationSeparator" w:id="0">
    <w:p w:rsidR="008014E9" w:rsidRDefault="008014E9">
      <w:r>
        <w:t xml:space="preserve"> </w:t>
      </w:r>
    </w:p>
  </w:endnote>
  <w:endnote w:type="continuationNotice" w:id="1">
    <w:p w:rsidR="008014E9" w:rsidRDefault="008014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4E9" w:rsidRDefault="008014E9">
      <w:r>
        <w:separator/>
      </w:r>
    </w:p>
  </w:footnote>
  <w:footnote w:type="continuationSeparator" w:id="0">
    <w:p w:rsidR="008014E9" w:rsidRDefault="008014E9">
      <w:r>
        <w:continuationSeparator/>
      </w:r>
    </w:p>
  </w:footnote>
  <w:footnote w:id="1">
    <w:p w:rsidR="008014E9" w:rsidRPr="001E40CE" w:rsidRDefault="008014E9" w:rsidP="008014E9">
      <w:pPr>
        <w:pStyle w:val="FootnoteText"/>
        <w:rPr>
          <w:rFonts w:ascii="Palatino Linotype" w:hAnsi="Palatino Linotype"/>
          <w:sz w:val="18"/>
          <w:szCs w:val="18"/>
        </w:rPr>
      </w:pPr>
      <w:r w:rsidRPr="001E40CE">
        <w:rPr>
          <w:rStyle w:val="FootnoteReference"/>
          <w:rFonts w:ascii="Palatino Linotype" w:hAnsi="Palatino Linotype"/>
          <w:sz w:val="18"/>
          <w:szCs w:val="18"/>
        </w:rPr>
        <w:footnoteRef/>
      </w:r>
      <w:r w:rsidRPr="001E40CE">
        <w:rPr>
          <w:rFonts w:ascii="Palatino Linotype" w:hAnsi="Palatino Linotype"/>
          <w:sz w:val="18"/>
          <w:szCs w:val="18"/>
        </w:rPr>
        <w:t xml:space="preserve"> IMF/OECD Report for the G20 Finance Ministers March 2017.</w:t>
      </w:r>
    </w:p>
  </w:footnote>
  <w:footnote w:id="2">
    <w:p w:rsidR="008014E9" w:rsidRPr="001E40CE" w:rsidRDefault="008014E9" w:rsidP="008014E9">
      <w:pPr>
        <w:pStyle w:val="FootnoteText"/>
        <w:rPr>
          <w:rFonts w:ascii="Palatino Linotype" w:hAnsi="Palatino Linotype"/>
          <w:sz w:val="18"/>
          <w:szCs w:val="18"/>
        </w:rPr>
      </w:pPr>
      <w:r w:rsidRPr="001E40CE">
        <w:rPr>
          <w:rStyle w:val="FootnoteReference"/>
          <w:rFonts w:ascii="Palatino Linotype" w:hAnsi="Palatino Linotype"/>
          <w:sz w:val="18"/>
          <w:szCs w:val="18"/>
        </w:rPr>
        <w:footnoteRef/>
      </w:r>
      <w:r w:rsidRPr="001E40CE">
        <w:rPr>
          <w:rFonts w:ascii="Palatino Linotype" w:hAnsi="Palatino Linotype"/>
          <w:sz w:val="18"/>
          <w:szCs w:val="18"/>
        </w:rPr>
        <w:t xml:space="preserve"> Countering Harmful Tax Practices More Effectively, Taking into Account Transparency and Substance, Action 5 – 2015 Final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6A2F">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6A2F">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410D02">
      <w:rPr>
        <w:rFonts w:ascii="Times New Roman" w:hAnsi="Times New Roman"/>
        <w:b/>
        <w:spacing w:val="-4"/>
        <w:sz w:val="36"/>
      </w:rPr>
      <w:t>16</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6A2F">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6A2F">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w:t>
    </w:r>
    <w:r w:rsidR="001E40CE">
      <w:rPr>
        <w:rFonts w:ascii="Times New Roman" w:hAnsi="Times New Roman"/>
        <w:b/>
        <w:spacing w:val="-4"/>
        <w:sz w:val="36"/>
      </w:rPr>
      <w:t>6</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CA0"/>
    <w:multiLevelType w:val="hybridMultilevel"/>
    <w:tmpl w:val="CCB49CC8"/>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1AF445C7"/>
    <w:multiLevelType w:val="hybridMultilevel"/>
    <w:tmpl w:val="792888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854A74"/>
    <w:multiLevelType w:val="hybridMultilevel"/>
    <w:tmpl w:val="0290B360"/>
    <w:lvl w:ilvl="0" w:tplc="0413000F">
      <w:start w:val="1"/>
      <w:numFmt w:val="decimal"/>
      <w:lvlText w:val="%1."/>
      <w:lvlJc w:val="left"/>
      <w:pPr>
        <w:ind w:left="773" w:hanging="360"/>
      </w:pPr>
    </w:lvl>
    <w:lvl w:ilvl="1" w:tplc="04130019" w:tentative="1">
      <w:start w:val="1"/>
      <w:numFmt w:val="lowerLetter"/>
      <w:lvlText w:val="%2."/>
      <w:lvlJc w:val="left"/>
      <w:pPr>
        <w:ind w:left="1493" w:hanging="360"/>
      </w:pPr>
    </w:lvl>
    <w:lvl w:ilvl="2" w:tplc="0413001B" w:tentative="1">
      <w:start w:val="1"/>
      <w:numFmt w:val="lowerRoman"/>
      <w:lvlText w:val="%3."/>
      <w:lvlJc w:val="right"/>
      <w:pPr>
        <w:ind w:left="2213" w:hanging="180"/>
      </w:pPr>
    </w:lvl>
    <w:lvl w:ilvl="3" w:tplc="0413000F" w:tentative="1">
      <w:start w:val="1"/>
      <w:numFmt w:val="decimal"/>
      <w:lvlText w:val="%4."/>
      <w:lvlJc w:val="left"/>
      <w:pPr>
        <w:ind w:left="2933" w:hanging="360"/>
      </w:pPr>
    </w:lvl>
    <w:lvl w:ilvl="4" w:tplc="04130019" w:tentative="1">
      <w:start w:val="1"/>
      <w:numFmt w:val="lowerLetter"/>
      <w:lvlText w:val="%5."/>
      <w:lvlJc w:val="left"/>
      <w:pPr>
        <w:ind w:left="3653" w:hanging="360"/>
      </w:pPr>
    </w:lvl>
    <w:lvl w:ilvl="5" w:tplc="0413001B" w:tentative="1">
      <w:start w:val="1"/>
      <w:numFmt w:val="lowerRoman"/>
      <w:lvlText w:val="%6."/>
      <w:lvlJc w:val="right"/>
      <w:pPr>
        <w:ind w:left="4373" w:hanging="180"/>
      </w:pPr>
    </w:lvl>
    <w:lvl w:ilvl="6" w:tplc="0413000F" w:tentative="1">
      <w:start w:val="1"/>
      <w:numFmt w:val="decimal"/>
      <w:lvlText w:val="%7."/>
      <w:lvlJc w:val="left"/>
      <w:pPr>
        <w:ind w:left="5093" w:hanging="360"/>
      </w:pPr>
    </w:lvl>
    <w:lvl w:ilvl="7" w:tplc="04130019" w:tentative="1">
      <w:start w:val="1"/>
      <w:numFmt w:val="lowerLetter"/>
      <w:lvlText w:val="%8."/>
      <w:lvlJc w:val="left"/>
      <w:pPr>
        <w:ind w:left="5813" w:hanging="360"/>
      </w:pPr>
    </w:lvl>
    <w:lvl w:ilvl="8" w:tplc="0413001B" w:tentative="1">
      <w:start w:val="1"/>
      <w:numFmt w:val="lowerRoman"/>
      <w:lvlText w:val="%9."/>
      <w:lvlJc w:val="right"/>
      <w:pPr>
        <w:ind w:left="6533" w:hanging="180"/>
      </w:pPr>
    </w:lvl>
  </w:abstractNum>
  <w:abstractNum w:abstractNumId="3" w15:restartNumberingAfterBreak="0">
    <w:nsid w:val="70942986"/>
    <w:multiLevelType w:val="hybridMultilevel"/>
    <w:tmpl w:val="5254B4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E9"/>
    <w:rsid w:val="0001282E"/>
    <w:rsid w:val="00023DB3"/>
    <w:rsid w:val="000254C1"/>
    <w:rsid w:val="000269A6"/>
    <w:rsid w:val="00064039"/>
    <w:rsid w:val="000829F9"/>
    <w:rsid w:val="000A0DBD"/>
    <w:rsid w:val="0014186C"/>
    <w:rsid w:val="00173FBA"/>
    <w:rsid w:val="001A7D22"/>
    <w:rsid w:val="001C27B0"/>
    <w:rsid w:val="001C384D"/>
    <w:rsid w:val="001D3933"/>
    <w:rsid w:val="001E40CE"/>
    <w:rsid w:val="001F7386"/>
    <w:rsid w:val="00213227"/>
    <w:rsid w:val="00282C3F"/>
    <w:rsid w:val="002B27B9"/>
    <w:rsid w:val="002F0CFE"/>
    <w:rsid w:val="002F41B7"/>
    <w:rsid w:val="00331A7B"/>
    <w:rsid w:val="00334EF0"/>
    <w:rsid w:val="00390EC1"/>
    <w:rsid w:val="003B694F"/>
    <w:rsid w:val="003C30EB"/>
    <w:rsid w:val="003D1497"/>
    <w:rsid w:val="003D25AC"/>
    <w:rsid w:val="003E6FF3"/>
    <w:rsid w:val="00410D02"/>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014E9"/>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36A2F"/>
    <w:rsid w:val="00B41F4D"/>
    <w:rsid w:val="00B42035"/>
    <w:rsid w:val="00B73573"/>
    <w:rsid w:val="00B747D5"/>
    <w:rsid w:val="00B84E49"/>
    <w:rsid w:val="00B920FE"/>
    <w:rsid w:val="00BE36FD"/>
    <w:rsid w:val="00BF3E97"/>
    <w:rsid w:val="00C00533"/>
    <w:rsid w:val="00C0141B"/>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0DB503-96FA-411D-AA77-9349DC6E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8014E9"/>
    <w:rPr>
      <w:rFonts w:ascii="Segoe UI" w:hAnsi="Segoe UI" w:cs="Segoe UI"/>
      <w:sz w:val="18"/>
      <w:szCs w:val="18"/>
    </w:rPr>
  </w:style>
  <w:style w:type="character" w:customStyle="1" w:styleId="BalloonTextChar">
    <w:name w:val="Balloon Text Char"/>
    <w:basedOn w:val="DefaultParagraphFont"/>
    <w:link w:val="BalloonText"/>
    <w:rsid w:val="008014E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335883257">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1537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5</Pages>
  <Words>1513</Words>
  <Characters>8737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2018-03-23T23:46:00Z</cp:lastPrinted>
  <dcterms:created xsi:type="dcterms:W3CDTF">2018-03-26T13:11:00Z</dcterms:created>
  <dcterms:modified xsi:type="dcterms:W3CDTF">2018-03-26T13:11:00Z</dcterms:modified>
</cp:coreProperties>
</file>