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565CA7" w:rsidRDefault="00F94EB4">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565CA7">
        <w:rPr>
          <w:b/>
          <w:sz w:val="36"/>
          <w:szCs w:val="36"/>
          <w:lang w:val="nl-NL"/>
        </w:rPr>
        <w:t>A° 20</w:t>
      </w:r>
      <w:r w:rsidR="00C00533" w:rsidRPr="00565CA7">
        <w:rPr>
          <w:b/>
          <w:sz w:val="36"/>
          <w:szCs w:val="36"/>
          <w:lang w:val="nl-NL"/>
        </w:rPr>
        <w:t>1</w:t>
      </w:r>
      <w:r w:rsidRPr="00565CA7">
        <w:rPr>
          <w:b/>
          <w:sz w:val="36"/>
          <w:szCs w:val="36"/>
          <w:lang w:val="nl-NL"/>
        </w:rPr>
        <w:t>7</w:t>
      </w:r>
      <w:r w:rsidR="003D25AC" w:rsidRPr="00565CA7">
        <w:rPr>
          <w:sz w:val="36"/>
          <w:szCs w:val="36"/>
          <w:lang w:val="nl-NL"/>
        </w:rPr>
        <w:tab/>
      </w:r>
      <w:r w:rsidR="003D25AC" w:rsidRPr="00565CA7">
        <w:rPr>
          <w:b/>
          <w:sz w:val="36"/>
          <w:szCs w:val="36"/>
          <w:lang w:val="nl-NL"/>
        </w:rPr>
        <w:t xml:space="preserve">N° </w:t>
      </w:r>
      <w:r w:rsidR="00151E31">
        <w:rPr>
          <w:b/>
          <w:sz w:val="36"/>
          <w:szCs w:val="36"/>
        </w:rPr>
        <w:fldChar w:fldCharType="begin">
          <w:ffData>
            <w:name w:val="Text2"/>
            <w:enabled/>
            <w:calcOnExit w:val="0"/>
            <w:textInput>
              <w:default w:val="27"/>
            </w:textInput>
          </w:ffData>
        </w:fldChar>
      </w:r>
      <w:bookmarkStart w:id="0" w:name="Text2"/>
      <w:r w:rsidR="00151E31" w:rsidRPr="00151E31">
        <w:rPr>
          <w:b/>
          <w:sz w:val="36"/>
          <w:szCs w:val="36"/>
          <w:lang w:val="nl-NL"/>
        </w:rPr>
        <w:instrText xml:space="preserve"> FORMTEXT </w:instrText>
      </w:r>
      <w:r w:rsidR="00151E31">
        <w:rPr>
          <w:b/>
          <w:sz w:val="36"/>
          <w:szCs w:val="36"/>
        </w:rPr>
      </w:r>
      <w:r w:rsidR="00151E31">
        <w:rPr>
          <w:b/>
          <w:sz w:val="36"/>
          <w:szCs w:val="36"/>
        </w:rPr>
        <w:fldChar w:fldCharType="separate"/>
      </w:r>
      <w:r w:rsidR="00151E31" w:rsidRPr="00151E31">
        <w:rPr>
          <w:b/>
          <w:noProof/>
          <w:sz w:val="36"/>
          <w:szCs w:val="36"/>
          <w:lang w:val="nl-NL"/>
        </w:rPr>
        <w:t>27</w:t>
      </w:r>
      <w:r w:rsidR="00151E31">
        <w:rPr>
          <w:b/>
          <w:sz w:val="36"/>
          <w:szCs w:val="36"/>
        </w:rPr>
        <w:fldChar w:fldCharType="end"/>
      </w:r>
      <w:bookmarkEnd w:id="0"/>
    </w:p>
    <w:p w:rsidR="003D25AC" w:rsidRPr="00565CA7" w:rsidRDefault="003D25AC">
      <w:pPr>
        <w:pStyle w:val="Header"/>
        <w:tabs>
          <w:tab w:val="clear" w:pos="4320"/>
          <w:tab w:val="clear" w:pos="8640"/>
        </w:tabs>
        <w:rPr>
          <w:sz w:val="24"/>
          <w:szCs w:val="24"/>
          <w:lang w:val="nl-NL"/>
        </w:rPr>
      </w:pPr>
    </w:p>
    <w:p w:rsidR="003D25AC" w:rsidRPr="00565CA7" w:rsidRDefault="003D25AC">
      <w:pPr>
        <w:pStyle w:val="Header"/>
        <w:tabs>
          <w:tab w:val="clear" w:pos="4320"/>
          <w:tab w:val="clear" w:pos="8640"/>
        </w:tabs>
        <w:rPr>
          <w:sz w:val="24"/>
          <w:szCs w:val="24"/>
          <w:lang w:val="nl-NL"/>
        </w:rPr>
      </w:pPr>
    </w:p>
    <w:p w:rsidR="003D25AC" w:rsidRPr="00565CA7" w:rsidRDefault="003D25AC">
      <w:pPr>
        <w:pStyle w:val="Header"/>
        <w:tabs>
          <w:tab w:val="clear" w:pos="4320"/>
          <w:tab w:val="clear" w:pos="8640"/>
        </w:tabs>
        <w:rPr>
          <w:sz w:val="24"/>
          <w:szCs w:val="24"/>
          <w:lang w:val="nl-NL"/>
        </w:rPr>
      </w:pPr>
    </w:p>
    <w:p w:rsidR="003D25AC" w:rsidRPr="00565CA7" w:rsidRDefault="003D25AC">
      <w:pPr>
        <w:pStyle w:val="Header"/>
        <w:tabs>
          <w:tab w:val="clear" w:pos="4320"/>
          <w:tab w:val="clear" w:pos="8640"/>
        </w:tabs>
        <w:rPr>
          <w:sz w:val="24"/>
          <w:szCs w:val="24"/>
          <w:lang w:val="nl-NL"/>
        </w:rPr>
      </w:pPr>
    </w:p>
    <w:p w:rsidR="003D25AC" w:rsidRPr="00565CA7" w:rsidRDefault="003D25AC">
      <w:pPr>
        <w:pStyle w:val="Heading1"/>
        <w:rPr>
          <w:b w:val="0"/>
          <w:sz w:val="44"/>
          <w:lang w:val="nl-NL"/>
        </w:rPr>
      </w:pPr>
      <w:r w:rsidRPr="00565CA7">
        <w:rPr>
          <w:b w:val="0"/>
          <w:sz w:val="44"/>
          <w:lang w:val="nl-NL"/>
        </w:rPr>
        <w:t>PUBLICATIEBLAD</w:t>
      </w:r>
    </w:p>
    <w:p w:rsidR="003D25AC" w:rsidRPr="00565CA7" w:rsidRDefault="003D25AC">
      <w:pPr>
        <w:tabs>
          <w:tab w:val="left" w:pos="-720"/>
        </w:tabs>
        <w:suppressAutoHyphens/>
        <w:jc w:val="both"/>
        <w:rPr>
          <w:rFonts w:ascii="Times New Roman" w:hAnsi="Times New Roman"/>
          <w:bCs/>
          <w:spacing w:val="-3"/>
          <w:lang w:val="nl-NL"/>
        </w:rPr>
        <w:sectPr w:rsidR="003D25AC" w:rsidRPr="00565CA7">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565CA7" w:rsidRDefault="003D25AC">
      <w:pPr>
        <w:tabs>
          <w:tab w:val="left" w:pos="-720"/>
        </w:tabs>
        <w:suppressAutoHyphens/>
        <w:jc w:val="both"/>
        <w:rPr>
          <w:rFonts w:ascii="Times New Roman" w:hAnsi="Times New Roman"/>
          <w:bCs/>
          <w:spacing w:val="-3"/>
          <w:lang w:val="nl-NL"/>
        </w:rPr>
      </w:pPr>
    </w:p>
    <w:p w:rsidR="00331A7B" w:rsidRPr="00565CA7" w:rsidRDefault="00331A7B">
      <w:pPr>
        <w:tabs>
          <w:tab w:val="left" w:pos="-720"/>
        </w:tabs>
        <w:suppressAutoHyphens/>
        <w:jc w:val="both"/>
        <w:rPr>
          <w:rFonts w:ascii="Times New Roman" w:hAnsi="Times New Roman"/>
          <w:bCs/>
          <w:spacing w:val="-3"/>
          <w:lang w:val="nl-NL"/>
        </w:rPr>
      </w:pPr>
    </w:p>
    <w:p w:rsidR="00565CA7" w:rsidRPr="00565CA7" w:rsidRDefault="00565CA7" w:rsidP="00565CA7">
      <w:pPr>
        <w:pStyle w:val="NoSpacing"/>
        <w:jc w:val="both"/>
        <w:rPr>
          <w:rFonts w:ascii="Palatino Linotype" w:hAnsi="Palatino Linotype"/>
          <w:b/>
        </w:rPr>
      </w:pPr>
      <w:r w:rsidRPr="00565CA7">
        <w:rPr>
          <w:rFonts w:ascii="Palatino Linotype" w:hAnsi="Palatino Linotype"/>
          <w:b/>
        </w:rPr>
        <w:t xml:space="preserve">Regeling van de Minister van Infrastructuur en Milieu, van 5 december 2016, nr. IENM/BSK-2016/273177, tot wijziging van de Regeling geluidniveaus aan boord van vissersvaartuigen in verband met het vervallen van de dwingende verwijzing naar een </w:t>
      </w:r>
      <w:proofErr w:type="spellStart"/>
      <w:r w:rsidRPr="00565CA7">
        <w:rPr>
          <w:rFonts w:ascii="Palatino Linotype" w:hAnsi="Palatino Linotype"/>
          <w:b/>
        </w:rPr>
        <w:t>NEN-norm</w:t>
      </w:r>
      <w:proofErr w:type="spellEnd"/>
    </w:p>
    <w:p w:rsidR="00565CA7" w:rsidRDefault="00565CA7" w:rsidP="00565CA7">
      <w:pPr>
        <w:pStyle w:val="NoSpacing"/>
        <w:jc w:val="both"/>
        <w:rPr>
          <w:rFonts w:ascii="Palatino Linotype" w:hAnsi="Palatino Linotype"/>
        </w:rPr>
      </w:pPr>
    </w:p>
    <w:p w:rsidR="00565CA7" w:rsidRDefault="00565CA7" w:rsidP="00565CA7">
      <w:pPr>
        <w:pStyle w:val="NoSpacing"/>
        <w:jc w:val="center"/>
        <w:rPr>
          <w:rFonts w:ascii="Palatino Linotype" w:hAnsi="Palatino Linotype"/>
        </w:rPr>
      </w:pPr>
      <w:r>
        <w:rPr>
          <w:rFonts w:ascii="Palatino Linotype" w:hAnsi="Palatino Linotype"/>
        </w:rPr>
        <w:t>______</w:t>
      </w:r>
      <w:r w:rsidR="00E71797">
        <w:rPr>
          <w:rFonts w:ascii="Palatino Linotype" w:hAnsi="Palatino Linotype"/>
        </w:rPr>
        <w:t>______</w:t>
      </w:r>
    </w:p>
    <w:p w:rsidR="00565CA7" w:rsidRPr="00892498" w:rsidRDefault="00565CA7" w:rsidP="00565CA7">
      <w:pPr>
        <w:pStyle w:val="NoSpacing"/>
        <w:jc w:val="both"/>
        <w:rPr>
          <w:rFonts w:ascii="Palatino Linotype" w:hAnsi="Palatino Linotype"/>
        </w:rPr>
      </w:pPr>
    </w:p>
    <w:p w:rsidR="00C53C06" w:rsidRDefault="00151E31" w:rsidP="00565CA7">
      <w:pPr>
        <w:pStyle w:val="NoSpacing"/>
        <w:jc w:val="both"/>
        <w:rPr>
          <w:rFonts w:ascii="Palatino Linotype" w:hAnsi="Palatino Linotype"/>
        </w:rPr>
      </w:pPr>
      <w:r w:rsidRPr="00892498">
        <w:rPr>
          <w:rFonts w:ascii="Palatino Linotype" w:hAnsi="Palatino Linotype"/>
        </w:rPr>
        <w:t>DE MINISTER VAN INFRASTRUCTUUR EN MILIEU,</w:t>
      </w:r>
      <w:r>
        <w:rPr>
          <w:rFonts w:ascii="Palatino Linotype" w:hAnsi="Palatino Linotype"/>
        </w:rPr>
        <w:t xml:space="preserve"> </w:t>
      </w:r>
    </w:p>
    <w:p w:rsidR="00C53C06" w:rsidRDefault="00C53C06" w:rsidP="00565CA7">
      <w:pPr>
        <w:pStyle w:val="NoSpacing"/>
        <w:jc w:val="both"/>
        <w:rPr>
          <w:rFonts w:ascii="Palatino Linotype" w:hAnsi="Palatino Linotype"/>
        </w:rPr>
      </w:pPr>
    </w:p>
    <w:p w:rsidR="00565CA7" w:rsidRDefault="00C53C06" w:rsidP="00565CA7">
      <w:pPr>
        <w:pStyle w:val="NoSpacing"/>
        <w:jc w:val="both"/>
        <w:rPr>
          <w:rFonts w:ascii="Palatino Linotype" w:hAnsi="Palatino Linotype"/>
        </w:rPr>
      </w:pPr>
      <w:r>
        <w:rPr>
          <w:rFonts w:ascii="Palatino Linotype" w:hAnsi="Palatino Linotype"/>
        </w:rPr>
        <w:t>H</w:t>
      </w:r>
      <w:r w:rsidR="00565CA7" w:rsidRPr="00892498">
        <w:rPr>
          <w:rFonts w:ascii="Palatino Linotype" w:hAnsi="Palatino Linotype"/>
        </w:rPr>
        <w:t>andelende in overeenstemming met de Minister van Toerisme, Transport, Primaire sector en Cultuur van Aruba, de Minister van Verkeer, Vervoer en Ruimtelijke Planning van Curaçao en de Minister van Toerisme, Economische Zaken, Verkeer en Telecommunicatie van Sint Maarten;</w:t>
      </w:r>
    </w:p>
    <w:p w:rsidR="00565CA7" w:rsidRPr="00892498" w:rsidRDefault="00565CA7" w:rsidP="00565CA7">
      <w:pPr>
        <w:pStyle w:val="NoSpacing"/>
        <w:jc w:val="both"/>
        <w:rPr>
          <w:rFonts w:ascii="Palatino Linotype" w:hAnsi="Palatino Linotype"/>
        </w:rPr>
      </w:pPr>
    </w:p>
    <w:p w:rsidR="00565CA7" w:rsidRDefault="00565CA7" w:rsidP="00565CA7">
      <w:pPr>
        <w:pStyle w:val="NoSpacing"/>
        <w:ind w:left="567"/>
        <w:jc w:val="both"/>
        <w:rPr>
          <w:rFonts w:ascii="Palatino Linotype" w:hAnsi="Palatino Linotype"/>
        </w:rPr>
      </w:pPr>
      <w:r w:rsidRPr="00892498">
        <w:rPr>
          <w:rFonts w:ascii="Palatino Linotype" w:hAnsi="Palatino Linotype"/>
        </w:rPr>
        <w:t>Gelet op artikel 193b, vierde lid, van het Vissersvaartuigenbesluit;</w:t>
      </w:r>
    </w:p>
    <w:p w:rsidR="00565CA7" w:rsidRPr="00892498" w:rsidRDefault="00565CA7" w:rsidP="00565CA7">
      <w:pPr>
        <w:pStyle w:val="NoSpacing"/>
        <w:jc w:val="both"/>
        <w:rPr>
          <w:rFonts w:ascii="Palatino Linotype" w:hAnsi="Palatino Linotype"/>
        </w:rPr>
      </w:pPr>
    </w:p>
    <w:p w:rsidR="00565CA7" w:rsidRDefault="00565CA7" w:rsidP="00565CA7">
      <w:pPr>
        <w:pStyle w:val="NoSpacing"/>
        <w:jc w:val="center"/>
        <w:rPr>
          <w:rFonts w:ascii="Palatino Linotype" w:hAnsi="Palatino Linotype"/>
        </w:rPr>
      </w:pPr>
      <w:r w:rsidRPr="00892498">
        <w:rPr>
          <w:rFonts w:ascii="Palatino Linotype" w:hAnsi="Palatino Linotype"/>
        </w:rPr>
        <w:t>Besluit:</w:t>
      </w:r>
    </w:p>
    <w:p w:rsidR="00565CA7" w:rsidRPr="00892498" w:rsidRDefault="00565CA7" w:rsidP="00565CA7">
      <w:pPr>
        <w:pStyle w:val="NoSpacing"/>
        <w:jc w:val="both"/>
        <w:rPr>
          <w:rFonts w:ascii="Palatino Linotype" w:hAnsi="Palatino Linotype"/>
        </w:rPr>
      </w:pPr>
    </w:p>
    <w:p w:rsidR="00565CA7" w:rsidRPr="00565CA7" w:rsidRDefault="00565CA7" w:rsidP="00565CA7">
      <w:pPr>
        <w:pStyle w:val="NoSpacing"/>
        <w:rPr>
          <w:rFonts w:ascii="Palatino Linotype" w:hAnsi="Palatino Linotype"/>
        </w:rPr>
      </w:pPr>
      <w:r w:rsidRPr="00565CA7">
        <w:rPr>
          <w:rFonts w:ascii="Palatino Linotype" w:hAnsi="Palatino Linotype"/>
        </w:rPr>
        <w:t xml:space="preserve">ARTIKEL I </w:t>
      </w:r>
    </w:p>
    <w:p w:rsidR="00565CA7" w:rsidRPr="00892498" w:rsidRDefault="00565CA7" w:rsidP="00565CA7">
      <w:pPr>
        <w:pStyle w:val="NoSpacing"/>
        <w:rPr>
          <w:rFonts w:ascii="Palatino Linotype" w:hAnsi="Palatino Linotype"/>
        </w:rPr>
      </w:pPr>
    </w:p>
    <w:p w:rsidR="00565CA7" w:rsidRDefault="00565CA7" w:rsidP="00565CA7">
      <w:pPr>
        <w:pStyle w:val="NoSpacing"/>
        <w:rPr>
          <w:rFonts w:ascii="Palatino Linotype" w:hAnsi="Palatino Linotype"/>
        </w:rPr>
      </w:pPr>
      <w:r w:rsidRPr="00892498">
        <w:rPr>
          <w:rFonts w:ascii="Palatino Linotype" w:hAnsi="Palatino Linotype"/>
        </w:rPr>
        <w:t>De Regeling geluidniveaus aan boord van vissersvaartuigen wordt als volgt gewijzigd:</w:t>
      </w:r>
    </w:p>
    <w:p w:rsidR="00565CA7" w:rsidRPr="00892498" w:rsidRDefault="00565CA7" w:rsidP="00565CA7">
      <w:pPr>
        <w:pStyle w:val="NoSpacing"/>
        <w:rPr>
          <w:rFonts w:ascii="Palatino Linotype" w:hAnsi="Palatino Linotype"/>
        </w:rPr>
      </w:pPr>
    </w:p>
    <w:p w:rsidR="00565CA7" w:rsidRDefault="00565CA7" w:rsidP="00565CA7">
      <w:pPr>
        <w:pStyle w:val="NoSpacing"/>
        <w:rPr>
          <w:rFonts w:ascii="Palatino Linotype" w:hAnsi="Palatino Linotype"/>
        </w:rPr>
      </w:pPr>
      <w:r w:rsidRPr="00892498">
        <w:rPr>
          <w:rFonts w:ascii="Palatino Linotype" w:hAnsi="Palatino Linotype"/>
        </w:rPr>
        <w:t>A</w:t>
      </w:r>
    </w:p>
    <w:p w:rsidR="00565CA7" w:rsidRDefault="00565CA7" w:rsidP="00565CA7">
      <w:pPr>
        <w:pStyle w:val="NoSpacing"/>
        <w:rPr>
          <w:rFonts w:ascii="Palatino Linotype" w:hAnsi="Palatino Linotype"/>
        </w:rPr>
      </w:pPr>
      <w:r w:rsidRPr="00892498">
        <w:rPr>
          <w:rFonts w:ascii="Palatino Linotype" w:hAnsi="Palatino Linotype"/>
        </w:rPr>
        <w:t>Aan artikel 5, eerste lid, wordt een tabel toegevoegd, luidende:</w:t>
      </w:r>
    </w:p>
    <w:p w:rsidR="00565CA7" w:rsidRPr="00892498" w:rsidRDefault="00565CA7" w:rsidP="00565CA7">
      <w:pPr>
        <w:pStyle w:val="NoSpacing"/>
        <w:rPr>
          <w:rFonts w:ascii="Palatino Linotype" w:hAnsi="Palatino Linotype"/>
        </w:rPr>
      </w:pPr>
      <w:r w:rsidRPr="00892498">
        <w:rPr>
          <w:rFonts w:ascii="Palatino Linotype" w:hAnsi="Palatino Linotype"/>
        </w:rPr>
        <w:t xml:space="preserve"> </w:t>
      </w:r>
    </w:p>
    <w:p w:rsidR="00565CA7" w:rsidRDefault="00565CA7" w:rsidP="00565CA7">
      <w:pPr>
        <w:pStyle w:val="NoSpacing"/>
        <w:rPr>
          <w:rFonts w:ascii="Palatino Linotype" w:hAnsi="Palatino Linotype"/>
          <w:b/>
        </w:rPr>
      </w:pPr>
      <w:r w:rsidRPr="00892498">
        <w:rPr>
          <w:rFonts w:ascii="Palatino Linotype" w:hAnsi="Palatino Linotype"/>
          <w:b/>
        </w:rPr>
        <w:t>Tabel – Werkelijke in het oor optredende niveauverlagingswaarden van gehoorbeschermingsmiddelen in dB(A)</w:t>
      </w:r>
    </w:p>
    <w:p w:rsidR="00565CA7" w:rsidRPr="00892498" w:rsidRDefault="00565CA7" w:rsidP="00565CA7">
      <w:pPr>
        <w:pStyle w:val="NoSpacing"/>
        <w:rPr>
          <w:rFonts w:ascii="Palatino Linotype" w:hAnsi="Palatino Linotype"/>
          <w:b/>
        </w:rPr>
      </w:pPr>
    </w:p>
    <w:tbl>
      <w:tblPr>
        <w:tblStyle w:val="TableGrid"/>
        <w:tblW w:w="5000" w:type="pct"/>
        <w:tblLook w:val="04A0" w:firstRow="1" w:lastRow="0" w:firstColumn="1" w:lastColumn="0" w:noHBand="0" w:noVBand="1"/>
      </w:tblPr>
      <w:tblGrid>
        <w:gridCol w:w="2936"/>
        <w:gridCol w:w="1248"/>
        <w:gridCol w:w="599"/>
        <w:gridCol w:w="599"/>
        <w:gridCol w:w="783"/>
        <w:gridCol w:w="783"/>
        <w:gridCol w:w="784"/>
        <w:gridCol w:w="784"/>
        <w:gridCol w:w="784"/>
      </w:tblGrid>
      <w:tr w:rsidR="00565CA7" w:rsidRPr="00EB2BEC" w:rsidTr="007B664A">
        <w:tc>
          <w:tcPr>
            <w:tcW w:w="1561" w:type="pct"/>
          </w:tcPr>
          <w:p w:rsidR="00565CA7" w:rsidRPr="005F1252" w:rsidRDefault="00565CA7" w:rsidP="007B664A">
            <w:pPr>
              <w:pStyle w:val="textcell7left"/>
              <w:jc w:val="both"/>
              <w:rPr>
                <w:rFonts w:ascii="Palatino Linotype" w:hAnsi="Palatino Linotype"/>
                <w:sz w:val="22"/>
              </w:rPr>
            </w:pPr>
          </w:p>
        </w:tc>
        <w:tc>
          <w:tcPr>
            <w:tcW w:w="3439" w:type="pct"/>
            <w:gridSpan w:val="8"/>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b/>
                <w:sz w:val="22"/>
              </w:rPr>
              <w:t>Middenfrequentie van de octaafbanden (in Hz)</w:t>
            </w:r>
          </w:p>
        </w:tc>
      </w:tr>
      <w:tr w:rsidR="00565CA7" w:rsidRPr="005F1252" w:rsidTr="007B664A">
        <w:tc>
          <w:tcPr>
            <w:tcW w:w="1561" w:type="pct"/>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Type gehoorbeschermingsmiddel</w:t>
            </w:r>
          </w:p>
        </w:tc>
        <w:tc>
          <w:tcPr>
            <w:tcW w:w="673" w:type="pct"/>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125</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250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500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1.000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2.000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3.150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4.000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6.300</w:t>
            </w:r>
          </w:p>
        </w:tc>
      </w:tr>
      <w:tr w:rsidR="00565CA7" w:rsidRPr="005F1252" w:rsidTr="007B664A">
        <w:tc>
          <w:tcPr>
            <w:tcW w:w="1561" w:type="pct"/>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Oordoppen</w:t>
            </w:r>
          </w:p>
        </w:tc>
        <w:tc>
          <w:tcPr>
            <w:tcW w:w="673" w:type="pct"/>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5</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10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15</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22</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22</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22</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22</w:t>
            </w:r>
          </w:p>
        </w:tc>
      </w:tr>
      <w:tr w:rsidR="00565CA7" w:rsidRPr="005F1252" w:rsidTr="007B664A">
        <w:tc>
          <w:tcPr>
            <w:tcW w:w="1561" w:type="pct"/>
          </w:tcPr>
          <w:p w:rsidR="00565CA7" w:rsidRPr="005F1252" w:rsidRDefault="00565CA7" w:rsidP="007B664A">
            <w:pPr>
              <w:pStyle w:val="textcell7left"/>
              <w:jc w:val="both"/>
              <w:rPr>
                <w:rFonts w:ascii="Palatino Linotype" w:hAnsi="Palatino Linotype"/>
                <w:sz w:val="22"/>
              </w:rPr>
            </w:pPr>
            <w:proofErr w:type="spellStart"/>
            <w:r w:rsidRPr="005F1252">
              <w:rPr>
                <w:rFonts w:ascii="Palatino Linotype" w:hAnsi="Palatino Linotype"/>
                <w:sz w:val="22"/>
              </w:rPr>
              <w:t>Oorkappen</w:t>
            </w:r>
            <w:proofErr w:type="spellEnd"/>
          </w:p>
        </w:tc>
        <w:tc>
          <w:tcPr>
            <w:tcW w:w="673" w:type="pct"/>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5</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12</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20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30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30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30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30</w:t>
            </w:r>
          </w:p>
        </w:tc>
        <w:tc>
          <w:tcPr>
            <w:tcW w:w="0" w:type="auto"/>
          </w:tcPr>
          <w:p w:rsidR="00565CA7" w:rsidRPr="005F1252" w:rsidRDefault="00565CA7" w:rsidP="007B664A">
            <w:pPr>
              <w:pStyle w:val="textcell7left"/>
              <w:jc w:val="both"/>
              <w:rPr>
                <w:rFonts w:ascii="Palatino Linotype" w:hAnsi="Palatino Linotype"/>
                <w:sz w:val="22"/>
              </w:rPr>
            </w:pPr>
            <w:r w:rsidRPr="005F1252">
              <w:rPr>
                <w:rFonts w:ascii="Palatino Linotype" w:hAnsi="Palatino Linotype"/>
                <w:sz w:val="22"/>
              </w:rPr>
              <w:t>30</w:t>
            </w:r>
          </w:p>
        </w:tc>
      </w:tr>
    </w:tbl>
    <w:p w:rsidR="00565CA7" w:rsidRPr="00892498" w:rsidRDefault="00565CA7" w:rsidP="00565CA7">
      <w:pPr>
        <w:pStyle w:val="NoSpacing"/>
        <w:rPr>
          <w:rFonts w:ascii="Palatino Linotype" w:hAnsi="Palatino Linotype"/>
        </w:rPr>
      </w:pPr>
      <w:r w:rsidRPr="00892498">
        <w:rPr>
          <w:rFonts w:ascii="Palatino Linotype" w:hAnsi="Palatino Linotype"/>
        </w:rPr>
        <w:t xml:space="preserve"> </w:t>
      </w:r>
    </w:p>
    <w:p w:rsidR="00565CA7" w:rsidRPr="00892498" w:rsidRDefault="00565CA7" w:rsidP="00565CA7">
      <w:pPr>
        <w:pStyle w:val="NoSpacing"/>
        <w:rPr>
          <w:rFonts w:ascii="Palatino Linotype" w:hAnsi="Palatino Linotype"/>
        </w:rPr>
      </w:pPr>
      <w:r w:rsidRPr="00892498">
        <w:rPr>
          <w:rFonts w:ascii="Palatino Linotype" w:hAnsi="Palatino Linotype"/>
        </w:rPr>
        <w:t>B</w:t>
      </w:r>
    </w:p>
    <w:p w:rsidR="00565CA7" w:rsidRPr="00892498" w:rsidRDefault="00565CA7" w:rsidP="00565CA7">
      <w:pPr>
        <w:pStyle w:val="NoSpacing"/>
        <w:rPr>
          <w:rFonts w:ascii="Palatino Linotype" w:hAnsi="Palatino Linotype"/>
        </w:rPr>
      </w:pPr>
      <w:r w:rsidRPr="00892498">
        <w:rPr>
          <w:rFonts w:ascii="Palatino Linotype" w:hAnsi="Palatino Linotype"/>
        </w:rPr>
        <w:t>Artikel 6 komt te luiden:</w:t>
      </w:r>
    </w:p>
    <w:p w:rsidR="00565CA7" w:rsidRPr="00892498" w:rsidRDefault="00565CA7" w:rsidP="00565CA7">
      <w:pPr>
        <w:pStyle w:val="NoSpacing"/>
        <w:rPr>
          <w:rFonts w:ascii="Palatino Linotype" w:hAnsi="Palatino Linotype"/>
        </w:rPr>
      </w:pPr>
      <w:r w:rsidRPr="00892498">
        <w:rPr>
          <w:rFonts w:ascii="Palatino Linotype" w:hAnsi="Palatino Linotype"/>
        </w:rPr>
        <w:t xml:space="preserve"> </w:t>
      </w:r>
    </w:p>
    <w:p w:rsidR="00565CA7" w:rsidRPr="00892498" w:rsidRDefault="00565CA7" w:rsidP="00565CA7">
      <w:pPr>
        <w:pStyle w:val="NoSpacing"/>
        <w:rPr>
          <w:rFonts w:ascii="Palatino Linotype" w:hAnsi="Palatino Linotype"/>
          <w:b/>
        </w:rPr>
      </w:pPr>
      <w:r w:rsidRPr="00892498">
        <w:rPr>
          <w:rFonts w:ascii="Palatino Linotype" w:hAnsi="Palatino Linotype"/>
          <w:b/>
        </w:rPr>
        <w:t xml:space="preserve">Artikel 6 </w:t>
      </w:r>
    </w:p>
    <w:p w:rsidR="00565CA7" w:rsidRPr="00892498" w:rsidRDefault="00565CA7" w:rsidP="00565CA7">
      <w:pPr>
        <w:pStyle w:val="NoSpacing"/>
        <w:tabs>
          <w:tab w:val="left" w:pos="284"/>
        </w:tabs>
        <w:ind w:left="284" w:hanging="284"/>
        <w:jc w:val="both"/>
        <w:rPr>
          <w:rFonts w:ascii="Palatino Linotype" w:hAnsi="Palatino Linotype"/>
        </w:rPr>
      </w:pPr>
      <w:r w:rsidRPr="005F1252">
        <w:t>1.</w:t>
      </w:r>
      <w:r>
        <w:tab/>
      </w:r>
      <w:proofErr w:type="gramStart"/>
      <w:r w:rsidRPr="00892498">
        <w:rPr>
          <w:rFonts w:ascii="Palatino Linotype" w:hAnsi="Palatino Linotype"/>
        </w:rPr>
        <w:t xml:space="preserve">In ruimten waar het geluidniveau-A hoger is dan 85 dB(A), worden bij de toegangen tot die ruimten waarschuwingsborden aangebracht waarop duidelijk is aangegeven dat in de te betreden ruimte het dragen van gehoorbescherming verplicht is. </w:t>
      </w:r>
      <w:proofErr w:type="gramEnd"/>
      <w:r w:rsidRPr="00892498">
        <w:rPr>
          <w:rFonts w:ascii="Palatino Linotype" w:hAnsi="Palatino Linotype"/>
        </w:rPr>
        <w:t xml:space="preserve">Indien in een vrij klein </w:t>
      </w:r>
      <w:r w:rsidRPr="00892498">
        <w:rPr>
          <w:rFonts w:ascii="Palatino Linotype" w:hAnsi="Palatino Linotype"/>
        </w:rPr>
        <w:lastRenderedPageBreak/>
        <w:t>gedeelte van een ruimte een dergelijk geluidniveau-A aanwezig is, wordt op de desbetreffende plaats of plaatsen op ooghoogte een waarschuwing aangebracht, zichtbaar vanuit elke toegangsrichting.</w:t>
      </w:r>
    </w:p>
    <w:p w:rsidR="00565CA7" w:rsidRPr="005F1252" w:rsidRDefault="00565CA7" w:rsidP="00565CA7">
      <w:pPr>
        <w:pStyle w:val="NoSpacing"/>
        <w:tabs>
          <w:tab w:val="left" w:pos="284"/>
        </w:tabs>
        <w:ind w:left="284" w:hanging="284"/>
        <w:jc w:val="both"/>
      </w:pPr>
      <w:r w:rsidRPr="00892498">
        <w:rPr>
          <w:rFonts w:ascii="Palatino Linotype" w:hAnsi="Palatino Linotype"/>
        </w:rPr>
        <w:t>2.</w:t>
      </w:r>
      <w:r>
        <w:rPr>
          <w:rFonts w:ascii="Palatino Linotype" w:hAnsi="Palatino Linotype"/>
        </w:rPr>
        <w:tab/>
      </w:r>
      <w:r w:rsidRPr="00892498">
        <w:rPr>
          <w:rFonts w:ascii="Palatino Linotype" w:hAnsi="Palatino Linotype"/>
        </w:rPr>
        <w:t xml:space="preserve">Aan het eerste lid wordt in ieder geval voldaan indien op het </w:t>
      </w:r>
      <w:proofErr w:type="spellStart"/>
      <w:r w:rsidRPr="00892498">
        <w:rPr>
          <w:rFonts w:ascii="Palatino Linotype" w:hAnsi="Palatino Linotype"/>
        </w:rPr>
        <w:t>waarschuwingsbod</w:t>
      </w:r>
      <w:proofErr w:type="spellEnd"/>
      <w:r w:rsidRPr="00892498">
        <w:rPr>
          <w:rFonts w:ascii="Palatino Linotype" w:hAnsi="Palatino Linotype"/>
        </w:rPr>
        <w:t xml:space="preserve"> een pictogram betreffende gehoorbescherming als bedoeld in NEN 3011:2015: Nederlandse norm voor Veiligheidskleuren</w:t>
      </w:r>
      <w:r w:rsidRPr="005F1252">
        <w:t xml:space="preserve"> </w:t>
      </w:r>
      <w:r w:rsidRPr="006D71EE">
        <w:rPr>
          <w:rFonts w:ascii="Palatino Linotype" w:hAnsi="Palatino Linotype"/>
        </w:rPr>
        <w:t>en -tekens in de werkomgeving en in de openbare ruimte, is aangebracht.</w:t>
      </w:r>
      <w:bookmarkStart w:id="1" w:name="_GoBack"/>
      <w:bookmarkEnd w:id="1"/>
    </w:p>
    <w:p w:rsidR="00565CA7" w:rsidRPr="00565CA7" w:rsidRDefault="00565CA7" w:rsidP="00565CA7">
      <w:pPr>
        <w:jc w:val="both"/>
        <w:rPr>
          <w:rFonts w:ascii="Palatino Linotype" w:hAnsi="Palatino Linotype"/>
          <w:lang w:val="nl-NL"/>
        </w:rPr>
      </w:pPr>
      <w:r w:rsidRPr="00565CA7">
        <w:rPr>
          <w:rFonts w:ascii="Palatino Linotype" w:hAnsi="Palatino Linotype"/>
          <w:lang w:val="nl-NL"/>
        </w:rPr>
        <w:t xml:space="preserve"> </w:t>
      </w:r>
    </w:p>
    <w:p w:rsidR="00565CA7" w:rsidRPr="00565CA7" w:rsidRDefault="00565CA7" w:rsidP="00565CA7">
      <w:pPr>
        <w:pStyle w:val="NoSpacing"/>
        <w:jc w:val="both"/>
        <w:rPr>
          <w:rFonts w:ascii="Palatino Linotype" w:hAnsi="Palatino Linotype"/>
        </w:rPr>
      </w:pPr>
      <w:r w:rsidRPr="00565CA7">
        <w:rPr>
          <w:rFonts w:ascii="Palatino Linotype" w:hAnsi="Palatino Linotype"/>
        </w:rPr>
        <w:t xml:space="preserve">ARTIKEL II </w:t>
      </w:r>
    </w:p>
    <w:p w:rsidR="00565CA7" w:rsidRDefault="00565CA7" w:rsidP="00565CA7">
      <w:pPr>
        <w:pStyle w:val="NoSpacing"/>
        <w:jc w:val="both"/>
        <w:rPr>
          <w:rFonts w:ascii="Palatino Linotype" w:hAnsi="Palatino Linotype"/>
        </w:rPr>
      </w:pPr>
    </w:p>
    <w:p w:rsidR="00565CA7" w:rsidRPr="00892498" w:rsidRDefault="00565CA7" w:rsidP="00565CA7">
      <w:pPr>
        <w:pStyle w:val="NoSpacing"/>
        <w:jc w:val="both"/>
        <w:rPr>
          <w:rFonts w:ascii="Palatino Linotype" w:hAnsi="Palatino Linotype"/>
        </w:rPr>
      </w:pPr>
      <w:r w:rsidRPr="00892498">
        <w:rPr>
          <w:rFonts w:ascii="Palatino Linotype" w:hAnsi="Palatino Linotype"/>
        </w:rPr>
        <w:t>Deze regeling treedt in werking met ingang van 1 januari 2017.</w:t>
      </w:r>
    </w:p>
    <w:p w:rsidR="00565CA7" w:rsidRDefault="00565CA7" w:rsidP="00565CA7">
      <w:pPr>
        <w:pStyle w:val="NoSpacing"/>
        <w:jc w:val="both"/>
        <w:rPr>
          <w:rFonts w:ascii="Palatino Linotype" w:hAnsi="Palatino Linotype"/>
        </w:rPr>
      </w:pPr>
    </w:p>
    <w:p w:rsidR="00565CA7" w:rsidRPr="00892498" w:rsidRDefault="00565CA7" w:rsidP="00565CA7">
      <w:pPr>
        <w:pStyle w:val="NoSpacing"/>
        <w:jc w:val="both"/>
        <w:rPr>
          <w:rFonts w:ascii="Palatino Linotype" w:hAnsi="Palatino Linotype"/>
        </w:rPr>
      </w:pPr>
      <w:r w:rsidRPr="00892498">
        <w:rPr>
          <w:rFonts w:ascii="Palatino Linotype" w:hAnsi="Palatino Linotype"/>
        </w:rPr>
        <w:t>Deze regeling zal met de toelichting in de Staatscourant, in het Afkondigingsblad van Aruba, in het Publicatieblad van Curaçao en in het Afkondigingsblad van Sint Maarten worden geplaatst.</w:t>
      </w:r>
    </w:p>
    <w:p w:rsidR="00565CA7" w:rsidRDefault="00565CA7" w:rsidP="00565CA7">
      <w:pPr>
        <w:pStyle w:val="NoSpacing"/>
        <w:jc w:val="both"/>
        <w:rPr>
          <w:rFonts w:ascii="Palatino Linotype" w:hAnsi="Palatino Linotype"/>
        </w:rPr>
      </w:pPr>
    </w:p>
    <w:p w:rsidR="00151E31" w:rsidRDefault="00151E31" w:rsidP="00565CA7">
      <w:pPr>
        <w:pStyle w:val="NoSpacing"/>
        <w:jc w:val="both"/>
        <w:rPr>
          <w:rFonts w:ascii="Palatino Linotype" w:hAnsi="Palatino Linotype"/>
        </w:rPr>
      </w:pPr>
    </w:p>
    <w:p w:rsidR="00565CA7" w:rsidRPr="00892498" w:rsidRDefault="00565CA7" w:rsidP="00565CA7">
      <w:pPr>
        <w:pStyle w:val="NoSpacing"/>
        <w:jc w:val="both"/>
        <w:rPr>
          <w:rFonts w:ascii="Palatino Linotype" w:hAnsi="Palatino Linotype"/>
        </w:rPr>
      </w:pPr>
      <w:r w:rsidRPr="00892498">
        <w:rPr>
          <w:rFonts w:ascii="Palatino Linotype" w:hAnsi="Palatino Linotype"/>
        </w:rPr>
        <w:t>De Minister van Infrastructuur en Milieu,</w:t>
      </w:r>
    </w:p>
    <w:p w:rsidR="00565CA7" w:rsidRPr="00892498" w:rsidRDefault="00565CA7" w:rsidP="00565CA7">
      <w:pPr>
        <w:pStyle w:val="NoSpacing"/>
        <w:jc w:val="both"/>
        <w:rPr>
          <w:rFonts w:ascii="Palatino Linotype" w:hAnsi="Palatino Linotype"/>
        </w:rPr>
      </w:pPr>
      <w:r w:rsidRPr="00892498">
        <w:rPr>
          <w:rFonts w:ascii="Palatino Linotype" w:hAnsi="Palatino Linotype"/>
        </w:rPr>
        <w:t xml:space="preserve">M.H. Schultz van Haegen-Maas </w:t>
      </w:r>
      <w:proofErr w:type="spellStart"/>
      <w:r w:rsidRPr="00892498">
        <w:rPr>
          <w:rFonts w:ascii="Palatino Linotype" w:hAnsi="Palatino Linotype"/>
        </w:rPr>
        <w:t>Geesteranus</w:t>
      </w:r>
      <w:proofErr w:type="spellEnd"/>
    </w:p>
    <w:p w:rsidR="00565CA7" w:rsidRPr="00565CA7" w:rsidRDefault="00565CA7" w:rsidP="00565CA7">
      <w:pPr>
        <w:jc w:val="both"/>
        <w:rPr>
          <w:rFonts w:ascii="Palatino Linotype" w:hAnsi="Palatino Linotype"/>
          <w:lang w:val="nl-NL"/>
        </w:rPr>
      </w:pPr>
      <w:r w:rsidRPr="00565CA7">
        <w:rPr>
          <w:rFonts w:ascii="Palatino Linotype" w:hAnsi="Palatino Linotype"/>
          <w:lang w:val="nl-NL"/>
        </w:rPr>
        <w:br w:type="page"/>
      </w:r>
    </w:p>
    <w:p w:rsidR="00565CA7" w:rsidRPr="00892498" w:rsidRDefault="00565CA7" w:rsidP="00565CA7">
      <w:pPr>
        <w:pStyle w:val="NoSpacing"/>
        <w:rPr>
          <w:rFonts w:ascii="Palatino Linotype" w:hAnsi="Palatino Linotype"/>
          <w:b/>
        </w:rPr>
      </w:pPr>
      <w:r w:rsidRPr="00892498">
        <w:rPr>
          <w:rFonts w:ascii="Palatino Linotype" w:hAnsi="Palatino Linotype"/>
          <w:b/>
        </w:rPr>
        <w:lastRenderedPageBreak/>
        <w:t>TOELICHTING</w:t>
      </w:r>
    </w:p>
    <w:p w:rsidR="00565CA7" w:rsidRDefault="00565CA7" w:rsidP="00565CA7">
      <w:pPr>
        <w:pStyle w:val="NoSpacing"/>
        <w:rPr>
          <w:rFonts w:ascii="Palatino Linotype" w:hAnsi="Palatino Linotype"/>
          <w:b/>
        </w:rPr>
      </w:pPr>
    </w:p>
    <w:p w:rsidR="00565CA7" w:rsidRDefault="00565CA7" w:rsidP="00565CA7">
      <w:pPr>
        <w:pStyle w:val="NoSpacing"/>
        <w:rPr>
          <w:rFonts w:ascii="Palatino Linotype" w:hAnsi="Palatino Linotype"/>
          <w:b/>
        </w:rPr>
      </w:pPr>
      <w:r w:rsidRPr="00892498">
        <w:rPr>
          <w:rFonts w:ascii="Palatino Linotype" w:hAnsi="Palatino Linotype"/>
          <w:b/>
        </w:rPr>
        <w:t>Inleiding</w:t>
      </w:r>
    </w:p>
    <w:p w:rsidR="00565CA7" w:rsidRPr="00892498" w:rsidRDefault="00565CA7" w:rsidP="00565CA7">
      <w:pPr>
        <w:pStyle w:val="NoSpacing"/>
        <w:rPr>
          <w:rFonts w:ascii="Palatino Linotype" w:hAnsi="Palatino Linotype"/>
          <w:b/>
        </w:rPr>
      </w:pPr>
    </w:p>
    <w:p w:rsidR="00565CA7" w:rsidRPr="00892498" w:rsidRDefault="00565CA7" w:rsidP="00565CA7">
      <w:pPr>
        <w:pStyle w:val="NoSpacing"/>
        <w:jc w:val="both"/>
        <w:rPr>
          <w:rFonts w:ascii="Palatino Linotype" w:hAnsi="Palatino Linotype"/>
        </w:rPr>
      </w:pPr>
      <w:r w:rsidRPr="00892498">
        <w:rPr>
          <w:rFonts w:ascii="Palatino Linotype" w:hAnsi="Palatino Linotype"/>
        </w:rPr>
        <w:t xml:space="preserve">Met deze regeling is artikel 6 van de Regeling geluidniveaus aan boord van vissersvaartuigen gewijzigd in de zin dat de dwingende verwijzing naar de NEN 3011:2015: Nederlandse norm voor Veiligheidskleuren en -tekens in de werkomgeving en in de openbare ruimte is vervallen. Deze </w:t>
      </w:r>
      <w:proofErr w:type="spellStart"/>
      <w:r w:rsidRPr="00892498">
        <w:rPr>
          <w:rFonts w:ascii="Palatino Linotype" w:hAnsi="Palatino Linotype"/>
        </w:rPr>
        <w:t>NEN-norm</w:t>
      </w:r>
      <w:proofErr w:type="spellEnd"/>
      <w:r w:rsidRPr="00892498">
        <w:rPr>
          <w:rFonts w:ascii="Palatino Linotype" w:hAnsi="Palatino Linotype"/>
        </w:rPr>
        <w:t xml:space="preserve"> geeft veiligheidstekens en pictogrammen die kunnen worden gebruikt om te waarschuwen tegen bepaalde gevaren. In artikel 6 van de regeling is de verplichting opgenomen dat een waarschuwingsbord moet zijn aangebracht bij de toegang tot een ruimte in een vissersvaartuig waarin het dragen van gehoorbescherming verplicht is. Voorafgaand aan deze regeling was het verplicht om daartoe gebruik te maken van een pictogram uit de NEN 3011:2015. Met deze regeling is de verwijzing naar de NEN 3011:2015 omgezet in een niet-dwingende verwijzing, door het opnemen van een gelijkwaardigheidsbepaling. Deze gelijkwaardigheidsbepaling biedt de mogelijkheid om het bovenbeschreven waarschuwingsbord op andere wijze vorm te geven dan op grond van de NEN 3011:2015 mits de gelijkwaardigheid van de waarschuwing op het bord aantoonbaar is. Deze omzetting naar een niet-dwingende verwijzing naar een </w:t>
      </w:r>
      <w:proofErr w:type="spellStart"/>
      <w:r w:rsidRPr="00892498">
        <w:rPr>
          <w:rFonts w:ascii="Palatino Linotype" w:hAnsi="Palatino Linotype"/>
        </w:rPr>
        <w:t>NEN-norm</w:t>
      </w:r>
      <w:proofErr w:type="spellEnd"/>
      <w:r w:rsidRPr="00892498">
        <w:rPr>
          <w:rFonts w:ascii="Palatino Linotype" w:hAnsi="Palatino Linotype"/>
        </w:rPr>
        <w:t xml:space="preserve"> is conform de kabinetsreactie ‘Kenbaarheid van normen en normalisatie’ van 30 juni 2011 (Kamerstukken II 2010/11, 27 406, nr. 193).</w:t>
      </w:r>
    </w:p>
    <w:p w:rsidR="00565CA7" w:rsidRPr="00892498" w:rsidRDefault="00565CA7" w:rsidP="00565CA7">
      <w:pPr>
        <w:pStyle w:val="NoSpacing"/>
        <w:jc w:val="both"/>
        <w:rPr>
          <w:rFonts w:ascii="Palatino Linotype" w:hAnsi="Palatino Linotype"/>
        </w:rPr>
      </w:pPr>
      <w:r w:rsidRPr="00892498">
        <w:rPr>
          <w:rFonts w:ascii="Palatino Linotype" w:hAnsi="Palatino Linotype"/>
        </w:rPr>
        <w:t>Verder is artikel 5 gecorrigeerd in de zin dat de bij dat artikel behorende tabel in het artikel zelf is opgenomen. Deze tabel was per abuis opgenomen in artikel 6.</w:t>
      </w:r>
    </w:p>
    <w:p w:rsidR="00565CA7" w:rsidRPr="00C53C06" w:rsidRDefault="00565CA7" w:rsidP="00565CA7">
      <w:pPr>
        <w:jc w:val="both"/>
        <w:rPr>
          <w:rFonts w:ascii="Palatino Linotype" w:hAnsi="Palatino Linotype"/>
          <w:b/>
          <w:lang w:val="nl-NL"/>
        </w:rPr>
      </w:pPr>
    </w:p>
    <w:p w:rsidR="00565CA7" w:rsidRDefault="00565CA7" w:rsidP="00565CA7">
      <w:pPr>
        <w:pStyle w:val="NoSpacing"/>
        <w:rPr>
          <w:rFonts w:ascii="Palatino Linotype" w:hAnsi="Palatino Linotype"/>
          <w:b/>
        </w:rPr>
      </w:pPr>
      <w:r w:rsidRPr="00892498">
        <w:rPr>
          <w:rFonts w:ascii="Palatino Linotype" w:hAnsi="Palatino Linotype"/>
          <w:b/>
        </w:rPr>
        <w:t>Gevolgen voor de regeldruk</w:t>
      </w:r>
    </w:p>
    <w:p w:rsidR="00565CA7" w:rsidRPr="00892498" w:rsidRDefault="00565CA7" w:rsidP="00565CA7">
      <w:pPr>
        <w:pStyle w:val="NoSpacing"/>
        <w:rPr>
          <w:rFonts w:ascii="Palatino Linotype" w:hAnsi="Palatino Linotype"/>
          <w:b/>
        </w:rPr>
      </w:pPr>
    </w:p>
    <w:p w:rsidR="00565CA7" w:rsidRDefault="00565CA7" w:rsidP="00565CA7">
      <w:pPr>
        <w:pStyle w:val="NoSpacing"/>
        <w:jc w:val="both"/>
        <w:rPr>
          <w:rFonts w:ascii="Palatino Linotype" w:hAnsi="Palatino Linotype"/>
        </w:rPr>
      </w:pPr>
      <w:r w:rsidRPr="00892498">
        <w:rPr>
          <w:rFonts w:ascii="Palatino Linotype" w:hAnsi="Palatino Linotype"/>
        </w:rPr>
        <w:t>De regeling heeft geen gevolgen voor de administratieve lasten en nalevingskosten van bedrijven of burgers.</w:t>
      </w:r>
    </w:p>
    <w:p w:rsidR="00565CA7" w:rsidRPr="00892498" w:rsidRDefault="00565CA7" w:rsidP="00565CA7">
      <w:pPr>
        <w:pStyle w:val="NoSpacing"/>
        <w:rPr>
          <w:rFonts w:ascii="Palatino Linotype" w:hAnsi="Palatino Linotype"/>
        </w:rPr>
      </w:pPr>
    </w:p>
    <w:p w:rsidR="00565CA7" w:rsidRPr="00892498" w:rsidRDefault="00565CA7" w:rsidP="00565CA7">
      <w:pPr>
        <w:pStyle w:val="NoSpacing"/>
        <w:rPr>
          <w:rFonts w:ascii="Palatino Linotype" w:hAnsi="Palatino Linotype"/>
          <w:b/>
        </w:rPr>
      </w:pPr>
      <w:r w:rsidRPr="00892498">
        <w:rPr>
          <w:rFonts w:ascii="Palatino Linotype" w:hAnsi="Palatino Linotype"/>
          <w:b/>
        </w:rPr>
        <w:t>Toezicht en handhaving</w:t>
      </w:r>
    </w:p>
    <w:p w:rsidR="00565CA7" w:rsidRDefault="00565CA7" w:rsidP="00565CA7">
      <w:pPr>
        <w:pStyle w:val="NoSpacing"/>
        <w:rPr>
          <w:rFonts w:ascii="Palatino Linotype" w:hAnsi="Palatino Linotype"/>
        </w:rPr>
      </w:pPr>
    </w:p>
    <w:p w:rsidR="00565CA7" w:rsidRDefault="00565CA7" w:rsidP="00565CA7">
      <w:pPr>
        <w:pStyle w:val="NoSpacing"/>
        <w:jc w:val="both"/>
        <w:rPr>
          <w:rFonts w:ascii="Palatino Linotype" w:hAnsi="Palatino Linotype"/>
        </w:rPr>
      </w:pPr>
      <w:proofErr w:type="gramStart"/>
      <w:r w:rsidRPr="00892498">
        <w:rPr>
          <w:rFonts w:ascii="Palatino Linotype" w:hAnsi="Palatino Linotype"/>
        </w:rPr>
        <w:t>De Inspectie Leefomgeving en Transport heeft in het kader van de toets op de handhaafbaarheid, uitvoerbaarheid en fraudegevoeligheid (HUF) aangegeven dat deze regeling handhaafbaar en uitvoerbaar is.</w:t>
      </w:r>
      <w:proofErr w:type="gramEnd"/>
    </w:p>
    <w:p w:rsidR="00565CA7" w:rsidRPr="00892498" w:rsidRDefault="00565CA7" w:rsidP="00565CA7">
      <w:pPr>
        <w:pStyle w:val="NoSpacing"/>
        <w:rPr>
          <w:rFonts w:ascii="Palatino Linotype" w:hAnsi="Palatino Linotype"/>
        </w:rPr>
      </w:pPr>
    </w:p>
    <w:p w:rsidR="00565CA7" w:rsidRDefault="00565CA7" w:rsidP="00565CA7">
      <w:pPr>
        <w:pStyle w:val="NoSpacing"/>
        <w:rPr>
          <w:rFonts w:ascii="Palatino Linotype" w:hAnsi="Palatino Linotype"/>
          <w:b/>
        </w:rPr>
      </w:pPr>
      <w:r w:rsidRPr="00892498">
        <w:rPr>
          <w:rFonts w:ascii="Palatino Linotype" w:hAnsi="Palatino Linotype"/>
          <w:b/>
        </w:rPr>
        <w:t>Advies en consultatie</w:t>
      </w:r>
    </w:p>
    <w:p w:rsidR="00565CA7" w:rsidRPr="00892498" w:rsidRDefault="00565CA7" w:rsidP="00565CA7">
      <w:pPr>
        <w:pStyle w:val="NoSpacing"/>
        <w:rPr>
          <w:rFonts w:ascii="Palatino Linotype" w:hAnsi="Palatino Linotype"/>
          <w:b/>
        </w:rPr>
      </w:pPr>
    </w:p>
    <w:p w:rsidR="00565CA7" w:rsidRDefault="00565CA7" w:rsidP="00565CA7">
      <w:pPr>
        <w:pStyle w:val="NoSpacing"/>
        <w:jc w:val="both"/>
        <w:rPr>
          <w:rFonts w:ascii="Palatino Linotype" w:hAnsi="Palatino Linotype"/>
        </w:rPr>
      </w:pPr>
      <w:r w:rsidRPr="00892498">
        <w:rPr>
          <w:rFonts w:ascii="Palatino Linotype" w:hAnsi="Palatino Linotype"/>
        </w:rPr>
        <w:t xml:space="preserve">Deze regeling is ter consultatie voorgelegd de Minister van Toerisme, Transport, Primaire sector en Cultuur van Aruba, de Minister van Ministerie van Verkeer, Vervoer en Ruimtelijke Planning van Curaçao en de Minister van Toerisme, Economische Zaken, Verkeer en Telecommunicatie van Sint Maarten. Hierop zijn geen reacties ontvangen. Omdat deze regeling geen ingrijpende verandering teweeg heeft gebracht in de rechten en plichten van burgers en bedrijven heeft geen internetconsulatie (Kamerstukken 29 279, </w:t>
      </w:r>
      <w:proofErr w:type="spellStart"/>
      <w:r w:rsidRPr="00892498">
        <w:rPr>
          <w:rFonts w:ascii="Palatino Linotype" w:hAnsi="Palatino Linotype"/>
        </w:rPr>
        <w:t>nr</w:t>
      </w:r>
      <w:proofErr w:type="spellEnd"/>
      <w:r w:rsidRPr="00892498">
        <w:rPr>
          <w:rFonts w:ascii="Palatino Linotype" w:hAnsi="Palatino Linotype"/>
        </w:rPr>
        <w:t xml:space="preserve"> 114) plaatsgevonden.</w:t>
      </w:r>
    </w:p>
    <w:p w:rsidR="00565CA7" w:rsidRPr="00892498" w:rsidRDefault="00565CA7" w:rsidP="00565CA7">
      <w:pPr>
        <w:pStyle w:val="NoSpacing"/>
        <w:rPr>
          <w:rFonts w:ascii="Palatino Linotype" w:hAnsi="Palatino Linotype"/>
        </w:rPr>
      </w:pPr>
    </w:p>
    <w:p w:rsidR="00565CA7" w:rsidRDefault="00565CA7" w:rsidP="00565CA7">
      <w:pPr>
        <w:pStyle w:val="NoSpacing"/>
        <w:rPr>
          <w:rFonts w:ascii="Palatino Linotype" w:hAnsi="Palatino Linotype"/>
          <w:b/>
        </w:rPr>
      </w:pPr>
      <w:r w:rsidRPr="00892498">
        <w:rPr>
          <w:rFonts w:ascii="Palatino Linotype" w:hAnsi="Palatino Linotype"/>
          <w:b/>
        </w:rPr>
        <w:t>Inwerkingtreding</w:t>
      </w:r>
    </w:p>
    <w:p w:rsidR="00565CA7" w:rsidRPr="00892498" w:rsidRDefault="00565CA7" w:rsidP="00565CA7">
      <w:pPr>
        <w:pStyle w:val="NoSpacing"/>
        <w:rPr>
          <w:rFonts w:ascii="Palatino Linotype" w:hAnsi="Palatino Linotype"/>
          <w:b/>
        </w:rPr>
      </w:pPr>
    </w:p>
    <w:p w:rsidR="00565CA7" w:rsidRPr="00892498" w:rsidRDefault="00565CA7" w:rsidP="00565CA7">
      <w:pPr>
        <w:pStyle w:val="NoSpacing"/>
        <w:rPr>
          <w:rFonts w:ascii="Palatino Linotype" w:hAnsi="Palatino Linotype"/>
        </w:rPr>
      </w:pPr>
      <w:r w:rsidRPr="00892498">
        <w:rPr>
          <w:rFonts w:ascii="Palatino Linotype" w:hAnsi="Palatino Linotype"/>
        </w:rPr>
        <w:t>Conform het streven van de hierboven aangehaalde kabinetsreactie is de inwerkingtredingsdatum van deze regeling 1 januari 2017.</w:t>
      </w:r>
    </w:p>
    <w:p w:rsidR="00565CA7" w:rsidRDefault="00565CA7" w:rsidP="00565CA7">
      <w:pPr>
        <w:pStyle w:val="NoSpacing"/>
        <w:rPr>
          <w:rFonts w:ascii="Palatino Linotype" w:hAnsi="Palatino Linotype"/>
        </w:rPr>
      </w:pPr>
    </w:p>
    <w:p w:rsidR="00565CA7" w:rsidRPr="00892498" w:rsidRDefault="00565CA7" w:rsidP="00565CA7">
      <w:pPr>
        <w:pStyle w:val="NoSpacing"/>
        <w:rPr>
          <w:rFonts w:ascii="Palatino Linotype" w:hAnsi="Palatino Linotype"/>
        </w:rPr>
      </w:pPr>
      <w:r w:rsidRPr="00892498">
        <w:rPr>
          <w:rFonts w:ascii="Palatino Linotype" w:hAnsi="Palatino Linotype"/>
        </w:rPr>
        <w:t>De Minister van Infrastructuur en Milieu,</w:t>
      </w:r>
    </w:p>
    <w:p w:rsidR="00565CA7" w:rsidRDefault="00565CA7" w:rsidP="00565CA7">
      <w:pPr>
        <w:pStyle w:val="NoSpacing"/>
        <w:rPr>
          <w:rFonts w:ascii="Palatino Linotype" w:hAnsi="Palatino Linotype"/>
        </w:rPr>
      </w:pPr>
      <w:r w:rsidRPr="00892498">
        <w:rPr>
          <w:rFonts w:ascii="Palatino Linotype" w:hAnsi="Palatino Linotype"/>
        </w:rPr>
        <w:t xml:space="preserve">M.H. Schultz van Haegen-Maas </w:t>
      </w:r>
      <w:proofErr w:type="spellStart"/>
      <w:r w:rsidRPr="00892498">
        <w:rPr>
          <w:rFonts w:ascii="Palatino Linotype" w:hAnsi="Palatino Linotype"/>
        </w:rPr>
        <w:t>Geesteranus</w:t>
      </w:r>
      <w:proofErr w:type="spellEnd"/>
    </w:p>
    <w:p w:rsidR="00331A7B" w:rsidRDefault="00331A7B" w:rsidP="00331A7B">
      <w:pPr>
        <w:tabs>
          <w:tab w:val="left" w:pos="-720"/>
        </w:tabs>
        <w:suppressAutoHyphens/>
        <w:jc w:val="both"/>
        <w:rPr>
          <w:rFonts w:ascii="Times New Roman" w:hAnsi="Times New Roman"/>
          <w:bCs/>
          <w:spacing w:val="-3"/>
        </w:rPr>
      </w:pPr>
      <w:r>
        <w:rPr>
          <w:rFonts w:ascii="Times New Roman" w:hAnsi="Times New Roman"/>
          <w:bCs/>
          <w:spacing w:val="-3"/>
        </w:rPr>
        <w:fldChar w:fldCharType="begin">
          <w:ffData>
            <w:name w:val="Text3"/>
            <w:enabled/>
            <w:calcOnExit w:val="0"/>
            <w:textInput/>
          </w:ffData>
        </w:fldChar>
      </w:r>
      <w:bookmarkStart w:id="2" w:name="Text3"/>
      <w:r>
        <w:rPr>
          <w:rFonts w:ascii="Times New Roman" w:hAnsi="Times New Roman"/>
          <w:bCs/>
          <w:spacing w:val="-3"/>
        </w:rPr>
        <w:instrText xml:space="preserve"> FORMTEXT </w:instrText>
      </w:r>
      <w:r>
        <w:rPr>
          <w:rFonts w:ascii="Times New Roman" w:hAnsi="Times New Roman"/>
          <w:bCs/>
          <w:spacing w:val="-3"/>
        </w:rPr>
      </w:r>
      <w:r>
        <w:rPr>
          <w:rFonts w:ascii="Times New Roman" w:hAnsi="Times New Roman"/>
          <w:bCs/>
          <w:spacing w:val="-3"/>
        </w:rPr>
        <w:fldChar w:fldCharType="separate"/>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noProof/>
          <w:spacing w:val="-3"/>
        </w:rPr>
        <w:t> </w:t>
      </w:r>
      <w:r>
        <w:rPr>
          <w:rFonts w:ascii="Times New Roman" w:hAnsi="Times New Roman"/>
          <w:bCs/>
          <w:spacing w:val="-3"/>
        </w:rPr>
        <w:fldChar w:fldCharType="end"/>
      </w:r>
      <w:bookmarkEnd w:id="2"/>
    </w:p>
    <w:p w:rsidR="00565CA7" w:rsidRDefault="00565CA7" w:rsidP="00331A7B">
      <w:pPr>
        <w:tabs>
          <w:tab w:val="left" w:pos="-720"/>
        </w:tabs>
        <w:suppressAutoHyphens/>
        <w:jc w:val="both"/>
        <w:rPr>
          <w:rFonts w:ascii="Times New Roman" w:hAnsi="Times New Roman"/>
          <w:bCs/>
          <w:spacing w:val="-3"/>
        </w:rPr>
      </w:pPr>
    </w:p>
    <w:p w:rsidR="00565CA7" w:rsidRDefault="00565CA7" w:rsidP="00331A7B">
      <w:pPr>
        <w:tabs>
          <w:tab w:val="left" w:pos="-720"/>
        </w:tabs>
        <w:suppressAutoHyphens/>
        <w:jc w:val="both"/>
        <w:rPr>
          <w:rFonts w:ascii="Times New Roman" w:hAnsi="Times New Roman"/>
          <w:bCs/>
          <w:spacing w:val="-3"/>
        </w:rPr>
      </w:pPr>
    </w:p>
    <w:p w:rsidR="00565CA7" w:rsidRDefault="00565CA7" w:rsidP="00565CA7">
      <w:pPr>
        <w:pStyle w:val="NoSpacing"/>
        <w:ind w:left="5103"/>
        <w:rPr>
          <w:rFonts w:ascii="Palatino Linotype" w:hAnsi="Palatino Linotype"/>
        </w:rPr>
      </w:pPr>
      <w:r w:rsidRPr="00892498">
        <w:rPr>
          <w:rFonts w:ascii="Palatino Linotype" w:hAnsi="Palatino Linotype"/>
        </w:rPr>
        <w:t xml:space="preserve">Heeft opneming daarvan in </w:t>
      </w:r>
      <w:r>
        <w:rPr>
          <w:rFonts w:ascii="Palatino Linotype" w:hAnsi="Palatino Linotype"/>
        </w:rPr>
        <w:t xml:space="preserve">het Publicatieblad </w:t>
      </w:r>
      <w:r w:rsidRPr="00892498">
        <w:rPr>
          <w:rFonts w:ascii="Palatino Linotype" w:hAnsi="Palatino Linotype"/>
        </w:rPr>
        <w:t xml:space="preserve">bevolen, </w:t>
      </w:r>
    </w:p>
    <w:p w:rsidR="00565CA7" w:rsidRDefault="00565CA7" w:rsidP="00565CA7">
      <w:pPr>
        <w:pStyle w:val="NoSpacing"/>
        <w:ind w:left="5103"/>
        <w:rPr>
          <w:rFonts w:ascii="Palatino Linotype" w:hAnsi="Palatino Linotype"/>
        </w:rPr>
      </w:pPr>
    </w:p>
    <w:p w:rsidR="00565CA7" w:rsidRPr="00892498" w:rsidRDefault="00565CA7" w:rsidP="00565CA7">
      <w:pPr>
        <w:pStyle w:val="NoSpacing"/>
        <w:ind w:left="5103"/>
        <w:rPr>
          <w:rFonts w:ascii="Palatino Linotype" w:hAnsi="Palatino Linotype"/>
        </w:rPr>
      </w:pPr>
      <w:r>
        <w:rPr>
          <w:rFonts w:ascii="Palatino Linotype" w:hAnsi="Palatino Linotype"/>
        </w:rPr>
        <w:t xml:space="preserve">Uitgegeven de </w:t>
      </w:r>
      <w:r w:rsidR="00151E31">
        <w:rPr>
          <w:rFonts w:ascii="Palatino Linotype" w:hAnsi="Palatino Linotype"/>
        </w:rPr>
        <w:t>17</w:t>
      </w:r>
      <w:r w:rsidR="00EB2BEC">
        <w:rPr>
          <w:rFonts w:ascii="Palatino Linotype" w:hAnsi="Palatino Linotype"/>
          <w:vertAlign w:val="superscript"/>
        </w:rPr>
        <w:t>de</w:t>
      </w:r>
      <w:r w:rsidR="00151E31">
        <w:rPr>
          <w:rFonts w:ascii="Palatino Linotype" w:hAnsi="Palatino Linotype"/>
        </w:rPr>
        <w:t xml:space="preserve"> maart 2017</w:t>
      </w:r>
    </w:p>
    <w:p w:rsidR="00565CA7" w:rsidRPr="00892498" w:rsidRDefault="00565CA7" w:rsidP="00565CA7">
      <w:pPr>
        <w:pStyle w:val="NoSpacing"/>
        <w:ind w:left="5103"/>
        <w:rPr>
          <w:rFonts w:ascii="Palatino Linotype" w:hAnsi="Palatino Linotype"/>
        </w:rPr>
      </w:pPr>
      <w:r w:rsidRPr="00892498">
        <w:rPr>
          <w:rFonts w:ascii="Palatino Linotype" w:hAnsi="Palatino Linotype"/>
        </w:rPr>
        <w:t>De Minister van Algemene Zaken,</w:t>
      </w:r>
    </w:p>
    <w:p w:rsidR="00565CA7" w:rsidRDefault="00565CA7" w:rsidP="00565CA7">
      <w:pPr>
        <w:pStyle w:val="NoSpacing"/>
        <w:tabs>
          <w:tab w:val="left" w:pos="5954"/>
        </w:tabs>
        <w:ind w:left="5103"/>
        <w:rPr>
          <w:rFonts w:ascii="Palatino Linotype" w:hAnsi="Palatino Linotype"/>
        </w:rPr>
      </w:pPr>
      <w:r>
        <w:rPr>
          <w:rFonts w:ascii="Palatino Linotype" w:hAnsi="Palatino Linotype"/>
        </w:rPr>
        <w:tab/>
      </w:r>
      <w:r w:rsidRPr="00892498">
        <w:rPr>
          <w:rFonts w:ascii="Palatino Linotype" w:hAnsi="Palatino Linotype"/>
        </w:rPr>
        <w:t>H.F. KOEIMAN</w:t>
      </w:r>
    </w:p>
    <w:sectPr w:rsidR="00565CA7">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DB3" w:rsidRDefault="00023DB3">
      <w:pPr>
        <w:spacing w:line="20" w:lineRule="exact"/>
      </w:pPr>
    </w:p>
  </w:endnote>
  <w:endnote w:type="continuationSeparator" w:id="0">
    <w:p w:rsidR="00023DB3" w:rsidRDefault="00023DB3">
      <w:r>
        <w:t xml:space="preserve"> </w:t>
      </w:r>
    </w:p>
  </w:endnote>
  <w:endnote w:type="continuationNotice" w:id="1">
    <w:p w:rsidR="00023DB3" w:rsidRDefault="00023D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ejaVu Sans">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DB3" w:rsidRDefault="00023DB3">
      <w:r>
        <w:separator/>
      </w:r>
    </w:p>
  </w:footnote>
  <w:footnote w:type="continuationSeparator" w:id="0">
    <w:p w:rsidR="00023DB3" w:rsidRDefault="0002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D71EE">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D71EE">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151E31">
      <w:rPr>
        <w:rFonts w:ascii="Times New Roman" w:hAnsi="Times New Roman"/>
        <w:b/>
        <w:spacing w:val="-4"/>
        <w:sz w:val="36"/>
      </w:rPr>
      <w:t>27</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D71EE">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D71EE">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151E31">
      <w:rPr>
        <w:rFonts w:ascii="Times New Roman" w:hAnsi="Times New Roman"/>
        <w:b/>
        <w:spacing w:val="-4"/>
        <w:sz w:val="36"/>
      </w:rPr>
      <w:t>27</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B0"/>
    <w:rsid w:val="0001282E"/>
    <w:rsid w:val="00023DB3"/>
    <w:rsid w:val="000254C1"/>
    <w:rsid w:val="000633B7"/>
    <w:rsid w:val="000829F9"/>
    <w:rsid w:val="0014186C"/>
    <w:rsid w:val="00151E31"/>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65CA7"/>
    <w:rsid w:val="00593143"/>
    <w:rsid w:val="005B7EA9"/>
    <w:rsid w:val="005D0989"/>
    <w:rsid w:val="006147F1"/>
    <w:rsid w:val="006169E6"/>
    <w:rsid w:val="006725E6"/>
    <w:rsid w:val="006C19FE"/>
    <w:rsid w:val="006D71EE"/>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53C06"/>
    <w:rsid w:val="00CC6CA3"/>
    <w:rsid w:val="00CE18CE"/>
    <w:rsid w:val="00CE5C4F"/>
    <w:rsid w:val="00D03A15"/>
    <w:rsid w:val="00D50DA5"/>
    <w:rsid w:val="00D67282"/>
    <w:rsid w:val="00D95F17"/>
    <w:rsid w:val="00DC4B4C"/>
    <w:rsid w:val="00E42D6B"/>
    <w:rsid w:val="00E71797"/>
    <w:rsid w:val="00EB2BEC"/>
    <w:rsid w:val="00ED69A7"/>
    <w:rsid w:val="00EE4FD2"/>
    <w:rsid w:val="00F87233"/>
    <w:rsid w:val="00F94EB4"/>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56ECE164-A7F9-43B1-A29A-FD39194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customStyle="1" w:styleId="textcell7left">
    <w:name w:val="text.cell.7.left"/>
    <w:rsid w:val="00565CA7"/>
    <w:pPr>
      <w:widowControl w:val="0"/>
      <w:autoSpaceDN w:val="0"/>
      <w:textAlignment w:val="baseline"/>
    </w:pPr>
    <w:rPr>
      <w:rFonts w:ascii="DejaVu Sans" w:eastAsiaTheme="minorEastAsia" w:hAnsi="DejaVu Sans" w:cstheme="minorBidi"/>
      <w:kern w:val="3"/>
      <w:sz w:val="14"/>
      <w:lang w:val="nl-NL"/>
    </w:rPr>
  </w:style>
  <w:style w:type="table" w:styleId="TableGrid">
    <w:name w:val="Table Grid"/>
    <w:basedOn w:val="TableNormal"/>
    <w:uiPriority w:val="39"/>
    <w:rsid w:val="00565C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5CA7"/>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ta\Templates\PUBLICATIEBL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PUBLICATIEBLAD</Template>
  <TotalTime>0</TotalTime>
  <Pages>4</Pages>
  <Words>729</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aichel mambi</dc:creator>
  <cp:keywords/>
  <cp:lastModifiedBy>Djurick Comenentia</cp:lastModifiedBy>
  <cp:revision>5</cp:revision>
  <cp:lastPrinted>2011-07-22T21:19:00Z</cp:lastPrinted>
  <dcterms:created xsi:type="dcterms:W3CDTF">2017-03-09T20:15:00Z</dcterms:created>
  <dcterms:modified xsi:type="dcterms:W3CDTF">2017-03-10T19:23:00Z</dcterms:modified>
</cp:coreProperties>
</file>