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9063B2" w:rsidRDefault="00F94EB4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9063B2">
        <w:rPr>
          <w:b/>
          <w:sz w:val="36"/>
          <w:szCs w:val="36"/>
          <w:lang w:val="nl-NL"/>
        </w:rPr>
        <w:t>A° 20</w:t>
      </w:r>
      <w:r w:rsidR="00C00533" w:rsidRPr="009063B2">
        <w:rPr>
          <w:b/>
          <w:sz w:val="36"/>
          <w:szCs w:val="36"/>
          <w:lang w:val="nl-NL"/>
        </w:rPr>
        <w:t>1</w:t>
      </w:r>
      <w:r w:rsidRPr="009063B2">
        <w:rPr>
          <w:b/>
          <w:sz w:val="36"/>
          <w:szCs w:val="36"/>
          <w:lang w:val="nl-NL"/>
        </w:rPr>
        <w:t>7</w:t>
      </w:r>
      <w:r w:rsidR="003D25AC" w:rsidRPr="009063B2">
        <w:rPr>
          <w:sz w:val="36"/>
          <w:szCs w:val="36"/>
          <w:lang w:val="nl-NL"/>
        </w:rPr>
        <w:tab/>
      </w:r>
      <w:r w:rsidR="003D25AC" w:rsidRPr="009063B2">
        <w:rPr>
          <w:b/>
          <w:sz w:val="36"/>
          <w:szCs w:val="36"/>
          <w:lang w:val="nl-NL"/>
        </w:rPr>
        <w:t xml:space="preserve">N° </w:t>
      </w:r>
      <w:r w:rsidR="006F2787" w:rsidRPr="009063B2">
        <w:rPr>
          <w:b/>
          <w:sz w:val="36"/>
          <w:szCs w:val="36"/>
          <w:lang w:val="nl-NL"/>
        </w:rPr>
        <w:t>8</w:t>
      </w:r>
    </w:p>
    <w:p w:rsidR="003D25AC" w:rsidRPr="009063B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9063B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9063B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9063B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9063B2" w:rsidRDefault="003D25AC">
      <w:pPr>
        <w:pStyle w:val="Heading1"/>
        <w:rPr>
          <w:b w:val="0"/>
          <w:sz w:val="44"/>
          <w:lang w:val="nl-NL"/>
        </w:rPr>
      </w:pPr>
      <w:r w:rsidRPr="009063B2">
        <w:rPr>
          <w:b w:val="0"/>
          <w:sz w:val="44"/>
          <w:lang w:val="nl-NL"/>
        </w:rPr>
        <w:t>PUBLICATIEBLAD</w:t>
      </w:r>
    </w:p>
    <w:p w:rsidR="003D25AC" w:rsidRPr="009063B2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9063B2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9063B2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BE7A60" w:rsidRPr="00A65D60" w:rsidRDefault="00BE7A60" w:rsidP="00457743">
      <w:pPr>
        <w:widowControl/>
        <w:ind w:right="-46"/>
        <w:rPr>
          <w:rFonts w:ascii="Palatino Linotype" w:hAnsi="Palatino Linotype"/>
          <w:b/>
          <w:snapToGrid/>
          <w:sz w:val="22"/>
          <w:szCs w:val="24"/>
          <w:lang w:val="nl-NL"/>
        </w:rPr>
      </w:pPr>
      <w:r w:rsidRPr="00A65D60">
        <w:rPr>
          <w:rFonts w:ascii="Palatino Linotype" w:hAnsi="Palatino Linotype"/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FDCAB" wp14:editId="68215D7E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A60" w:rsidRDefault="00BE7A60" w:rsidP="00BE7A60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DCA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BE7A60" w:rsidRDefault="00BE7A60" w:rsidP="00BE7A60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A65D60">
        <w:rPr>
          <w:rFonts w:ascii="Palatino Linotype" w:hAnsi="Palatino Linotype"/>
          <w:b/>
          <w:snapToGrid/>
          <w:sz w:val="22"/>
          <w:szCs w:val="24"/>
          <w:lang w:val="nl-NL"/>
        </w:rPr>
        <w:t xml:space="preserve">Ministeriële regeling van </w:t>
      </w:r>
      <w:r w:rsidR="006F2787" w:rsidRPr="00A65D60">
        <w:rPr>
          <w:rFonts w:ascii="Palatino Linotype" w:hAnsi="Palatino Linotype"/>
          <w:b/>
          <w:snapToGrid/>
          <w:sz w:val="22"/>
          <w:szCs w:val="24"/>
          <w:lang w:val="nl-NL"/>
        </w:rPr>
        <w:t xml:space="preserve">de </w:t>
      </w:r>
      <w:r w:rsidR="00CC1B92" w:rsidRPr="00A65D60">
        <w:rPr>
          <w:rFonts w:ascii="Palatino Linotype" w:hAnsi="Palatino Linotype"/>
          <w:b/>
          <w:snapToGrid/>
          <w:sz w:val="22"/>
          <w:szCs w:val="24"/>
          <w:lang w:val="nl-NL"/>
        </w:rPr>
        <w:t>25</w:t>
      </w:r>
      <w:r w:rsidR="00CC1B92" w:rsidRPr="00A65D60">
        <w:rPr>
          <w:rFonts w:ascii="Palatino Linotype" w:hAnsi="Palatino Linotype"/>
          <w:b/>
          <w:snapToGrid/>
          <w:sz w:val="22"/>
          <w:szCs w:val="24"/>
          <w:vertAlign w:val="superscript"/>
          <w:lang w:val="nl-NL"/>
        </w:rPr>
        <w:t>ste</w:t>
      </w:r>
      <w:r w:rsidR="00CC1B92" w:rsidRPr="00A65D60">
        <w:rPr>
          <w:rFonts w:ascii="Palatino Linotype" w:hAnsi="Palatino Linotype"/>
          <w:b/>
          <w:snapToGrid/>
          <w:sz w:val="22"/>
          <w:szCs w:val="24"/>
          <w:lang w:val="nl-NL"/>
        </w:rPr>
        <w:t xml:space="preserve"> </w:t>
      </w:r>
      <w:r w:rsidRPr="00A65D60">
        <w:rPr>
          <w:rFonts w:ascii="Palatino Linotype" w:hAnsi="Palatino Linotype"/>
          <w:b/>
          <w:snapToGrid/>
          <w:sz w:val="22"/>
          <w:szCs w:val="24"/>
          <w:lang w:val="nl-NL"/>
        </w:rPr>
        <w:t>januari 2017 tot wijziging van de Prijzenbeschikking basis-</w:t>
      </w:r>
      <w:r w:rsidR="00457743">
        <w:rPr>
          <w:rFonts w:ascii="Palatino Linotype" w:hAnsi="Palatino Linotype"/>
          <w:b/>
          <w:snapToGrid/>
          <w:sz w:val="22"/>
          <w:szCs w:val="24"/>
          <w:lang w:val="nl-NL"/>
        </w:rPr>
        <w:t>,</w:t>
      </w:r>
      <w:bookmarkStart w:id="0" w:name="_GoBack"/>
      <w:bookmarkEnd w:id="0"/>
      <w:r w:rsidRPr="00A65D60">
        <w:rPr>
          <w:rFonts w:ascii="Palatino Linotype" w:hAnsi="Palatino Linotype"/>
          <w:b/>
          <w:snapToGrid/>
          <w:sz w:val="22"/>
          <w:szCs w:val="24"/>
          <w:lang w:val="nl-NL"/>
        </w:rPr>
        <w:t xml:space="preserve"> brandstof- en consumententarieven Curaçao 1995 (P.B. 1995, no. 44)</w:t>
      </w:r>
    </w:p>
    <w:p w:rsidR="00DE1D66" w:rsidRDefault="00DE1D66" w:rsidP="00DE1D66">
      <w:pPr>
        <w:widowControl/>
        <w:jc w:val="center"/>
        <w:rPr>
          <w:rFonts w:ascii="Palatino Linotype" w:hAnsi="Palatino Linotype"/>
          <w:snapToGrid/>
          <w:szCs w:val="24"/>
          <w:lang w:val="nl-NL"/>
        </w:rPr>
      </w:pPr>
    </w:p>
    <w:p w:rsidR="00DE1D66" w:rsidRDefault="00DE1D66" w:rsidP="00DE1D66">
      <w:pPr>
        <w:widowControl/>
        <w:jc w:val="center"/>
        <w:rPr>
          <w:rFonts w:ascii="Palatino Linotype" w:hAnsi="Palatino Linotype"/>
          <w:snapToGrid/>
          <w:szCs w:val="24"/>
          <w:lang w:val="nl-NL"/>
        </w:rPr>
      </w:pPr>
      <w:r>
        <w:rPr>
          <w:rFonts w:ascii="Palatino Linotype" w:hAnsi="Palatino Linotype"/>
          <w:snapToGrid/>
          <w:szCs w:val="24"/>
          <w:lang w:val="nl-NL"/>
        </w:rPr>
        <w:t xml:space="preserve">____________ </w:t>
      </w:r>
    </w:p>
    <w:p w:rsidR="00DE1D66" w:rsidRPr="00BE7A60" w:rsidRDefault="00DE1D66" w:rsidP="00DE1D66">
      <w:pPr>
        <w:widowControl/>
        <w:jc w:val="center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DE1D66">
      <w:pPr>
        <w:widowControl/>
        <w:ind w:firstLine="720"/>
        <w:jc w:val="center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DE MINISTER VAN FINANCIËN,</w:t>
      </w: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ab/>
        <w:t>Overwegende:</w:t>
      </w:r>
    </w:p>
    <w:p w:rsidR="00BE7A60" w:rsidRPr="009063B2" w:rsidRDefault="00BE7A60" w:rsidP="00BE7A60">
      <w:pPr>
        <w:widowControl/>
        <w:tabs>
          <w:tab w:val="left" w:pos="1260"/>
        </w:tabs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9063B2">
      <w:pPr>
        <w:widowControl/>
        <w:tabs>
          <w:tab w:val="left" w:pos="1260"/>
        </w:tabs>
        <w:jc w:val="both"/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9063B2">
        <w:rPr>
          <w:rFonts w:ascii="Palatino Linotype" w:hAnsi="Palatino Linotype"/>
          <w:snapToGrid/>
          <w:sz w:val="22"/>
          <w:szCs w:val="24"/>
          <w:lang w:val="nl-NL"/>
        </w:rPr>
        <w:t>importvervangende</w:t>
      </w:r>
      <w:proofErr w:type="spellEnd"/>
      <w:r w:rsidRPr="009063B2">
        <w:rPr>
          <w:rFonts w:ascii="Palatino Linotype" w:hAnsi="Palatino Linotype"/>
          <w:snapToGrid/>
          <w:sz w:val="22"/>
          <w:szCs w:val="24"/>
          <w:lang w:val="nl-NL"/>
        </w:rPr>
        <w:t xml:space="preserve"> industriële, exportgerichte industriële doeleinden en voor het hospitaal vast te stellen;</w:t>
      </w: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ab/>
        <w:t>Gelet op:</w:t>
      </w:r>
    </w:p>
    <w:p w:rsidR="00BE7A60" w:rsidRPr="009063B2" w:rsidRDefault="00BE7A60" w:rsidP="00BE7A60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>Artikel 2 van de Prijzenverordening 1961 (P.B. 1961, no. 117), zoals gewijzigd;</w:t>
      </w: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jc w:val="center"/>
        <w:rPr>
          <w:rFonts w:ascii="Palatino Linotype" w:hAnsi="Palatino Linotype"/>
          <w:snapToGrid/>
          <w:sz w:val="22"/>
          <w:szCs w:val="24"/>
          <w:lang w:val="nl-NL"/>
        </w:rPr>
      </w:pPr>
      <w:proofErr w:type="gramStart"/>
      <w:r w:rsidRPr="009063B2">
        <w:rPr>
          <w:rFonts w:ascii="Palatino Linotype" w:hAnsi="Palatino Linotype"/>
          <w:snapToGrid/>
          <w:sz w:val="22"/>
          <w:szCs w:val="24"/>
          <w:lang w:val="nl-NL"/>
        </w:rPr>
        <w:t>Heeft besloten:</w:t>
      </w:r>
      <w:proofErr w:type="gramEnd"/>
    </w:p>
    <w:p w:rsidR="00BE7A60" w:rsidRPr="009063B2" w:rsidRDefault="00BE7A60" w:rsidP="00BE7A60">
      <w:pPr>
        <w:widowControl/>
        <w:rPr>
          <w:rFonts w:ascii="Palatino Linotype" w:hAnsi="Palatino Linotype"/>
          <w:b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>Artikel I</w:t>
      </w: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>De Prijzenbeschikking basis-, brandstof- en consumententarieven Curaçao 1995 (P.B. 1994, no. 44) wordt nader gewijzigd als volgt:</w:t>
      </w: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</w:p>
    <w:p w:rsidR="00BE7A60" w:rsidRPr="009063B2" w:rsidRDefault="00BE7A60" w:rsidP="00BE7A60">
      <w:pPr>
        <w:widowControl/>
        <w:rPr>
          <w:rFonts w:ascii="Palatino Linotype" w:hAnsi="Palatino Linotype"/>
          <w:snapToGrid/>
          <w:sz w:val="22"/>
          <w:szCs w:val="24"/>
          <w:lang w:val="nl-NL"/>
        </w:rPr>
      </w:pPr>
      <w:r w:rsidRPr="009063B2">
        <w:rPr>
          <w:rFonts w:ascii="Palatino Linotype" w:hAnsi="Palatino Linotype"/>
          <w:snapToGrid/>
          <w:sz w:val="22"/>
          <w:szCs w:val="24"/>
          <w:lang w:val="nl-NL"/>
        </w:rPr>
        <w:t>In de bijlage behorende bij artikel 2 worden de navolgende tarieven gewijzigd als volgt:</w:t>
      </w:r>
    </w:p>
    <w:p w:rsidR="00BE7A60" w:rsidRPr="009063B2" w:rsidRDefault="00BE7A60" w:rsidP="00BE7A60">
      <w:pPr>
        <w:keepNext/>
        <w:widowControl/>
        <w:spacing w:before="240" w:after="60" w:line="276" w:lineRule="auto"/>
        <w:jc w:val="both"/>
        <w:outlineLvl w:val="1"/>
        <w:rPr>
          <w:rFonts w:ascii="Palatino Linotype" w:eastAsia="SimSun" w:hAnsi="Palatino Linotype"/>
          <w:bCs/>
          <w:iCs/>
          <w:snapToGrid/>
          <w:sz w:val="22"/>
          <w:szCs w:val="24"/>
          <w:lang w:val="nl-NL" w:eastAsia="x-non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5"/>
        <w:gridCol w:w="1276"/>
        <w:gridCol w:w="1276"/>
      </w:tblGrid>
      <w:tr w:rsidR="00BE7A60" w:rsidRPr="009063B2" w:rsidTr="004517CC">
        <w:trPr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Tariefgroep elektriciteit</w:t>
            </w: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Categorie</w:t>
            </w: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60" w:rsidRPr="009063B2" w:rsidRDefault="00BE7A60" w:rsidP="009063B2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Basis tarief in NAF/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Brandstof clausule</w:t>
            </w:r>
          </w:p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in NAF/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60" w:rsidRPr="009063B2" w:rsidRDefault="00BE7A60" w:rsidP="00BE7A60">
            <w:pPr>
              <w:widowControl/>
              <w:jc w:val="center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Totaal in NAF/ kWh</w:t>
            </w:r>
          </w:p>
          <w:p w:rsidR="00BE7A60" w:rsidRPr="009063B2" w:rsidRDefault="00BE7A60" w:rsidP="009063B2">
            <w:pPr>
              <w:widowControl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</w:tr>
      <w:tr w:rsidR="00BE7A60" w:rsidRPr="009063B2" w:rsidTr="004517CC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1 Huishoudelijk Post en Prepaid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≤250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0,5219</w:t>
            </w:r>
          </w:p>
        </w:tc>
      </w:tr>
      <w:tr w:rsidR="00BE7A60" w:rsidRPr="009063B2" w:rsidTr="00DE1D6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250&lt;x≤350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0,6282</w:t>
            </w:r>
          </w:p>
        </w:tc>
      </w:tr>
      <w:tr w:rsidR="00BE7A60" w:rsidRPr="009063B2" w:rsidTr="00DE1D6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&gt;350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0,6724</w:t>
            </w:r>
          </w:p>
        </w:tc>
      </w:tr>
      <w:tr w:rsidR="00BE7A60" w:rsidRPr="009063B2" w:rsidTr="00BE7A6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2 Zakelijk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0,6316</w:t>
            </w:r>
          </w:p>
        </w:tc>
      </w:tr>
      <w:tr w:rsidR="00BE7A60" w:rsidRPr="009063B2" w:rsidTr="00BE7A60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AE6825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22 Industrieel standaard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0,5319</w:t>
            </w:r>
          </w:p>
        </w:tc>
      </w:tr>
      <w:tr w:rsidR="00BE7A60" w:rsidRPr="009063B2" w:rsidTr="004517C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0,5264</w:t>
            </w:r>
          </w:p>
        </w:tc>
      </w:tr>
      <w:tr w:rsidR="00BE7A60" w:rsidRPr="009063B2" w:rsidTr="004517CC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23 Industrieel exportgericht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0,4020</w:t>
            </w:r>
          </w:p>
        </w:tc>
      </w:tr>
      <w:tr w:rsidR="00BE7A60" w:rsidRPr="009063B2" w:rsidTr="00A65D6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0,3966</w:t>
            </w:r>
          </w:p>
        </w:tc>
      </w:tr>
      <w:tr w:rsidR="00BE7A60" w:rsidRPr="009063B2" w:rsidTr="00A65D60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lastRenderedPageBreak/>
              <w:t>24 Industrieel import vervangend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0,4667</w:t>
            </w:r>
          </w:p>
        </w:tc>
      </w:tr>
      <w:tr w:rsidR="00BE7A60" w:rsidRPr="009063B2" w:rsidTr="00A65D6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0,4609</w:t>
            </w:r>
          </w:p>
        </w:tc>
      </w:tr>
      <w:tr w:rsidR="00BE7A60" w:rsidRPr="009063B2" w:rsidTr="004517C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33 Hospitaal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0,3786</w:t>
            </w:r>
          </w:p>
        </w:tc>
      </w:tr>
      <w:tr w:rsidR="00BE7A60" w:rsidRPr="009063B2" w:rsidTr="004517C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0,3637</w:t>
            </w:r>
          </w:p>
        </w:tc>
      </w:tr>
      <w:tr w:rsidR="00BE7A60" w:rsidRPr="009063B2" w:rsidTr="004517C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Straatverlichting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0,5133</w:t>
            </w:r>
          </w:p>
        </w:tc>
      </w:tr>
    </w:tbl>
    <w:p w:rsidR="00BE7A60" w:rsidRPr="00BE7A60" w:rsidRDefault="00BE7A60" w:rsidP="00BE7A60">
      <w:pPr>
        <w:keepNext/>
        <w:widowControl/>
        <w:spacing w:before="240" w:after="60" w:line="276" w:lineRule="auto"/>
        <w:jc w:val="both"/>
        <w:outlineLvl w:val="1"/>
        <w:rPr>
          <w:rFonts w:ascii="Palatino Linotype" w:eastAsia="SimSun" w:hAnsi="Palatino Linotype"/>
          <w:bCs/>
          <w:iCs/>
          <w:snapToGrid/>
          <w:szCs w:val="24"/>
          <w:lang w:val="nl-NL" w:eastAsia="x-none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843"/>
        <w:gridCol w:w="1276"/>
        <w:gridCol w:w="1276"/>
        <w:gridCol w:w="1275"/>
      </w:tblGrid>
      <w:tr w:rsidR="00BE7A60" w:rsidRPr="00457743" w:rsidTr="004517CC">
        <w:trPr>
          <w:trHeight w:val="9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Tariefgroep water</w:t>
            </w:r>
          </w:p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Categorie</w:t>
            </w:r>
          </w:p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 xml:space="preserve">Basistarief in </w:t>
            </w: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NAF/m³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 xml:space="preserve">Brandstof clausule in </w:t>
            </w: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NAF/m³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 xml:space="preserve">Totaal tarief in </w:t>
            </w: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NAF/m³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Huishoudelijk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≤ 9m³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5,6319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7,6574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9m³ &lt; x ≤ 12m³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10,7822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12,8077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12m³ &lt; x ≤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14,7488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&gt;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14,6870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16,7125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Zakelijk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13,1774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Industrieel standaard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13,1774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Industrieel import vervangend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13,1774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Industrieel export gericht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12,2274</w:t>
            </w:r>
          </w:p>
        </w:tc>
      </w:tr>
      <w:tr w:rsidR="00BE7A60" w:rsidRPr="009063B2" w:rsidTr="004517CC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  <w:t>Hospitaal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60" w:rsidRPr="009063B2" w:rsidRDefault="00BE7A60" w:rsidP="00BE7A60">
            <w:pPr>
              <w:widowControl/>
              <w:jc w:val="both"/>
              <w:rPr>
                <w:rFonts w:ascii="Palatino Linotype" w:hAnsi="Palatino Linotype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A60" w:rsidRPr="009063B2" w:rsidRDefault="00BE7A60" w:rsidP="00BE7A60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9063B2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12,2274</w:t>
            </w:r>
          </w:p>
        </w:tc>
      </w:tr>
    </w:tbl>
    <w:p w:rsidR="00BE7A60" w:rsidRPr="00BE7A60" w:rsidRDefault="00BE7A60" w:rsidP="00BE7A60">
      <w:pPr>
        <w:widowControl/>
        <w:jc w:val="both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BE7A60">
      <w:pPr>
        <w:widowControl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Artikel II</w:t>
      </w:r>
    </w:p>
    <w:p w:rsidR="00BE7A60" w:rsidRPr="00BE7A60" w:rsidRDefault="00BE7A60" w:rsidP="00BE7A60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1.</w:t>
      </w:r>
      <w:r w:rsidRPr="00BE7A60">
        <w:rPr>
          <w:rFonts w:ascii="Palatino Linotype" w:hAnsi="Palatino Linotype"/>
          <w:snapToGrid/>
          <w:szCs w:val="24"/>
          <w:lang w:val="nl-NL"/>
        </w:rPr>
        <w:tab/>
        <w:t>Deze regeling wordt in het Publicatieblad geplaatst.</w:t>
      </w:r>
    </w:p>
    <w:p w:rsidR="00BE7A60" w:rsidRPr="00BE7A60" w:rsidRDefault="00BE7A60" w:rsidP="009063B2">
      <w:pPr>
        <w:widowControl/>
        <w:tabs>
          <w:tab w:val="left" w:pos="360"/>
        </w:tabs>
        <w:ind w:left="360" w:hanging="360"/>
        <w:jc w:val="both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2.</w:t>
      </w:r>
      <w:r w:rsidRPr="00BE7A60">
        <w:rPr>
          <w:rFonts w:ascii="Palatino Linotype" w:hAnsi="Palatino Linotype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9063B2" w:rsidRDefault="009063B2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Artikel III</w:t>
      </w:r>
    </w:p>
    <w:p w:rsidR="00BE7A60" w:rsidRPr="00BE7A60" w:rsidRDefault="00BE7A60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Deze regeling treedt in werking met ingang van 1 februari 2017.</w:t>
      </w:r>
    </w:p>
    <w:p w:rsidR="00BE7A60" w:rsidRPr="00BE7A60" w:rsidRDefault="00BE7A60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BE7A60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BE7A60" w:rsidP="00BE7A60">
      <w:pPr>
        <w:widowControl/>
        <w:ind w:left="3600" w:firstLine="72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Gegeven te Willemstad, 25 januari 2017</w:t>
      </w:r>
    </w:p>
    <w:p w:rsidR="00BE7A60" w:rsidRPr="0082399C" w:rsidRDefault="00BE7A60" w:rsidP="00BE7A60">
      <w:pPr>
        <w:widowControl/>
        <w:ind w:left="3600" w:firstLine="72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De Minister van Financiën</w:t>
      </w:r>
      <w:r w:rsidR="00AE6825">
        <w:rPr>
          <w:rFonts w:ascii="Palatino Linotype" w:hAnsi="Palatino Linotype"/>
          <w:snapToGrid/>
          <w:szCs w:val="24"/>
          <w:lang w:val="nl-NL"/>
        </w:rPr>
        <w:t>,</w:t>
      </w:r>
    </w:p>
    <w:p w:rsidR="0082399C" w:rsidRPr="0082399C" w:rsidRDefault="0082399C" w:rsidP="0082399C">
      <w:pPr>
        <w:ind w:left="4320"/>
        <w:rPr>
          <w:rFonts w:ascii="Palatino Linotype" w:hAnsi="Palatino Linotype"/>
          <w:snapToGrid/>
          <w:szCs w:val="24"/>
          <w:lang w:val="nl-NL"/>
        </w:rPr>
      </w:pPr>
      <w:r w:rsidRPr="0082399C">
        <w:rPr>
          <w:rFonts w:ascii="Palatino Linotype" w:hAnsi="Palatino Linotype"/>
          <w:snapToGrid/>
          <w:szCs w:val="24"/>
          <w:lang w:val="nl-NL"/>
        </w:rPr>
        <w:t xml:space="preserve">     </w:t>
      </w:r>
      <w:r w:rsidRPr="0082399C">
        <w:rPr>
          <w:rFonts w:ascii="Palatino Linotype" w:hAnsi="Palatino Linotype"/>
          <w:snapToGrid/>
          <w:szCs w:val="24"/>
          <w:lang w:val="nl-NL" w:eastAsia="nl-NL"/>
        </w:rPr>
        <w:t xml:space="preserve">  K.A. GIJSBERTHA</w:t>
      </w:r>
    </w:p>
    <w:p w:rsidR="0082399C" w:rsidRDefault="0082399C" w:rsidP="00BE7A60">
      <w:pPr>
        <w:widowControl/>
        <w:ind w:left="3600" w:firstLine="720"/>
        <w:rPr>
          <w:rFonts w:ascii="Palatino Linotype" w:hAnsi="Palatino Linotype"/>
          <w:snapToGrid/>
          <w:szCs w:val="24"/>
          <w:lang w:val="nl-NL"/>
        </w:rPr>
      </w:pPr>
      <w:r w:rsidRPr="0082399C">
        <w:rPr>
          <w:rFonts w:ascii="Palatino Linotype" w:hAnsi="Palatino Linotype"/>
          <w:snapToGrid/>
          <w:szCs w:val="24"/>
          <w:lang w:val="nl-NL"/>
        </w:rPr>
        <w:t xml:space="preserve"> </w:t>
      </w:r>
    </w:p>
    <w:p w:rsidR="00B35647" w:rsidRPr="00BE7A60" w:rsidRDefault="00B35647" w:rsidP="00BE7A60">
      <w:pPr>
        <w:widowControl/>
        <w:ind w:left="3600" w:firstLine="720"/>
        <w:rPr>
          <w:rFonts w:ascii="Palatino Linotype" w:hAnsi="Palatino Linotype"/>
          <w:snapToGrid/>
          <w:szCs w:val="24"/>
          <w:lang w:val="nl-NL"/>
        </w:rPr>
      </w:pPr>
    </w:p>
    <w:p w:rsidR="00BE7A60" w:rsidRPr="00BE7A60" w:rsidRDefault="0082399C" w:rsidP="0082399C">
      <w:pPr>
        <w:widowControl/>
        <w:rPr>
          <w:rFonts w:ascii="Palatino Linotype" w:hAnsi="Palatino Linotype"/>
          <w:snapToGrid/>
          <w:szCs w:val="24"/>
          <w:lang w:val="nl-NL"/>
        </w:rPr>
      </w:pPr>
      <w:r w:rsidRPr="0082399C">
        <w:rPr>
          <w:rFonts w:ascii="Palatino Linotype" w:hAnsi="Palatino Linotype"/>
          <w:snapToGrid/>
          <w:szCs w:val="24"/>
          <w:lang w:val="nl-NL"/>
        </w:rPr>
        <w:tab/>
      </w:r>
      <w:r w:rsidRPr="0082399C">
        <w:rPr>
          <w:rFonts w:ascii="Palatino Linotype" w:hAnsi="Palatino Linotype"/>
          <w:snapToGrid/>
          <w:szCs w:val="24"/>
          <w:lang w:val="nl-NL"/>
        </w:rPr>
        <w:tab/>
      </w:r>
      <w:r w:rsidRPr="0082399C">
        <w:rPr>
          <w:rFonts w:ascii="Palatino Linotype" w:hAnsi="Palatino Linotype"/>
          <w:snapToGrid/>
          <w:szCs w:val="24"/>
          <w:lang w:val="nl-NL"/>
        </w:rPr>
        <w:tab/>
      </w:r>
      <w:r w:rsidRPr="0082399C">
        <w:rPr>
          <w:rFonts w:ascii="Palatino Linotype" w:hAnsi="Palatino Linotype"/>
          <w:snapToGrid/>
          <w:szCs w:val="24"/>
          <w:lang w:val="nl-NL"/>
        </w:rPr>
        <w:tab/>
      </w:r>
      <w:r w:rsidRPr="0082399C">
        <w:rPr>
          <w:rFonts w:ascii="Palatino Linotype" w:hAnsi="Palatino Linotype"/>
          <w:snapToGrid/>
          <w:szCs w:val="24"/>
          <w:lang w:val="nl-NL"/>
        </w:rPr>
        <w:tab/>
      </w:r>
      <w:r w:rsidRPr="0082399C">
        <w:rPr>
          <w:rFonts w:ascii="Palatino Linotype" w:hAnsi="Palatino Linotype"/>
          <w:snapToGrid/>
          <w:szCs w:val="24"/>
          <w:lang w:val="nl-NL"/>
        </w:rPr>
        <w:tab/>
      </w:r>
      <w:r w:rsidRPr="0082399C">
        <w:rPr>
          <w:rFonts w:ascii="Palatino Linotype" w:hAnsi="Palatino Linotype"/>
          <w:snapToGrid/>
          <w:szCs w:val="24"/>
          <w:lang w:val="nl-NL"/>
        </w:rPr>
        <w:tab/>
      </w:r>
    </w:p>
    <w:p w:rsidR="00BE7A60" w:rsidRPr="00BE7A60" w:rsidRDefault="00BE7A60" w:rsidP="00BE7A60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</w:p>
    <w:p w:rsidR="006F2787" w:rsidRPr="0082399C" w:rsidRDefault="00BE7A60" w:rsidP="00BE7A60">
      <w:pPr>
        <w:widowControl/>
        <w:ind w:left="3600" w:firstLine="72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Uitgegeven de</w:t>
      </w:r>
      <w:r w:rsidR="006F2787" w:rsidRPr="0082399C">
        <w:rPr>
          <w:rFonts w:ascii="Palatino Linotype" w:hAnsi="Palatino Linotype"/>
          <w:snapToGrid/>
          <w:szCs w:val="24"/>
          <w:lang w:val="nl-NL"/>
        </w:rPr>
        <w:t xml:space="preserve"> 31</w:t>
      </w:r>
      <w:r w:rsidR="006F2787" w:rsidRPr="0082399C">
        <w:rPr>
          <w:rFonts w:ascii="Palatino Linotype" w:hAnsi="Palatino Linotype"/>
          <w:snapToGrid/>
          <w:szCs w:val="24"/>
          <w:vertAlign w:val="superscript"/>
          <w:lang w:val="nl-NL"/>
        </w:rPr>
        <w:t>ste</w:t>
      </w:r>
      <w:r w:rsidR="006F2787" w:rsidRPr="0082399C">
        <w:rPr>
          <w:rFonts w:ascii="Palatino Linotype" w:hAnsi="Palatino Linotype"/>
          <w:snapToGrid/>
          <w:szCs w:val="24"/>
          <w:lang w:val="nl-NL"/>
        </w:rPr>
        <w:t xml:space="preserve"> januari 2017</w:t>
      </w:r>
    </w:p>
    <w:p w:rsidR="00BE7A60" w:rsidRPr="00BE7A60" w:rsidRDefault="00BE7A60" w:rsidP="00BE7A60">
      <w:pPr>
        <w:widowControl/>
        <w:ind w:left="3600" w:firstLine="720"/>
        <w:rPr>
          <w:rFonts w:ascii="Palatino Linotype" w:hAnsi="Palatino Linotype"/>
          <w:snapToGrid/>
          <w:szCs w:val="24"/>
          <w:lang w:val="nl-NL"/>
        </w:rPr>
      </w:pPr>
      <w:r w:rsidRPr="00BE7A60">
        <w:rPr>
          <w:rFonts w:ascii="Palatino Linotype" w:hAnsi="Palatino Linotype"/>
          <w:snapToGrid/>
          <w:szCs w:val="24"/>
          <w:lang w:val="nl-NL"/>
        </w:rPr>
        <w:t>De Minister van Algemene Zaken</w:t>
      </w:r>
      <w:r w:rsidR="00AE6825">
        <w:rPr>
          <w:rFonts w:ascii="Palatino Linotype" w:hAnsi="Palatino Linotype"/>
          <w:snapToGrid/>
          <w:szCs w:val="24"/>
          <w:lang w:val="nl-NL"/>
        </w:rPr>
        <w:t>,</w:t>
      </w:r>
    </w:p>
    <w:p w:rsidR="0082399C" w:rsidRPr="0082399C" w:rsidRDefault="0082399C" w:rsidP="0082399C">
      <w:pPr>
        <w:ind w:left="3600" w:firstLine="720"/>
        <w:rPr>
          <w:rFonts w:ascii="Palatino Linotype" w:hAnsi="Palatino Linotype"/>
          <w:snapToGrid/>
          <w:szCs w:val="24"/>
          <w:lang w:val="nl-NL"/>
        </w:rPr>
      </w:pPr>
      <w:r w:rsidRPr="0082399C">
        <w:rPr>
          <w:rFonts w:ascii="Palatino Linotype" w:hAnsi="Palatino Linotype"/>
          <w:snapToGrid/>
          <w:szCs w:val="24"/>
          <w:lang w:val="nl-NL"/>
        </w:rPr>
        <w:t xml:space="preserve">            </w:t>
      </w:r>
      <w:r w:rsidR="00AE6825">
        <w:rPr>
          <w:rFonts w:ascii="Palatino Linotype" w:hAnsi="Palatino Linotype"/>
          <w:snapToGrid/>
          <w:szCs w:val="24"/>
          <w:lang w:val="nl-NL"/>
        </w:rPr>
        <w:t>H.F. KOEIMAN</w:t>
      </w:r>
    </w:p>
    <w:sectPr w:rsidR="0082399C" w:rsidRPr="0082399C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B3" w:rsidRDefault="00023DB3">
      <w:pPr>
        <w:spacing w:line="20" w:lineRule="exact"/>
      </w:pPr>
    </w:p>
  </w:endnote>
  <w:endnote w:type="continuationSeparator" w:id="0">
    <w:p w:rsidR="00023DB3" w:rsidRDefault="00023DB3">
      <w:r>
        <w:t xml:space="preserve"> </w:t>
      </w:r>
    </w:p>
  </w:endnote>
  <w:endnote w:type="continuationNotice" w:id="1">
    <w:p w:rsidR="00023DB3" w:rsidRDefault="00023D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B3" w:rsidRDefault="00023DB3">
      <w:r>
        <w:separator/>
      </w:r>
    </w:p>
  </w:footnote>
  <w:footnote w:type="continuationSeparator" w:id="0">
    <w:p w:rsidR="00023DB3" w:rsidRDefault="0002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F94EB4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5774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57743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94C62">
      <w:rPr>
        <w:rFonts w:ascii="Times New Roman" w:hAnsi="Times New Roman"/>
        <w:b/>
        <w:spacing w:val="-4"/>
        <w:sz w:val="36"/>
      </w:rPr>
      <w:t>8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F94EB4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063B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063B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894C62">
      <w:rPr>
        <w:rFonts w:ascii="Times New Roman" w:hAnsi="Times New Roman"/>
        <w:b/>
        <w:spacing w:val="-4"/>
        <w:sz w:val="36"/>
      </w:rPr>
      <w:t>8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0"/>
    <w:rsid w:val="0001282E"/>
    <w:rsid w:val="00023DB3"/>
    <w:rsid w:val="000254C1"/>
    <w:rsid w:val="000829F9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57743"/>
    <w:rsid w:val="004A2AF0"/>
    <w:rsid w:val="004E29EE"/>
    <w:rsid w:val="004E2C9C"/>
    <w:rsid w:val="004E799B"/>
    <w:rsid w:val="00593143"/>
    <w:rsid w:val="005B7EA9"/>
    <w:rsid w:val="005D0989"/>
    <w:rsid w:val="006147F1"/>
    <w:rsid w:val="006169E6"/>
    <w:rsid w:val="00665326"/>
    <w:rsid w:val="006725E6"/>
    <w:rsid w:val="006C19FE"/>
    <w:rsid w:val="006F2787"/>
    <w:rsid w:val="00781AD6"/>
    <w:rsid w:val="007A6572"/>
    <w:rsid w:val="007C7D7D"/>
    <w:rsid w:val="007D4D73"/>
    <w:rsid w:val="0082399C"/>
    <w:rsid w:val="00831996"/>
    <w:rsid w:val="00853D6F"/>
    <w:rsid w:val="00862E7C"/>
    <w:rsid w:val="00870E7E"/>
    <w:rsid w:val="00894C62"/>
    <w:rsid w:val="008A1329"/>
    <w:rsid w:val="008B0FBF"/>
    <w:rsid w:val="008C60C3"/>
    <w:rsid w:val="008D67E9"/>
    <w:rsid w:val="008F676F"/>
    <w:rsid w:val="009063B2"/>
    <w:rsid w:val="00910EBB"/>
    <w:rsid w:val="00957572"/>
    <w:rsid w:val="009E45FD"/>
    <w:rsid w:val="00A0173D"/>
    <w:rsid w:val="00A65D60"/>
    <w:rsid w:val="00AA53B3"/>
    <w:rsid w:val="00AC5F65"/>
    <w:rsid w:val="00AE6825"/>
    <w:rsid w:val="00B14BB9"/>
    <w:rsid w:val="00B35647"/>
    <w:rsid w:val="00B41F4D"/>
    <w:rsid w:val="00B42035"/>
    <w:rsid w:val="00B73573"/>
    <w:rsid w:val="00B747D5"/>
    <w:rsid w:val="00B84E49"/>
    <w:rsid w:val="00B920FE"/>
    <w:rsid w:val="00BE36FD"/>
    <w:rsid w:val="00BE7A60"/>
    <w:rsid w:val="00BF3E97"/>
    <w:rsid w:val="00C00533"/>
    <w:rsid w:val="00CC1B92"/>
    <w:rsid w:val="00CC6CA3"/>
    <w:rsid w:val="00CE18CE"/>
    <w:rsid w:val="00CE5C4F"/>
    <w:rsid w:val="00D03A15"/>
    <w:rsid w:val="00D50DA5"/>
    <w:rsid w:val="00D67282"/>
    <w:rsid w:val="00D95F17"/>
    <w:rsid w:val="00DC4B4C"/>
    <w:rsid w:val="00DE1D66"/>
    <w:rsid w:val="00E42D6B"/>
    <w:rsid w:val="00ED69A7"/>
    <w:rsid w:val="00EE4FD2"/>
    <w:rsid w:val="00F87233"/>
    <w:rsid w:val="00F94EB4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56ECE164-A7F9-43B1-A29A-FD39194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BE7A60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CC1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B9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Templates\PUBLICATIEBL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PUBLICATIEBLAD</Template>
  <TotalTime>3</TotalTime>
  <Pages>2</Pages>
  <Words>335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aichel mambi</dc:creator>
  <cp:keywords/>
  <cp:lastModifiedBy>Djurick Comenentia</cp:lastModifiedBy>
  <cp:revision>5</cp:revision>
  <cp:lastPrinted>2017-01-30T16:38:00Z</cp:lastPrinted>
  <dcterms:created xsi:type="dcterms:W3CDTF">2017-01-30T16:29:00Z</dcterms:created>
  <dcterms:modified xsi:type="dcterms:W3CDTF">2017-01-30T16:45:00Z</dcterms:modified>
</cp:coreProperties>
</file>