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B920FE" w:rsidRDefault="000A0DBD">
      <w:pPr>
        <w:pStyle w:val="Heading2"/>
        <w:tabs>
          <w:tab w:val="right" w:pos="9356"/>
        </w:tabs>
        <w:rPr>
          <w:sz w:val="36"/>
          <w:szCs w:val="36"/>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B920FE">
        <w:rPr>
          <w:b/>
          <w:sz w:val="36"/>
          <w:szCs w:val="36"/>
        </w:rPr>
        <w:t>A° 20</w:t>
      </w:r>
      <w:r w:rsidR="00C00533" w:rsidRPr="00B920FE">
        <w:rPr>
          <w:b/>
          <w:sz w:val="36"/>
          <w:szCs w:val="36"/>
        </w:rPr>
        <w:t>1</w:t>
      </w:r>
      <w:r w:rsidR="00D03575">
        <w:rPr>
          <w:b/>
          <w:sz w:val="36"/>
          <w:szCs w:val="36"/>
        </w:rPr>
        <w:t>9</w:t>
      </w:r>
      <w:r w:rsidR="003D25AC" w:rsidRPr="00B920FE">
        <w:rPr>
          <w:sz w:val="36"/>
          <w:szCs w:val="36"/>
        </w:rPr>
        <w:tab/>
      </w:r>
      <w:r w:rsidR="003D25AC" w:rsidRPr="00B920FE">
        <w:rPr>
          <w:b/>
          <w:sz w:val="36"/>
          <w:szCs w:val="36"/>
        </w:rPr>
        <w:t xml:space="preserve">N° </w:t>
      </w:r>
      <w:r w:rsidR="00200545">
        <w:rPr>
          <w:b/>
          <w:sz w:val="36"/>
          <w:szCs w:val="36"/>
        </w:rPr>
        <w:fldChar w:fldCharType="begin">
          <w:ffData>
            <w:name w:val="Text2"/>
            <w:enabled/>
            <w:calcOnExit w:val="0"/>
            <w:textInput>
              <w:default w:val="81"/>
            </w:textInput>
          </w:ffData>
        </w:fldChar>
      </w:r>
      <w:bookmarkStart w:id="0" w:name="Text2"/>
      <w:r w:rsidR="00200545">
        <w:rPr>
          <w:b/>
          <w:sz w:val="36"/>
          <w:szCs w:val="36"/>
        </w:rPr>
        <w:instrText xml:space="preserve"> FORMTEXT </w:instrText>
      </w:r>
      <w:r w:rsidR="00200545">
        <w:rPr>
          <w:b/>
          <w:sz w:val="36"/>
          <w:szCs w:val="36"/>
        </w:rPr>
      </w:r>
      <w:r w:rsidR="00200545">
        <w:rPr>
          <w:b/>
          <w:sz w:val="36"/>
          <w:szCs w:val="36"/>
        </w:rPr>
        <w:fldChar w:fldCharType="separate"/>
      </w:r>
      <w:r w:rsidR="00200545">
        <w:rPr>
          <w:b/>
          <w:noProof/>
          <w:sz w:val="36"/>
          <w:szCs w:val="36"/>
        </w:rPr>
        <w:t>81</w:t>
      </w:r>
      <w:r w:rsidR="00200545">
        <w:rPr>
          <w:b/>
          <w:sz w:val="36"/>
          <w:szCs w:val="36"/>
        </w:rPr>
        <w:fldChar w:fldCharType="end"/>
      </w:r>
      <w:bookmarkEnd w:id="0"/>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Default="003D25AC">
      <w:pPr>
        <w:pStyle w:val="Heading1"/>
        <w:rPr>
          <w:b w:val="0"/>
          <w:sz w:val="44"/>
        </w:rPr>
      </w:pPr>
      <w:r>
        <w:rPr>
          <w:b w:val="0"/>
          <w:sz w:val="44"/>
        </w:rPr>
        <w:t>PUBLICATIEBLAD</w:t>
      </w:r>
    </w:p>
    <w:p w:rsidR="003D25AC" w:rsidRDefault="003D25AC">
      <w:pPr>
        <w:tabs>
          <w:tab w:val="left" w:pos="-720"/>
        </w:tabs>
        <w:suppressAutoHyphens/>
        <w:jc w:val="both"/>
        <w:rPr>
          <w:rFonts w:ascii="Times New Roman" w:hAnsi="Times New Roman"/>
          <w:bCs/>
          <w:spacing w:val="-3"/>
        </w:rPr>
        <w:sectPr w:rsidR="003D25AC">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D25AC" w:rsidRPr="000A0DBD" w:rsidRDefault="003D25AC">
      <w:pPr>
        <w:tabs>
          <w:tab w:val="left" w:pos="-720"/>
        </w:tabs>
        <w:suppressAutoHyphens/>
        <w:jc w:val="both"/>
        <w:rPr>
          <w:rFonts w:ascii="Palatino Linotype" w:hAnsi="Palatino Linotype"/>
          <w:bCs/>
          <w:spacing w:val="-3"/>
          <w:sz w:val="22"/>
          <w:szCs w:val="22"/>
        </w:rPr>
      </w:pPr>
    </w:p>
    <w:p w:rsidR="00331A7B" w:rsidRPr="000A0DBD" w:rsidRDefault="00331A7B">
      <w:pPr>
        <w:tabs>
          <w:tab w:val="left" w:pos="-720"/>
        </w:tabs>
        <w:suppressAutoHyphens/>
        <w:jc w:val="both"/>
        <w:rPr>
          <w:rFonts w:ascii="Palatino Linotype" w:hAnsi="Palatino Linotype"/>
          <w:bCs/>
          <w:spacing w:val="-3"/>
          <w:sz w:val="22"/>
          <w:szCs w:val="22"/>
        </w:rPr>
      </w:pPr>
    </w:p>
    <w:p w:rsidR="00200545" w:rsidRPr="00200545" w:rsidRDefault="00200545" w:rsidP="00200545">
      <w:pPr>
        <w:widowControl/>
        <w:jc w:val="both"/>
        <w:rPr>
          <w:rFonts w:ascii="Palatino Linotype" w:hAnsi="Palatino Linotype"/>
          <w:b/>
          <w:snapToGrid/>
          <w:sz w:val="22"/>
          <w:szCs w:val="22"/>
          <w:lang w:val="nl-NL"/>
        </w:rPr>
      </w:pPr>
      <w:r w:rsidRPr="00200545">
        <w:rPr>
          <w:rFonts w:ascii="Palatino Linotype" w:hAnsi="Palatino Linotype"/>
          <w:b/>
          <w:snapToGrid/>
          <w:sz w:val="22"/>
          <w:szCs w:val="22"/>
          <w:lang w:val="nl-NL"/>
        </w:rPr>
        <w:t xml:space="preserve">LANDSBESLUIT, HOUDENDE ALGEMENE MAATREGELEN, van de </w:t>
      </w:r>
      <w:r w:rsidR="004B16E3">
        <w:rPr>
          <w:rFonts w:ascii="Palatino Linotype" w:hAnsi="Palatino Linotype"/>
          <w:b/>
          <w:snapToGrid/>
          <w:sz w:val="22"/>
          <w:szCs w:val="22"/>
          <w:lang w:val="nl-NL"/>
        </w:rPr>
        <w:t>15</w:t>
      </w:r>
      <w:r w:rsidR="004B16E3" w:rsidRPr="004B16E3">
        <w:rPr>
          <w:rFonts w:ascii="Palatino Linotype" w:hAnsi="Palatino Linotype"/>
          <w:b/>
          <w:snapToGrid/>
          <w:sz w:val="22"/>
          <w:szCs w:val="22"/>
          <w:vertAlign w:val="superscript"/>
          <w:lang w:val="nl-NL"/>
        </w:rPr>
        <w:t>de</w:t>
      </w:r>
      <w:r w:rsidR="004B16E3">
        <w:rPr>
          <w:rFonts w:ascii="Palatino Linotype" w:hAnsi="Palatino Linotype"/>
          <w:b/>
          <w:snapToGrid/>
          <w:sz w:val="22"/>
          <w:szCs w:val="22"/>
          <w:lang w:val="nl-NL"/>
        </w:rPr>
        <w:t xml:space="preserve"> november 2019</w:t>
      </w:r>
    </w:p>
    <w:p w:rsidR="00200545" w:rsidRPr="00200545" w:rsidRDefault="00200545" w:rsidP="00200545">
      <w:pPr>
        <w:widowControl/>
        <w:jc w:val="both"/>
        <w:rPr>
          <w:rFonts w:ascii="Palatino Linotype" w:hAnsi="Palatino Linotype"/>
          <w:b/>
          <w:snapToGrid/>
          <w:sz w:val="22"/>
          <w:szCs w:val="22"/>
          <w:lang w:val="nl-NL"/>
        </w:rPr>
      </w:pPr>
      <w:r w:rsidRPr="00200545">
        <w:rPr>
          <w:rFonts w:ascii="Palatino Linotype" w:hAnsi="Palatino Linotype"/>
          <w:b/>
          <w:snapToGrid/>
          <w:sz w:val="22"/>
          <w:szCs w:val="22"/>
          <w:lang w:val="nl-NL"/>
        </w:rPr>
        <w:t>ter uitvoering van artikel 20, eerste lid, van de Landsverordening Georganiseerd Overleg in Ambtenarenzaken</w:t>
      </w:r>
      <w:r w:rsidRPr="00200545">
        <w:rPr>
          <w:rFonts w:ascii="Palatino Linotype" w:hAnsi="Palatino Linotype" w:cs="Arial"/>
          <w:b/>
          <w:snapToGrid/>
          <w:sz w:val="22"/>
          <w:szCs w:val="22"/>
          <w:vertAlign w:val="superscript"/>
          <w:lang w:val="nl-NL" w:eastAsia="nl-NL"/>
        </w:rPr>
        <w:footnoteReference w:id="1"/>
      </w:r>
      <w:r w:rsidRPr="00200545">
        <w:rPr>
          <w:rFonts w:ascii="Palatino Linotype" w:hAnsi="Palatino Linotype" w:cs="Helv"/>
          <w:b/>
          <w:snapToGrid/>
          <w:color w:val="000000"/>
          <w:sz w:val="22"/>
          <w:szCs w:val="22"/>
          <w:lang w:val="nl-NL" w:eastAsia="nl-NL"/>
        </w:rPr>
        <w:t xml:space="preserve"> </w:t>
      </w:r>
      <w:r w:rsidRPr="00200545">
        <w:rPr>
          <w:rFonts w:ascii="Palatino Linotype" w:hAnsi="Palatino Linotype"/>
          <w:b/>
          <w:snapToGrid/>
          <w:sz w:val="22"/>
          <w:szCs w:val="22"/>
          <w:lang w:val="nl-NL"/>
        </w:rPr>
        <w:t>(Landsbesluit Sectoraal Georganiseerd Overleg in Ambtenarenzaken)</w:t>
      </w:r>
    </w:p>
    <w:p w:rsidR="00200545" w:rsidRPr="00200545" w:rsidRDefault="00200545" w:rsidP="00200545">
      <w:pPr>
        <w:widowControl/>
        <w:jc w:val="both"/>
        <w:rPr>
          <w:rFonts w:ascii="Palatino Linotype" w:hAnsi="Palatino Linotype"/>
          <w:b/>
          <w:snapToGrid/>
          <w:sz w:val="22"/>
          <w:szCs w:val="22"/>
          <w:lang w:val="nl-NL"/>
        </w:rPr>
      </w:pPr>
    </w:p>
    <w:p w:rsidR="00200545" w:rsidRDefault="00B640CC" w:rsidP="00200545">
      <w:pPr>
        <w:widowControl/>
        <w:jc w:val="both"/>
        <w:rPr>
          <w:rFonts w:ascii="Palatino Linotype" w:hAnsi="Palatino Linotype"/>
          <w:snapToGrid/>
          <w:sz w:val="22"/>
          <w:szCs w:val="22"/>
          <w:lang w:val="nl-NL"/>
        </w:rPr>
      </w:pPr>
      <w:r>
        <w:rPr>
          <w:rFonts w:ascii="Palatino Linotype" w:hAnsi="Palatino Linotype"/>
          <w:snapToGrid/>
          <w:sz w:val="22"/>
          <w:szCs w:val="22"/>
          <w:lang w:val="nl-NL"/>
        </w:rPr>
        <w:tab/>
      </w:r>
      <w:r>
        <w:rPr>
          <w:rFonts w:ascii="Palatino Linotype" w:hAnsi="Palatino Linotype"/>
          <w:snapToGrid/>
          <w:sz w:val="22"/>
          <w:szCs w:val="22"/>
          <w:lang w:val="nl-NL"/>
        </w:rPr>
        <w:tab/>
      </w:r>
      <w:r>
        <w:rPr>
          <w:rFonts w:ascii="Palatino Linotype" w:hAnsi="Palatino Linotype"/>
          <w:snapToGrid/>
          <w:sz w:val="22"/>
          <w:szCs w:val="22"/>
          <w:lang w:val="nl-NL"/>
        </w:rPr>
        <w:tab/>
      </w:r>
      <w:r>
        <w:rPr>
          <w:rFonts w:ascii="Palatino Linotype" w:hAnsi="Palatino Linotype"/>
          <w:snapToGrid/>
          <w:sz w:val="22"/>
          <w:szCs w:val="22"/>
          <w:lang w:val="nl-NL"/>
        </w:rPr>
        <w:tab/>
      </w:r>
      <w:r>
        <w:rPr>
          <w:rFonts w:ascii="Palatino Linotype" w:hAnsi="Palatino Linotype"/>
          <w:snapToGrid/>
          <w:sz w:val="22"/>
          <w:szCs w:val="22"/>
          <w:lang w:val="nl-NL"/>
        </w:rPr>
        <w:tab/>
      </w:r>
      <w:r>
        <w:rPr>
          <w:rFonts w:ascii="Palatino Linotype" w:hAnsi="Palatino Linotype"/>
          <w:snapToGrid/>
          <w:sz w:val="22"/>
          <w:szCs w:val="22"/>
          <w:lang w:val="nl-NL"/>
        </w:rPr>
        <w:tab/>
        <w:t xml:space="preserve">_____________ </w:t>
      </w:r>
    </w:p>
    <w:p w:rsidR="00B640CC" w:rsidRPr="00200545" w:rsidRDefault="00B640CC" w:rsidP="00200545">
      <w:pPr>
        <w:widowControl/>
        <w:jc w:val="both"/>
        <w:rPr>
          <w:rFonts w:ascii="Palatino Linotype" w:hAnsi="Palatino Linotype"/>
          <w:snapToGrid/>
          <w:sz w:val="22"/>
          <w:szCs w:val="22"/>
          <w:lang w:val="nl-NL"/>
        </w:rPr>
      </w:pPr>
    </w:p>
    <w:p w:rsidR="00200545" w:rsidRPr="00200545" w:rsidRDefault="00200545" w:rsidP="00B640CC">
      <w:pPr>
        <w:widowControl/>
        <w:ind w:firstLine="720"/>
        <w:jc w:val="center"/>
        <w:rPr>
          <w:rFonts w:ascii="Palatino Linotype" w:hAnsi="Palatino Linotype"/>
          <w:snapToGrid/>
          <w:sz w:val="22"/>
          <w:szCs w:val="22"/>
          <w:lang w:val="it-IT"/>
        </w:rPr>
      </w:pPr>
      <w:r w:rsidRPr="00200545">
        <w:rPr>
          <w:rFonts w:ascii="Palatino Linotype" w:hAnsi="Palatino Linotype"/>
          <w:snapToGrid/>
          <w:sz w:val="22"/>
          <w:szCs w:val="22"/>
          <w:lang w:val="it-IT"/>
        </w:rPr>
        <w:t>In naam van de Koning!</w:t>
      </w:r>
    </w:p>
    <w:p w:rsidR="00200545" w:rsidRDefault="00B640CC" w:rsidP="00B640CC">
      <w:pPr>
        <w:widowControl/>
        <w:jc w:val="both"/>
        <w:rPr>
          <w:rFonts w:ascii="Palatino Linotype" w:hAnsi="Palatino Linotype"/>
          <w:snapToGrid/>
          <w:sz w:val="22"/>
          <w:szCs w:val="22"/>
          <w:lang w:val="it-IT"/>
        </w:rPr>
      </w:pPr>
      <w:r>
        <w:rPr>
          <w:rFonts w:ascii="Palatino Linotype" w:hAnsi="Palatino Linotype"/>
          <w:snapToGrid/>
          <w:sz w:val="22"/>
          <w:szCs w:val="22"/>
          <w:lang w:val="it-IT"/>
        </w:rPr>
        <w:tab/>
      </w:r>
      <w:r>
        <w:rPr>
          <w:rFonts w:ascii="Palatino Linotype" w:hAnsi="Palatino Linotype"/>
          <w:snapToGrid/>
          <w:sz w:val="22"/>
          <w:szCs w:val="22"/>
          <w:lang w:val="it-IT"/>
        </w:rPr>
        <w:tab/>
      </w:r>
      <w:r>
        <w:rPr>
          <w:rFonts w:ascii="Palatino Linotype" w:hAnsi="Palatino Linotype"/>
          <w:snapToGrid/>
          <w:sz w:val="22"/>
          <w:szCs w:val="22"/>
          <w:lang w:val="it-IT"/>
        </w:rPr>
        <w:tab/>
      </w:r>
      <w:r>
        <w:rPr>
          <w:rFonts w:ascii="Palatino Linotype" w:hAnsi="Palatino Linotype"/>
          <w:snapToGrid/>
          <w:sz w:val="22"/>
          <w:szCs w:val="22"/>
          <w:lang w:val="it-IT"/>
        </w:rPr>
        <w:tab/>
      </w:r>
      <w:r>
        <w:rPr>
          <w:rFonts w:ascii="Palatino Linotype" w:hAnsi="Palatino Linotype"/>
          <w:snapToGrid/>
          <w:sz w:val="22"/>
          <w:szCs w:val="22"/>
          <w:lang w:val="it-IT"/>
        </w:rPr>
        <w:tab/>
      </w:r>
      <w:r>
        <w:rPr>
          <w:rFonts w:ascii="Palatino Linotype" w:hAnsi="Palatino Linotype"/>
          <w:snapToGrid/>
          <w:sz w:val="22"/>
          <w:szCs w:val="22"/>
          <w:lang w:val="it-IT"/>
        </w:rPr>
        <w:tab/>
        <w:t xml:space="preserve">   ________ </w:t>
      </w:r>
    </w:p>
    <w:p w:rsidR="00B640CC" w:rsidRPr="00200545" w:rsidRDefault="00B640CC" w:rsidP="00B640CC">
      <w:pPr>
        <w:widowControl/>
        <w:jc w:val="both"/>
        <w:rPr>
          <w:rFonts w:ascii="Palatino Linotype" w:hAnsi="Palatino Linotype"/>
          <w:snapToGrid/>
          <w:sz w:val="22"/>
          <w:szCs w:val="22"/>
          <w:lang w:val="it-IT"/>
        </w:rPr>
      </w:pPr>
    </w:p>
    <w:p w:rsidR="00200545" w:rsidRPr="00200545" w:rsidRDefault="004B16E3" w:rsidP="00200545">
      <w:pPr>
        <w:widowControl/>
        <w:jc w:val="center"/>
        <w:rPr>
          <w:rFonts w:ascii="Palatino Linotype" w:hAnsi="Palatino Linotype"/>
          <w:snapToGrid/>
          <w:sz w:val="22"/>
          <w:szCs w:val="22"/>
          <w:lang w:val="es-ES"/>
        </w:rPr>
      </w:pPr>
      <w:r>
        <w:rPr>
          <w:rFonts w:ascii="Palatino Linotype" w:hAnsi="Palatino Linotype"/>
          <w:snapToGrid/>
          <w:sz w:val="22"/>
          <w:szCs w:val="22"/>
          <w:lang w:val="es-ES"/>
        </w:rPr>
        <w:t>D</w:t>
      </w:r>
      <w:r w:rsidR="00200545" w:rsidRPr="00200545">
        <w:rPr>
          <w:rFonts w:ascii="Palatino Linotype" w:hAnsi="Palatino Linotype"/>
          <w:snapToGrid/>
          <w:sz w:val="22"/>
          <w:szCs w:val="22"/>
          <w:lang w:val="es-ES"/>
        </w:rPr>
        <w:t xml:space="preserve">e </w:t>
      </w:r>
      <w:r w:rsidR="00200545">
        <w:rPr>
          <w:rFonts w:ascii="Palatino Linotype" w:hAnsi="Palatino Linotype"/>
          <w:snapToGrid/>
          <w:sz w:val="22"/>
          <w:szCs w:val="22"/>
          <w:lang w:val="es-ES"/>
        </w:rPr>
        <w:t xml:space="preserve"> </w:t>
      </w:r>
      <w:proofErr w:type="spellStart"/>
      <w:r w:rsidR="00200545">
        <w:rPr>
          <w:rFonts w:ascii="Palatino Linotype" w:hAnsi="Palatino Linotype"/>
          <w:snapToGrid/>
          <w:sz w:val="22"/>
          <w:szCs w:val="22"/>
          <w:lang w:val="es-ES"/>
        </w:rPr>
        <w:t>waarnemende</w:t>
      </w:r>
      <w:proofErr w:type="spellEnd"/>
      <w:r w:rsidR="00200545">
        <w:rPr>
          <w:rFonts w:ascii="Palatino Linotype" w:hAnsi="Palatino Linotype"/>
          <w:snapToGrid/>
          <w:sz w:val="22"/>
          <w:szCs w:val="22"/>
          <w:lang w:val="es-ES"/>
        </w:rPr>
        <w:t xml:space="preserve"> </w:t>
      </w:r>
      <w:r w:rsidR="00200545" w:rsidRPr="00200545">
        <w:rPr>
          <w:rFonts w:ascii="Palatino Linotype" w:hAnsi="Palatino Linotype"/>
          <w:snapToGrid/>
          <w:sz w:val="22"/>
          <w:szCs w:val="22"/>
          <w:lang w:val="es-ES"/>
        </w:rPr>
        <w:t xml:space="preserve"> </w:t>
      </w:r>
      <w:proofErr w:type="spellStart"/>
      <w:r w:rsidR="00200545" w:rsidRPr="00200545">
        <w:rPr>
          <w:rFonts w:ascii="Palatino Linotype" w:hAnsi="Palatino Linotype"/>
          <w:snapToGrid/>
          <w:sz w:val="22"/>
          <w:szCs w:val="22"/>
          <w:lang w:val="es-ES"/>
        </w:rPr>
        <w:t>G</w:t>
      </w:r>
      <w:r w:rsidR="00200545">
        <w:rPr>
          <w:rFonts w:ascii="Palatino Linotype" w:hAnsi="Palatino Linotype"/>
          <w:snapToGrid/>
          <w:sz w:val="22"/>
          <w:szCs w:val="22"/>
          <w:lang w:val="es-ES"/>
        </w:rPr>
        <w:t>ouverneur</w:t>
      </w:r>
      <w:proofErr w:type="spellEnd"/>
      <w:r w:rsidR="00200545">
        <w:rPr>
          <w:rFonts w:ascii="Palatino Linotype" w:hAnsi="Palatino Linotype"/>
          <w:snapToGrid/>
          <w:sz w:val="22"/>
          <w:szCs w:val="22"/>
          <w:lang w:val="es-ES"/>
        </w:rPr>
        <w:t xml:space="preserve"> van </w:t>
      </w:r>
      <w:proofErr w:type="spellStart"/>
      <w:r w:rsidR="00200545">
        <w:rPr>
          <w:rFonts w:ascii="Palatino Linotype" w:hAnsi="Palatino Linotype"/>
          <w:snapToGrid/>
          <w:sz w:val="22"/>
          <w:szCs w:val="22"/>
          <w:lang w:val="es-ES"/>
        </w:rPr>
        <w:t>Curaçao</w:t>
      </w:r>
      <w:proofErr w:type="spellEnd"/>
      <w:r w:rsidR="00575E14">
        <w:rPr>
          <w:rFonts w:ascii="Palatino Linotype" w:hAnsi="Palatino Linotype"/>
          <w:snapToGrid/>
          <w:sz w:val="22"/>
          <w:szCs w:val="22"/>
          <w:lang w:val="es-ES"/>
        </w:rPr>
        <w:t>,</w:t>
      </w:r>
      <w:bookmarkStart w:id="1" w:name="_GoBack"/>
      <w:bookmarkEnd w:id="1"/>
    </w:p>
    <w:p w:rsidR="00200545" w:rsidRPr="00200545" w:rsidRDefault="00200545" w:rsidP="00200545">
      <w:pPr>
        <w:widowControl/>
        <w:jc w:val="both"/>
        <w:rPr>
          <w:rFonts w:ascii="Palatino Linotype" w:hAnsi="Palatino Linotype"/>
          <w:snapToGrid/>
          <w:sz w:val="22"/>
          <w:szCs w:val="22"/>
          <w:lang w:val="es-ES"/>
        </w:rPr>
      </w:pPr>
    </w:p>
    <w:p w:rsidR="00200545" w:rsidRPr="00200545" w:rsidRDefault="00200545" w:rsidP="00200545">
      <w:pPr>
        <w:widowControl/>
        <w:jc w:val="both"/>
        <w:rPr>
          <w:rFonts w:ascii="Palatino Linotype" w:hAnsi="Palatino Linotype"/>
          <w:snapToGrid/>
          <w:sz w:val="22"/>
          <w:szCs w:val="22"/>
          <w:lang w:val="es-ES"/>
        </w:rPr>
      </w:pPr>
    </w:p>
    <w:p w:rsidR="00200545" w:rsidRPr="00200545" w:rsidRDefault="00200545" w:rsidP="00200545">
      <w:pPr>
        <w:widowControl/>
        <w:tabs>
          <w:tab w:val="left" w:pos="567"/>
        </w:tabs>
        <w:ind w:left="567" w:hanging="567"/>
        <w:jc w:val="both"/>
        <w:rPr>
          <w:rFonts w:ascii="Palatino Linotype" w:hAnsi="Palatino Linotype"/>
          <w:snapToGrid/>
          <w:sz w:val="22"/>
          <w:szCs w:val="22"/>
          <w:lang w:val="nl-NL"/>
        </w:rPr>
      </w:pPr>
      <w:r w:rsidRPr="00200545">
        <w:rPr>
          <w:rFonts w:ascii="Palatino Linotype" w:hAnsi="Palatino Linotype"/>
          <w:snapToGrid/>
          <w:sz w:val="22"/>
          <w:szCs w:val="22"/>
          <w:lang w:val="nl-NL"/>
        </w:rPr>
        <w:t>In overweging genomen hebbende:</w:t>
      </w:r>
    </w:p>
    <w:p w:rsidR="00200545" w:rsidRPr="00200545" w:rsidRDefault="00200545" w:rsidP="00200545">
      <w:pPr>
        <w:widowControl/>
        <w:jc w:val="both"/>
        <w:rPr>
          <w:rFonts w:ascii="Palatino Linotype" w:hAnsi="Palatino Linotype"/>
          <w:snapToGrid/>
          <w:sz w:val="22"/>
          <w:szCs w:val="22"/>
          <w:lang w:val="nl-NL"/>
        </w:rPr>
      </w:pPr>
    </w:p>
    <w:p w:rsidR="00200545" w:rsidRPr="00200545" w:rsidRDefault="00200545" w:rsidP="00200545">
      <w:pPr>
        <w:keepNext/>
        <w:widowControl/>
        <w:jc w:val="both"/>
        <w:outlineLvl w:val="0"/>
        <w:rPr>
          <w:rFonts w:ascii="Palatino Linotype" w:hAnsi="Palatino Linotype"/>
          <w:snapToGrid/>
          <w:sz w:val="22"/>
          <w:szCs w:val="22"/>
          <w:lang w:val="nl-NL"/>
        </w:rPr>
      </w:pPr>
      <w:r w:rsidRPr="00200545">
        <w:rPr>
          <w:rFonts w:ascii="Palatino Linotype" w:hAnsi="Palatino Linotype"/>
          <w:snapToGrid/>
          <w:sz w:val="22"/>
          <w:szCs w:val="22"/>
          <w:lang w:val="nl-NL"/>
        </w:rPr>
        <w:t>dat ter uitvoering van artikel 20, eerste lid, van de Landsverordening Georganiseerd Overleg in Ambtenarenzaken, sectoren van de overheid kunnen worden vastgesteld;</w:t>
      </w:r>
    </w:p>
    <w:p w:rsidR="00200545" w:rsidRPr="00200545" w:rsidRDefault="00200545" w:rsidP="00200545">
      <w:pPr>
        <w:keepNext/>
        <w:widowControl/>
        <w:jc w:val="both"/>
        <w:outlineLvl w:val="0"/>
        <w:rPr>
          <w:rFonts w:ascii="Palatino Linotype" w:hAnsi="Palatino Linotype"/>
          <w:snapToGrid/>
          <w:sz w:val="22"/>
          <w:szCs w:val="22"/>
          <w:lang w:val="nl-NL"/>
        </w:rPr>
      </w:pPr>
    </w:p>
    <w:p w:rsidR="00200545" w:rsidRPr="00200545" w:rsidRDefault="00200545" w:rsidP="00200545">
      <w:pPr>
        <w:keepNext/>
        <w:widowControl/>
        <w:jc w:val="both"/>
        <w:outlineLvl w:val="0"/>
        <w:rPr>
          <w:rFonts w:ascii="Palatino Linotype" w:hAnsi="Palatino Linotype"/>
          <w:snapToGrid/>
          <w:sz w:val="22"/>
          <w:szCs w:val="22"/>
          <w:lang w:val="nl-NL"/>
        </w:rPr>
      </w:pPr>
      <w:r w:rsidRPr="00200545">
        <w:rPr>
          <w:rFonts w:ascii="Palatino Linotype" w:hAnsi="Palatino Linotype"/>
          <w:snapToGrid/>
          <w:sz w:val="22"/>
          <w:szCs w:val="22"/>
          <w:lang w:val="nl-NL"/>
        </w:rPr>
        <w:t>dat het wenselijk is om sectoren vast te stellen, waarvoor het overleg over specifieke aangelegenheden betreffende de rechtstoestand van de onder desbetreffende sector ressorterende ambtenaren afzonderlijk in een Sectoraal Georganiseerd Overleg in Ambtenarenzaken kan plaatsvinden;</w:t>
      </w:r>
    </w:p>
    <w:p w:rsidR="00200545" w:rsidRPr="00200545" w:rsidRDefault="00200545" w:rsidP="00200545">
      <w:pPr>
        <w:keepNext/>
        <w:widowControl/>
        <w:jc w:val="both"/>
        <w:outlineLvl w:val="0"/>
        <w:rPr>
          <w:rFonts w:ascii="Palatino Linotype" w:hAnsi="Palatino Linotype"/>
          <w:snapToGrid/>
          <w:sz w:val="22"/>
          <w:szCs w:val="22"/>
          <w:lang w:val="nl-NL"/>
        </w:rPr>
      </w:pPr>
    </w:p>
    <w:p w:rsidR="00200545" w:rsidRPr="00200545" w:rsidRDefault="00200545" w:rsidP="00200545">
      <w:pPr>
        <w:keepNext/>
        <w:widowControl/>
        <w:jc w:val="both"/>
        <w:outlineLvl w:val="0"/>
        <w:rPr>
          <w:rFonts w:ascii="Palatino Linotype" w:hAnsi="Palatino Linotype"/>
          <w:snapToGrid/>
          <w:sz w:val="22"/>
          <w:szCs w:val="22"/>
          <w:lang w:val="nl-NL"/>
        </w:rPr>
      </w:pPr>
      <w:r w:rsidRPr="00200545">
        <w:rPr>
          <w:rFonts w:ascii="Palatino Linotype" w:hAnsi="Palatino Linotype"/>
          <w:snapToGrid/>
          <w:sz w:val="22"/>
          <w:szCs w:val="22"/>
          <w:lang w:val="nl-NL"/>
        </w:rPr>
        <w:t xml:space="preserve">Heeft, de Raad van Advies gehoord, besloten: </w:t>
      </w:r>
    </w:p>
    <w:p w:rsidR="00200545" w:rsidRDefault="00200545" w:rsidP="00200545">
      <w:pPr>
        <w:keepNext/>
        <w:widowControl/>
        <w:jc w:val="both"/>
        <w:outlineLvl w:val="0"/>
        <w:rPr>
          <w:rFonts w:ascii="Palatino Linotype" w:hAnsi="Palatino Linotype"/>
          <w:snapToGrid/>
          <w:sz w:val="22"/>
          <w:szCs w:val="22"/>
          <w:lang w:val="nl-NL"/>
        </w:rPr>
      </w:pPr>
    </w:p>
    <w:p w:rsidR="004B16E3" w:rsidRPr="00200545" w:rsidRDefault="004B16E3" w:rsidP="00200545">
      <w:pPr>
        <w:keepNext/>
        <w:widowControl/>
        <w:jc w:val="both"/>
        <w:outlineLvl w:val="0"/>
        <w:rPr>
          <w:rFonts w:ascii="Palatino Linotype" w:hAnsi="Palatino Linotype"/>
          <w:snapToGrid/>
          <w:sz w:val="22"/>
          <w:szCs w:val="22"/>
          <w:lang w:val="nl-NL"/>
        </w:rPr>
      </w:pPr>
    </w:p>
    <w:p w:rsidR="00200545" w:rsidRPr="00200545" w:rsidRDefault="00200545" w:rsidP="00200545">
      <w:pPr>
        <w:keepNext/>
        <w:widowControl/>
        <w:jc w:val="center"/>
        <w:outlineLvl w:val="0"/>
        <w:rPr>
          <w:rFonts w:ascii="Palatino Linotype" w:hAnsi="Palatino Linotype"/>
          <w:b/>
          <w:snapToGrid/>
          <w:sz w:val="22"/>
          <w:szCs w:val="22"/>
          <w:lang w:val="nl-NL"/>
        </w:rPr>
      </w:pPr>
      <w:r w:rsidRPr="00200545">
        <w:rPr>
          <w:rFonts w:ascii="Palatino Linotype" w:hAnsi="Palatino Linotype"/>
          <w:b/>
          <w:snapToGrid/>
          <w:sz w:val="22"/>
          <w:szCs w:val="22"/>
          <w:lang w:val="nl-NL"/>
        </w:rPr>
        <w:t>Artikel 1</w:t>
      </w:r>
    </w:p>
    <w:p w:rsidR="00200545" w:rsidRPr="00200545" w:rsidRDefault="00200545" w:rsidP="00200545">
      <w:pPr>
        <w:keepNext/>
        <w:widowControl/>
        <w:jc w:val="both"/>
        <w:outlineLvl w:val="0"/>
        <w:rPr>
          <w:rFonts w:ascii="Palatino Linotype" w:hAnsi="Palatino Linotype"/>
          <w:snapToGrid/>
          <w:sz w:val="22"/>
          <w:szCs w:val="22"/>
          <w:lang w:val="nl-NL"/>
        </w:rPr>
      </w:pPr>
    </w:p>
    <w:p w:rsidR="00200545" w:rsidRPr="00200545" w:rsidRDefault="00200545" w:rsidP="005B6D19">
      <w:pPr>
        <w:keepNext/>
        <w:widowControl/>
        <w:numPr>
          <w:ilvl w:val="0"/>
          <w:numId w:val="1"/>
        </w:numPr>
        <w:ind w:left="270"/>
        <w:jc w:val="both"/>
        <w:outlineLvl w:val="0"/>
        <w:rPr>
          <w:rFonts w:ascii="Palatino Linotype" w:hAnsi="Palatino Linotype"/>
          <w:snapToGrid/>
          <w:sz w:val="22"/>
          <w:szCs w:val="22"/>
          <w:lang w:val="nl-NL"/>
        </w:rPr>
      </w:pPr>
      <w:r w:rsidRPr="00200545">
        <w:rPr>
          <w:rFonts w:ascii="Palatino Linotype" w:hAnsi="Palatino Linotype"/>
          <w:snapToGrid/>
          <w:sz w:val="22"/>
          <w:szCs w:val="22"/>
          <w:lang w:val="nl-NL"/>
        </w:rPr>
        <w:t>Er zijn 9 sectoren waarvoor het overleg over specifieke aangelegenheden betreffende de rechtstoestand van de onder desbetreffende sector ressorterende ambtenaren afzonderlijk in een Sectoraal Georganiseerd Overleg in Ambtenarenzaken kan plaatsvinden.</w:t>
      </w:r>
    </w:p>
    <w:p w:rsidR="00200545" w:rsidRPr="00200545" w:rsidRDefault="00200545" w:rsidP="00200545">
      <w:pPr>
        <w:widowControl/>
        <w:jc w:val="both"/>
        <w:rPr>
          <w:rFonts w:ascii="Palatino Linotype" w:hAnsi="Palatino Linotype"/>
          <w:snapToGrid/>
          <w:sz w:val="22"/>
          <w:szCs w:val="22"/>
          <w:lang w:val="nl-NL"/>
        </w:rPr>
      </w:pPr>
    </w:p>
    <w:p w:rsidR="00200545" w:rsidRPr="00200545" w:rsidRDefault="00200545" w:rsidP="005B6D19">
      <w:pPr>
        <w:widowControl/>
        <w:numPr>
          <w:ilvl w:val="0"/>
          <w:numId w:val="1"/>
        </w:numPr>
        <w:ind w:left="270"/>
        <w:contextualSpacing/>
        <w:jc w:val="both"/>
        <w:rPr>
          <w:rFonts w:ascii="Palatino Linotype" w:hAnsi="Palatino Linotype"/>
          <w:snapToGrid/>
          <w:sz w:val="22"/>
          <w:szCs w:val="22"/>
          <w:lang w:val="nl-NL"/>
        </w:rPr>
      </w:pPr>
      <w:r w:rsidRPr="00200545">
        <w:rPr>
          <w:rFonts w:ascii="Palatino Linotype" w:hAnsi="Palatino Linotype"/>
          <w:snapToGrid/>
          <w:sz w:val="22"/>
          <w:szCs w:val="22"/>
          <w:lang w:val="nl-NL"/>
        </w:rPr>
        <w:t xml:space="preserve">De sectoren, genoemd in het eerste lid, </w:t>
      </w:r>
      <w:r w:rsidR="00B640CC" w:rsidRPr="00200545">
        <w:rPr>
          <w:rFonts w:ascii="Palatino Linotype" w:hAnsi="Palatino Linotype"/>
          <w:snapToGrid/>
          <w:sz w:val="22"/>
          <w:szCs w:val="22"/>
          <w:lang w:val="nl-NL"/>
        </w:rPr>
        <w:t xml:space="preserve">zijn: </w:t>
      </w:r>
    </w:p>
    <w:p w:rsidR="00200545" w:rsidRPr="00200545" w:rsidRDefault="00200545" w:rsidP="005B6D19">
      <w:pPr>
        <w:widowControl/>
        <w:numPr>
          <w:ilvl w:val="0"/>
          <w:numId w:val="2"/>
        </w:numPr>
        <w:ind w:left="630"/>
        <w:contextualSpacing/>
        <w:jc w:val="both"/>
        <w:rPr>
          <w:rFonts w:ascii="Palatino Linotype" w:hAnsi="Palatino Linotype"/>
          <w:snapToGrid/>
          <w:sz w:val="22"/>
          <w:szCs w:val="22"/>
          <w:lang w:val="nl-NL"/>
        </w:rPr>
      </w:pPr>
      <w:r w:rsidRPr="00200545">
        <w:rPr>
          <w:rFonts w:ascii="Palatino Linotype" w:hAnsi="Palatino Linotype"/>
          <w:snapToGrid/>
          <w:sz w:val="22"/>
          <w:szCs w:val="22"/>
          <w:lang w:val="nl-NL"/>
        </w:rPr>
        <w:t>sector Algemene Zaken;</w:t>
      </w:r>
    </w:p>
    <w:p w:rsidR="00200545" w:rsidRPr="00200545" w:rsidRDefault="00200545" w:rsidP="005B6D19">
      <w:pPr>
        <w:widowControl/>
        <w:numPr>
          <w:ilvl w:val="0"/>
          <w:numId w:val="2"/>
        </w:numPr>
        <w:ind w:left="630"/>
        <w:contextualSpacing/>
        <w:jc w:val="both"/>
        <w:rPr>
          <w:rFonts w:ascii="Palatino Linotype" w:hAnsi="Palatino Linotype"/>
          <w:snapToGrid/>
          <w:sz w:val="22"/>
          <w:szCs w:val="22"/>
          <w:lang w:val="nl-NL"/>
        </w:rPr>
      </w:pPr>
      <w:r w:rsidRPr="00200545">
        <w:rPr>
          <w:rFonts w:ascii="Palatino Linotype" w:hAnsi="Palatino Linotype"/>
          <w:snapToGrid/>
          <w:sz w:val="22"/>
          <w:szCs w:val="22"/>
          <w:lang w:val="nl-NL"/>
        </w:rPr>
        <w:t>sector Bestuur, Planning en Dienstverlening;</w:t>
      </w:r>
    </w:p>
    <w:p w:rsidR="00200545" w:rsidRPr="00200545" w:rsidRDefault="00200545" w:rsidP="005B6D19">
      <w:pPr>
        <w:widowControl/>
        <w:numPr>
          <w:ilvl w:val="0"/>
          <w:numId w:val="2"/>
        </w:numPr>
        <w:ind w:left="630"/>
        <w:contextualSpacing/>
        <w:jc w:val="both"/>
        <w:rPr>
          <w:rFonts w:ascii="Palatino Linotype" w:hAnsi="Palatino Linotype"/>
          <w:snapToGrid/>
          <w:sz w:val="22"/>
          <w:szCs w:val="22"/>
          <w:lang w:val="nl-NL"/>
        </w:rPr>
      </w:pPr>
      <w:r w:rsidRPr="00200545">
        <w:rPr>
          <w:rFonts w:ascii="Palatino Linotype" w:hAnsi="Palatino Linotype"/>
          <w:snapToGrid/>
          <w:sz w:val="22"/>
          <w:szCs w:val="22"/>
          <w:lang w:val="nl-NL"/>
        </w:rPr>
        <w:t>sector Justitie;</w:t>
      </w:r>
    </w:p>
    <w:p w:rsidR="00200545" w:rsidRPr="00200545" w:rsidRDefault="00200545" w:rsidP="005B6D19">
      <w:pPr>
        <w:widowControl/>
        <w:numPr>
          <w:ilvl w:val="0"/>
          <w:numId w:val="2"/>
        </w:numPr>
        <w:ind w:left="630"/>
        <w:contextualSpacing/>
        <w:jc w:val="both"/>
        <w:rPr>
          <w:rFonts w:ascii="Palatino Linotype" w:hAnsi="Palatino Linotype"/>
          <w:snapToGrid/>
          <w:sz w:val="22"/>
          <w:szCs w:val="22"/>
          <w:lang w:val="nl-NL"/>
        </w:rPr>
      </w:pPr>
      <w:r w:rsidRPr="00200545">
        <w:rPr>
          <w:rFonts w:ascii="Palatino Linotype" w:hAnsi="Palatino Linotype"/>
          <w:snapToGrid/>
          <w:sz w:val="22"/>
          <w:szCs w:val="22"/>
          <w:lang w:val="nl-NL"/>
        </w:rPr>
        <w:t>sector Financiën;</w:t>
      </w:r>
    </w:p>
    <w:p w:rsidR="00200545" w:rsidRPr="00200545" w:rsidRDefault="00200545" w:rsidP="005B6D19">
      <w:pPr>
        <w:widowControl/>
        <w:numPr>
          <w:ilvl w:val="0"/>
          <w:numId w:val="2"/>
        </w:numPr>
        <w:ind w:left="630"/>
        <w:contextualSpacing/>
        <w:jc w:val="both"/>
        <w:rPr>
          <w:rFonts w:ascii="Palatino Linotype" w:hAnsi="Palatino Linotype"/>
          <w:snapToGrid/>
          <w:sz w:val="22"/>
          <w:szCs w:val="22"/>
          <w:lang w:val="nl-NL"/>
        </w:rPr>
      </w:pPr>
      <w:r w:rsidRPr="00200545">
        <w:rPr>
          <w:rFonts w:ascii="Palatino Linotype" w:hAnsi="Palatino Linotype"/>
          <w:snapToGrid/>
          <w:sz w:val="22"/>
          <w:szCs w:val="22"/>
          <w:lang w:val="nl-NL"/>
        </w:rPr>
        <w:t>sector Onderwijs, Wetenschap, Cultuur en Sport;</w:t>
      </w:r>
    </w:p>
    <w:p w:rsidR="00200545" w:rsidRPr="00200545" w:rsidRDefault="00200545" w:rsidP="005B6D19">
      <w:pPr>
        <w:widowControl/>
        <w:numPr>
          <w:ilvl w:val="0"/>
          <w:numId w:val="2"/>
        </w:numPr>
        <w:ind w:left="630"/>
        <w:contextualSpacing/>
        <w:jc w:val="both"/>
        <w:rPr>
          <w:rFonts w:ascii="Palatino Linotype" w:hAnsi="Palatino Linotype"/>
          <w:snapToGrid/>
          <w:sz w:val="22"/>
          <w:szCs w:val="22"/>
          <w:lang w:val="nl-NL"/>
        </w:rPr>
      </w:pPr>
      <w:r w:rsidRPr="00200545">
        <w:rPr>
          <w:rFonts w:ascii="Palatino Linotype" w:hAnsi="Palatino Linotype"/>
          <w:snapToGrid/>
          <w:sz w:val="22"/>
          <w:szCs w:val="22"/>
          <w:lang w:val="nl-NL"/>
        </w:rPr>
        <w:lastRenderedPageBreak/>
        <w:t>sector Gezondheid, Milieu en Natuur;</w:t>
      </w:r>
    </w:p>
    <w:p w:rsidR="00200545" w:rsidRPr="00200545" w:rsidRDefault="00200545" w:rsidP="005B6D19">
      <w:pPr>
        <w:widowControl/>
        <w:numPr>
          <w:ilvl w:val="0"/>
          <w:numId w:val="2"/>
        </w:numPr>
        <w:ind w:left="630"/>
        <w:contextualSpacing/>
        <w:jc w:val="both"/>
        <w:rPr>
          <w:rFonts w:ascii="Palatino Linotype" w:hAnsi="Palatino Linotype"/>
          <w:snapToGrid/>
          <w:sz w:val="22"/>
          <w:szCs w:val="22"/>
          <w:lang w:val="nl-NL"/>
        </w:rPr>
      </w:pPr>
      <w:r w:rsidRPr="00200545">
        <w:rPr>
          <w:rFonts w:ascii="Palatino Linotype" w:hAnsi="Palatino Linotype"/>
          <w:snapToGrid/>
          <w:sz w:val="22"/>
          <w:szCs w:val="22"/>
          <w:lang w:val="nl-NL"/>
        </w:rPr>
        <w:t>sector Sociale Ontwikkeling, Arbeid en Welzijn;</w:t>
      </w:r>
    </w:p>
    <w:p w:rsidR="00200545" w:rsidRPr="00200545" w:rsidRDefault="00200545" w:rsidP="005B6D19">
      <w:pPr>
        <w:widowControl/>
        <w:numPr>
          <w:ilvl w:val="0"/>
          <w:numId w:val="2"/>
        </w:numPr>
        <w:ind w:left="630"/>
        <w:contextualSpacing/>
        <w:jc w:val="both"/>
        <w:rPr>
          <w:rFonts w:ascii="Palatino Linotype" w:hAnsi="Palatino Linotype"/>
          <w:snapToGrid/>
          <w:sz w:val="22"/>
          <w:szCs w:val="22"/>
          <w:lang w:val="nl-NL"/>
        </w:rPr>
      </w:pPr>
      <w:r w:rsidRPr="00200545">
        <w:rPr>
          <w:rFonts w:ascii="Palatino Linotype" w:hAnsi="Palatino Linotype"/>
          <w:snapToGrid/>
          <w:sz w:val="22"/>
          <w:szCs w:val="22"/>
          <w:lang w:val="nl-NL"/>
        </w:rPr>
        <w:t>sector Economische Ontwikkeling en</w:t>
      </w:r>
    </w:p>
    <w:p w:rsidR="00200545" w:rsidRPr="00200545" w:rsidRDefault="00200545" w:rsidP="005B6D19">
      <w:pPr>
        <w:widowControl/>
        <w:numPr>
          <w:ilvl w:val="0"/>
          <w:numId w:val="2"/>
        </w:numPr>
        <w:ind w:left="630"/>
        <w:contextualSpacing/>
        <w:jc w:val="both"/>
        <w:rPr>
          <w:rFonts w:ascii="Palatino Linotype" w:hAnsi="Palatino Linotype"/>
          <w:snapToGrid/>
          <w:sz w:val="22"/>
          <w:szCs w:val="22"/>
          <w:lang w:val="nl-NL"/>
        </w:rPr>
      </w:pPr>
      <w:r w:rsidRPr="00200545">
        <w:rPr>
          <w:rFonts w:ascii="Palatino Linotype" w:hAnsi="Palatino Linotype"/>
          <w:snapToGrid/>
          <w:sz w:val="22"/>
          <w:szCs w:val="22"/>
          <w:lang w:val="nl-NL"/>
        </w:rPr>
        <w:t>sector Verkeer, Vervoer en Ruimtelijke Planning.</w:t>
      </w:r>
    </w:p>
    <w:p w:rsidR="00200545" w:rsidRPr="00200545" w:rsidRDefault="00200545" w:rsidP="00200545">
      <w:pPr>
        <w:keepNext/>
        <w:widowControl/>
        <w:jc w:val="both"/>
        <w:outlineLvl w:val="0"/>
        <w:rPr>
          <w:rFonts w:ascii="Palatino Linotype" w:hAnsi="Palatino Linotype"/>
          <w:b/>
          <w:snapToGrid/>
          <w:sz w:val="22"/>
          <w:szCs w:val="22"/>
          <w:lang w:val="nl-NL"/>
        </w:rPr>
      </w:pPr>
    </w:p>
    <w:p w:rsidR="00200545" w:rsidRPr="00200545" w:rsidRDefault="00200545" w:rsidP="00200545">
      <w:pPr>
        <w:keepNext/>
        <w:widowControl/>
        <w:jc w:val="center"/>
        <w:outlineLvl w:val="0"/>
        <w:rPr>
          <w:rFonts w:ascii="Palatino Linotype" w:hAnsi="Palatino Linotype"/>
          <w:b/>
          <w:snapToGrid/>
          <w:sz w:val="22"/>
          <w:szCs w:val="22"/>
          <w:lang w:val="nl-NL"/>
        </w:rPr>
      </w:pPr>
      <w:r w:rsidRPr="00200545">
        <w:rPr>
          <w:rFonts w:ascii="Palatino Linotype" w:hAnsi="Palatino Linotype"/>
          <w:b/>
          <w:snapToGrid/>
          <w:sz w:val="22"/>
          <w:szCs w:val="22"/>
          <w:lang w:val="nl-NL"/>
        </w:rPr>
        <w:t>Artikel 2</w:t>
      </w:r>
    </w:p>
    <w:p w:rsidR="00200545" w:rsidRPr="00200545" w:rsidRDefault="00200545" w:rsidP="00200545">
      <w:pPr>
        <w:keepNext/>
        <w:widowControl/>
        <w:jc w:val="both"/>
        <w:outlineLvl w:val="0"/>
        <w:rPr>
          <w:rFonts w:ascii="Palatino Linotype" w:hAnsi="Palatino Linotype"/>
          <w:snapToGrid/>
          <w:sz w:val="22"/>
          <w:szCs w:val="22"/>
          <w:lang w:val="nl-NL"/>
        </w:rPr>
      </w:pPr>
    </w:p>
    <w:p w:rsidR="00200545" w:rsidRPr="00200545" w:rsidRDefault="00200545" w:rsidP="00200545">
      <w:pPr>
        <w:keepNext/>
        <w:widowControl/>
        <w:jc w:val="both"/>
        <w:outlineLvl w:val="0"/>
        <w:rPr>
          <w:rFonts w:ascii="Palatino Linotype" w:hAnsi="Palatino Linotype"/>
          <w:snapToGrid/>
          <w:sz w:val="22"/>
          <w:szCs w:val="22"/>
          <w:lang w:val="nl-NL"/>
        </w:rPr>
      </w:pPr>
      <w:r w:rsidRPr="00200545">
        <w:rPr>
          <w:rFonts w:ascii="Palatino Linotype" w:hAnsi="Palatino Linotype"/>
          <w:snapToGrid/>
          <w:sz w:val="22"/>
          <w:szCs w:val="22"/>
          <w:lang w:val="nl-NL"/>
        </w:rPr>
        <w:t>Dit landsbesluit treedt in werking met ingang van de dag na de datum van bekendmaking.</w:t>
      </w:r>
    </w:p>
    <w:p w:rsidR="00200545" w:rsidRPr="00200545" w:rsidRDefault="00200545" w:rsidP="00200545">
      <w:pPr>
        <w:keepNext/>
        <w:widowControl/>
        <w:jc w:val="both"/>
        <w:outlineLvl w:val="0"/>
        <w:rPr>
          <w:rFonts w:ascii="Palatino Linotype" w:hAnsi="Palatino Linotype"/>
          <w:snapToGrid/>
          <w:sz w:val="22"/>
          <w:szCs w:val="22"/>
          <w:lang w:val="nl-NL"/>
        </w:rPr>
      </w:pPr>
    </w:p>
    <w:p w:rsidR="00200545" w:rsidRPr="00200545" w:rsidRDefault="00200545" w:rsidP="00200545">
      <w:pPr>
        <w:keepNext/>
        <w:widowControl/>
        <w:jc w:val="center"/>
        <w:outlineLvl w:val="0"/>
        <w:rPr>
          <w:rFonts w:ascii="Palatino Linotype" w:hAnsi="Palatino Linotype"/>
          <w:b/>
          <w:snapToGrid/>
          <w:sz w:val="22"/>
          <w:szCs w:val="22"/>
          <w:lang w:val="nl-NL"/>
        </w:rPr>
      </w:pPr>
      <w:r w:rsidRPr="00200545">
        <w:rPr>
          <w:rFonts w:ascii="Palatino Linotype" w:hAnsi="Palatino Linotype"/>
          <w:b/>
          <w:snapToGrid/>
          <w:sz w:val="22"/>
          <w:szCs w:val="22"/>
          <w:lang w:val="nl-NL"/>
        </w:rPr>
        <w:t>Artikel 3</w:t>
      </w:r>
    </w:p>
    <w:p w:rsidR="00200545" w:rsidRPr="00200545" w:rsidRDefault="00200545" w:rsidP="00200545">
      <w:pPr>
        <w:keepNext/>
        <w:widowControl/>
        <w:jc w:val="both"/>
        <w:outlineLvl w:val="0"/>
        <w:rPr>
          <w:rFonts w:ascii="Palatino Linotype" w:hAnsi="Palatino Linotype"/>
          <w:snapToGrid/>
          <w:sz w:val="22"/>
          <w:szCs w:val="22"/>
          <w:lang w:val="nl-NL"/>
        </w:rPr>
      </w:pPr>
    </w:p>
    <w:p w:rsidR="00200545" w:rsidRPr="00200545" w:rsidRDefault="00200545" w:rsidP="00200545">
      <w:pPr>
        <w:keepNext/>
        <w:widowControl/>
        <w:jc w:val="both"/>
        <w:outlineLvl w:val="0"/>
        <w:rPr>
          <w:rFonts w:ascii="Palatino Linotype" w:hAnsi="Palatino Linotype"/>
          <w:snapToGrid/>
          <w:sz w:val="22"/>
          <w:szCs w:val="22"/>
          <w:lang w:val="nl-NL"/>
        </w:rPr>
      </w:pPr>
      <w:r w:rsidRPr="00200545">
        <w:rPr>
          <w:rFonts w:ascii="Palatino Linotype" w:hAnsi="Palatino Linotype"/>
          <w:snapToGrid/>
          <w:sz w:val="22"/>
          <w:szCs w:val="22"/>
          <w:lang w:val="nl-NL"/>
        </w:rPr>
        <w:t>Dit landsbesluit wordt aangehaald als: Landsbesluit Sectoraal Georganiseerd Overleg in Ambtenarenzaken.</w:t>
      </w:r>
    </w:p>
    <w:p w:rsidR="00200545" w:rsidRPr="00200545" w:rsidRDefault="00200545" w:rsidP="00200545">
      <w:pPr>
        <w:keepNext/>
        <w:widowControl/>
        <w:jc w:val="both"/>
        <w:outlineLvl w:val="0"/>
        <w:rPr>
          <w:rFonts w:ascii="Times New Roman" w:hAnsi="Times New Roman"/>
          <w:snapToGrid/>
          <w:sz w:val="22"/>
          <w:szCs w:val="22"/>
          <w:lang w:val="nl-NL"/>
        </w:rPr>
      </w:pPr>
    </w:p>
    <w:p w:rsidR="00200545" w:rsidRPr="00200545" w:rsidRDefault="00200545" w:rsidP="00200545">
      <w:pPr>
        <w:widowControl/>
        <w:jc w:val="both"/>
        <w:rPr>
          <w:rFonts w:ascii="Palatino Linotype" w:hAnsi="Palatino Linotype"/>
          <w:snapToGrid/>
          <w:sz w:val="22"/>
          <w:szCs w:val="22"/>
          <w:lang w:val="nl-NL"/>
        </w:rPr>
      </w:pPr>
    </w:p>
    <w:p w:rsidR="00200545" w:rsidRPr="00200545" w:rsidRDefault="00200545" w:rsidP="00200545">
      <w:pPr>
        <w:widowControl/>
        <w:jc w:val="both"/>
        <w:rPr>
          <w:rFonts w:ascii="Palatino Linotype" w:hAnsi="Palatino Linotype"/>
          <w:snapToGrid/>
          <w:sz w:val="22"/>
          <w:szCs w:val="22"/>
          <w:lang w:val="nl-NL"/>
        </w:rPr>
      </w:pPr>
    </w:p>
    <w:p w:rsidR="00200545" w:rsidRPr="00200545" w:rsidRDefault="00200545" w:rsidP="00200545">
      <w:pPr>
        <w:widowControl/>
        <w:ind w:left="5103"/>
        <w:jc w:val="both"/>
        <w:rPr>
          <w:rFonts w:ascii="Palatino Linotype" w:hAnsi="Palatino Linotype"/>
          <w:snapToGrid/>
          <w:sz w:val="22"/>
          <w:szCs w:val="22"/>
          <w:lang w:val="nl-NL"/>
        </w:rPr>
      </w:pPr>
      <w:r w:rsidRPr="00200545">
        <w:rPr>
          <w:rFonts w:ascii="Palatino Linotype" w:hAnsi="Palatino Linotype"/>
          <w:snapToGrid/>
          <w:sz w:val="22"/>
          <w:szCs w:val="22"/>
          <w:lang w:val="nl-NL"/>
        </w:rPr>
        <w:t>Gegeven te Willemstad,</w:t>
      </w:r>
      <w:r w:rsidR="000C69DD">
        <w:rPr>
          <w:rFonts w:ascii="Palatino Linotype" w:hAnsi="Palatino Linotype"/>
          <w:snapToGrid/>
          <w:sz w:val="22"/>
          <w:szCs w:val="22"/>
          <w:lang w:val="nl-NL"/>
        </w:rPr>
        <w:t xml:space="preserve"> 15 november 2019</w:t>
      </w:r>
    </w:p>
    <w:p w:rsidR="00200545" w:rsidRDefault="000C69DD" w:rsidP="004B16E3">
      <w:pPr>
        <w:widowControl/>
        <w:ind w:left="5103" w:right="96"/>
        <w:jc w:val="center"/>
        <w:rPr>
          <w:rFonts w:ascii="Palatino Linotype" w:eastAsia="MS Mincho" w:hAnsi="Palatino Linotype"/>
          <w:sz w:val="22"/>
          <w:szCs w:val="22"/>
          <w:lang w:val="nl-NL"/>
        </w:rPr>
      </w:pPr>
      <w:r w:rsidRPr="0045611C">
        <w:rPr>
          <w:rFonts w:ascii="Palatino Linotype" w:eastAsia="MS Mincho" w:hAnsi="Palatino Linotype"/>
          <w:sz w:val="22"/>
          <w:szCs w:val="22"/>
          <w:lang w:val="nl-NL"/>
        </w:rPr>
        <w:t>M. RUSSEL-CAPRILES</w:t>
      </w:r>
    </w:p>
    <w:p w:rsidR="004B16E3" w:rsidRDefault="004B16E3" w:rsidP="00200545">
      <w:pPr>
        <w:widowControl/>
        <w:jc w:val="both"/>
        <w:rPr>
          <w:rFonts w:ascii="Palatino Linotype" w:hAnsi="Palatino Linotype"/>
          <w:snapToGrid/>
          <w:sz w:val="22"/>
          <w:szCs w:val="22"/>
          <w:lang w:val="nl-NL"/>
        </w:rPr>
      </w:pPr>
    </w:p>
    <w:p w:rsidR="004B16E3" w:rsidRPr="00200545" w:rsidRDefault="004B16E3" w:rsidP="00200545">
      <w:pPr>
        <w:widowControl/>
        <w:jc w:val="both"/>
        <w:rPr>
          <w:rFonts w:ascii="Palatino Linotype" w:hAnsi="Palatino Linotype"/>
          <w:snapToGrid/>
          <w:sz w:val="22"/>
          <w:szCs w:val="22"/>
          <w:lang w:val="nl-NL"/>
        </w:rPr>
      </w:pPr>
    </w:p>
    <w:p w:rsidR="00200545" w:rsidRPr="00200545" w:rsidRDefault="00200545" w:rsidP="00200545">
      <w:pPr>
        <w:widowControl/>
        <w:jc w:val="both"/>
        <w:rPr>
          <w:rFonts w:ascii="Times New Roman" w:hAnsi="Times New Roman"/>
          <w:snapToGrid/>
          <w:szCs w:val="24"/>
          <w:lang w:val="nl-NL"/>
        </w:rPr>
      </w:pPr>
      <w:r w:rsidRPr="00200545">
        <w:rPr>
          <w:rFonts w:ascii="Palatino Linotype" w:hAnsi="Palatino Linotype"/>
          <w:snapToGrid/>
          <w:sz w:val="22"/>
          <w:szCs w:val="22"/>
          <w:lang w:val="nl-NL"/>
        </w:rPr>
        <w:t xml:space="preserve">De Minister van </w:t>
      </w:r>
      <w:r w:rsidRPr="00200545">
        <w:rPr>
          <w:rFonts w:ascii="Times New Roman" w:hAnsi="Times New Roman"/>
          <w:snapToGrid/>
          <w:szCs w:val="24"/>
          <w:lang w:val="nl-NL"/>
        </w:rPr>
        <w:t>Bestuur, Planning en</w:t>
      </w:r>
    </w:p>
    <w:p w:rsidR="00200545" w:rsidRPr="00200545" w:rsidRDefault="00200545" w:rsidP="00200545">
      <w:pPr>
        <w:widowControl/>
        <w:jc w:val="both"/>
        <w:rPr>
          <w:rFonts w:ascii="Palatino Linotype" w:hAnsi="Palatino Linotype"/>
          <w:snapToGrid/>
          <w:sz w:val="22"/>
          <w:szCs w:val="22"/>
          <w:lang w:val="nl-NL"/>
        </w:rPr>
      </w:pPr>
      <w:r w:rsidRPr="00200545">
        <w:rPr>
          <w:rFonts w:ascii="Times New Roman" w:hAnsi="Times New Roman"/>
          <w:snapToGrid/>
          <w:szCs w:val="24"/>
          <w:lang w:val="nl-NL"/>
        </w:rPr>
        <w:t>Dienstverlening</w:t>
      </w:r>
      <w:r w:rsidRPr="00200545">
        <w:rPr>
          <w:rFonts w:ascii="Palatino Linotype" w:hAnsi="Palatino Linotype"/>
          <w:snapToGrid/>
          <w:sz w:val="22"/>
          <w:szCs w:val="22"/>
          <w:lang w:val="nl-NL"/>
        </w:rPr>
        <w:t>,</w:t>
      </w:r>
    </w:p>
    <w:p w:rsidR="000C69DD" w:rsidRDefault="000C69DD" w:rsidP="004B16E3">
      <w:pPr>
        <w:tabs>
          <w:tab w:val="left" w:pos="-720"/>
          <w:tab w:val="left" w:pos="6135"/>
        </w:tabs>
        <w:suppressAutoHyphens/>
        <w:ind w:right="5624"/>
        <w:jc w:val="center"/>
        <w:rPr>
          <w:rFonts w:ascii="Palatino Linotype" w:hAnsi="Palatino Linotype"/>
          <w:bCs/>
          <w:spacing w:val="-3"/>
          <w:sz w:val="22"/>
          <w:szCs w:val="22"/>
          <w:lang w:val="nl-NL"/>
        </w:rPr>
      </w:pPr>
      <w:r w:rsidRPr="006563C6">
        <w:rPr>
          <w:rFonts w:ascii="Palatino Linotype" w:hAnsi="Palatino Linotype"/>
          <w:bCs/>
          <w:spacing w:val="-3"/>
          <w:sz w:val="22"/>
          <w:szCs w:val="22"/>
          <w:lang w:val="nl-NL"/>
        </w:rPr>
        <w:t>A.E. KONKET</w:t>
      </w:r>
    </w:p>
    <w:p w:rsidR="004B16E3" w:rsidRPr="006563C6" w:rsidRDefault="004B16E3" w:rsidP="000C69DD">
      <w:pPr>
        <w:tabs>
          <w:tab w:val="left" w:pos="-720"/>
          <w:tab w:val="left" w:pos="6135"/>
        </w:tabs>
        <w:suppressAutoHyphens/>
        <w:ind w:right="6049"/>
        <w:jc w:val="center"/>
        <w:rPr>
          <w:rFonts w:ascii="Palatino Linotype" w:hAnsi="Palatino Linotype"/>
          <w:bCs/>
          <w:spacing w:val="-3"/>
          <w:sz w:val="22"/>
          <w:szCs w:val="22"/>
          <w:lang w:val="nl-NL"/>
        </w:rPr>
      </w:pPr>
    </w:p>
    <w:p w:rsidR="00200545" w:rsidRPr="00200545" w:rsidRDefault="00200545" w:rsidP="00200545">
      <w:pPr>
        <w:widowControl/>
        <w:jc w:val="both"/>
        <w:rPr>
          <w:rFonts w:ascii="Palatino Linotype" w:hAnsi="Palatino Linotype"/>
          <w:snapToGrid/>
          <w:sz w:val="22"/>
          <w:szCs w:val="22"/>
          <w:lang w:val="nl-NL"/>
        </w:rPr>
      </w:pPr>
    </w:p>
    <w:p w:rsidR="00200545" w:rsidRPr="00200545" w:rsidRDefault="004B16E3" w:rsidP="004B16E3">
      <w:pPr>
        <w:widowControl/>
        <w:ind w:left="5103" w:right="805"/>
        <w:jc w:val="both"/>
        <w:rPr>
          <w:rFonts w:ascii="Palatino Linotype" w:hAnsi="Palatino Linotype"/>
          <w:snapToGrid/>
          <w:sz w:val="22"/>
          <w:szCs w:val="22"/>
          <w:lang w:val="nl-NL"/>
        </w:rPr>
      </w:pPr>
      <w:r>
        <w:rPr>
          <w:rFonts w:ascii="Palatino Linotype" w:hAnsi="Palatino Linotype"/>
          <w:snapToGrid/>
          <w:sz w:val="22"/>
          <w:szCs w:val="22"/>
          <w:lang w:val="nl-NL"/>
        </w:rPr>
        <w:t>Uitgegeven de</w:t>
      </w:r>
      <w:r w:rsidR="000C69DD">
        <w:rPr>
          <w:rFonts w:ascii="Palatino Linotype" w:hAnsi="Palatino Linotype"/>
          <w:snapToGrid/>
          <w:sz w:val="22"/>
          <w:szCs w:val="22"/>
          <w:lang w:val="nl-NL"/>
        </w:rPr>
        <w:t xml:space="preserve"> 1</w:t>
      </w:r>
      <w:r w:rsidR="006E5D12">
        <w:rPr>
          <w:rFonts w:ascii="Palatino Linotype" w:hAnsi="Palatino Linotype"/>
          <w:snapToGrid/>
          <w:sz w:val="22"/>
          <w:szCs w:val="22"/>
          <w:lang w:val="nl-NL"/>
        </w:rPr>
        <w:t>6</w:t>
      </w:r>
      <w:r w:rsidR="000C69DD" w:rsidRPr="000C69DD">
        <w:rPr>
          <w:rFonts w:ascii="Palatino Linotype" w:hAnsi="Palatino Linotype"/>
          <w:snapToGrid/>
          <w:sz w:val="22"/>
          <w:szCs w:val="22"/>
          <w:vertAlign w:val="superscript"/>
          <w:lang w:val="nl-NL"/>
        </w:rPr>
        <w:t>de</w:t>
      </w:r>
      <w:r w:rsidR="000C69DD">
        <w:rPr>
          <w:rFonts w:ascii="Palatino Linotype" w:hAnsi="Palatino Linotype"/>
          <w:snapToGrid/>
          <w:sz w:val="22"/>
          <w:szCs w:val="22"/>
          <w:lang w:val="nl-NL"/>
        </w:rPr>
        <w:t xml:space="preserve"> december 2019</w:t>
      </w:r>
    </w:p>
    <w:p w:rsidR="00200545" w:rsidRPr="00200545" w:rsidRDefault="00200545" w:rsidP="00200545">
      <w:pPr>
        <w:widowControl/>
        <w:ind w:left="5103"/>
        <w:jc w:val="both"/>
        <w:rPr>
          <w:rFonts w:ascii="Palatino Linotype" w:hAnsi="Palatino Linotype"/>
          <w:snapToGrid/>
          <w:sz w:val="22"/>
          <w:szCs w:val="22"/>
          <w:lang w:val="nl-NL"/>
        </w:rPr>
      </w:pPr>
      <w:r w:rsidRPr="00200545">
        <w:rPr>
          <w:rFonts w:ascii="Palatino Linotype" w:hAnsi="Palatino Linotype"/>
          <w:snapToGrid/>
          <w:sz w:val="22"/>
          <w:szCs w:val="22"/>
          <w:lang w:val="nl-NL"/>
        </w:rPr>
        <w:t>De Minister van Algemene Zaken</w:t>
      </w:r>
      <w:r w:rsidR="004B16E3">
        <w:rPr>
          <w:rFonts w:ascii="Palatino Linotype" w:hAnsi="Palatino Linotype"/>
          <w:snapToGrid/>
          <w:sz w:val="22"/>
          <w:szCs w:val="22"/>
          <w:lang w:val="nl-NL"/>
        </w:rPr>
        <w:t>,</w:t>
      </w:r>
      <w:r w:rsidRPr="00200545">
        <w:rPr>
          <w:rFonts w:ascii="Palatino Linotype" w:hAnsi="Palatino Linotype"/>
          <w:snapToGrid/>
          <w:sz w:val="22"/>
          <w:szCs w:val="22"/>
          <w:lang w:val="nl-NL"/>
        </w:rPr>
        <w:t xml:space="preserve"> </w:t>
      </w:r>
    </w:p>
    <w:p w:rsidR="00AD4862" w:rsidRPr="0045611C" w:rsidRDefault="00AD4862" w:rsidP="004B16E3">
      <w:pPr>
        <w:tabs>
          <w:tab w:val="left" w:pos="5387"/>
        </w:tabs>
        <w:ind w:left="5103" w:right="805"/>
        <w:jc w:val="center"/>
        <w:rPr>
          <w:rFonts w:ascii="Palatino Linotype" w:eastAsia="MS Mincho" w:hAnsi="Palatino Linotype"/>
          <w:sz w:val="22"/>
          <w:szCs w:val="22"/>
          <w:lang w:val="nl-NL"/>
        </w:rPr>
      </w:pPr>
      <w:r w:rsidRPr="0045611C">
        <w:rPr>
          <w:rFonts w:ascii="Palatino Linotype" w:hAnsi="Palatino Linotype"/>
          <w:sz w:val="22"/>
          <w:szCs w:val="22"/>
          <w:lang w:val="nl-NL"/>
        </w:rPr>
        <w:t>E. P. RHUGGENAATH</w:t>
      </w:r>
    </w:p>
    <w:p w:rsidR="00200545" w:rsidRPr="00200545" w:rsidRDefault="00200545" w:rsidP="00200545">
      <w:pPr>
        <w:widowControl/>
        <w:jc w:val="both"/>
        <w:rPr>
          <w:rFonts w:ascii="Palatino Linotype" w:hAnsi="Palatino Linotype"/>
          <w:snapToGrid/>
          <w:sz w:val="22"/>
          <w:szCs w:val="22"/>
          <w:lang w:val="nl-NL"/>
        </w:rPr>
      </w:pPr>
    </w:p>
    <w:p w:rsidR="00200545" w:rsidRPr="00200545" w:rsidRDefault="00200545" w:rsidP="00200545">
      <w:pPr>
        <w:widowControl/>
        <w:jc w:val="both"/>
        <w:rPr>
          <w:rFonts w:ascii="Palatino Linotype" w:hAnsi="Palatino Linotype"/>
          <w:snapToGrid/>
          <w:sz w:val="22"/>
          <w:szCs w:val="22"/>
          <w:lang w:val="nl-NL"/>
        </w:rPr>
      </w:pPr>
    </w:p>
    <w:p w:rsidR="00200545" w:rsidRPr="00200545" w:rsidRDefault="00200545" w:rsidP="00200545">
      <w:pPr>
        <w:widowControl/>
        <w:jc w:val="both"/>
        <w:rPr>
          <w:rFonts w:ascii="Palatino Linotype" w:hAnsi="Palatino Linotype"/>
          <w:snapToGrid/>
          <w:sz w:val="22"/>
          <w:szCs w:val="22"/>
          <w:lang w:val="nl-NL"/>
        </w:rPr>
      </w:pPr>
    </w:p>
    <w:p w:rsidR="00200545" w:rsidRPr="00200545" w:rsidRDefault="00200545" w:rsidP="00200545">
      <w:pPr>
        <w:widowControl/>
        <w:jc w:val="both"/>
        <w:rPr>
          <w:rFonts w:ascii="Palatino Linotype" w:hAnsi="Palatino Linotype"/>
          <w:snapToGrid/>
          <w:sz w:val="22"/>
          <w:szCs w:val="22"/>
          <w:lang w:val="nl-NL"/>
        </w:rPr>
      </w:pPr>
    </w:p>
    <w:p w:rsidR="00200545" w:rsidRPr="00200545" w:rsidRDefault="00200545" w:rsidP="00200545">
      <w:pPr>
        <w:widowControl/>
        <w:jc w:val="both"/>
        <w:rPr>
          <w:rFonts w:ascii="Palatino Linotype" w:hAnsi="Palatino Linotype"/>
          <w:snapToGrid/>
          <w:sz w:val="22"/>
          <w:szCs w:val="22"/>
          <w:lang w:val="nl-NL"/>
        </w:rPr>
      </w:pPr>
    </w:p>
    <w:p w:rsidR="00200545" w:rsidRPr="00200545" w:rsidRDefault="00200545" w:rsidP="00200545">
      <w:pPr>
        <w:widowControl/>
        <w:jc w:val="both"/>
        <w:rPr>
          <w:rFonts w:ascii="Palatino Linotype" w:hAnsi="Palatino Linotype"/>
          <w:b/>
          <w:snapToGrid/>
          <w:sz w:val="22"/>
          <w:szCs w:val="22"/>
          <w:lang w:val="nl-NL"/>
        </w:rPr>
      </w:pPr>
      <w:r w:rsidRPr="00200545">
        <w:rPr>
          <w:rFonts w:ascii="Palatino Linotype" w:hAnsi="Palatino Linotype"/>
          <w:b/>
          <w:bCs/>
          <w:snapToGrid/>
          <w:sz w:val="22"/>
          <w:szCs w:val="22"/>
          <w:lang w:val="nl-NL"/>
        </w:rPr>
        <w:br w:type="page"/>
      </w:r>
      <w:r w:rsidRPr="00200545">
        <w:rPr>
          <w:rFonts w:ascii="Palatino Linotype" w:hAnsi="Palatino Linotype"/>
          <w:b/>
          <w:bCs/>
          <w:snapToGrid/>
          <w:sz w:val="22"/>
          <w:szCs w:val="22"/>
          <w:lang w:val="nl-NL"/>
        </w:rPr>
        <w:lastRenderedPageBreak/>
        <w:t xml:space="preserve">Nota van toelichting behorende bij het </w:t>
      </w:r>
      <w:r w:rsidRPr="00200545">
        <w:rPr>
          <w:rFonts w:ascii="Palatino Linotype" w:hAnsi="Palatino Linotype"/>
          <w:b/>
          <w:snapToGrid/>
          <w:sz w:val="22"/>
          <w:szCs w:val="22"/>
          <w:lang w:val="nl-NL"/>
        </w:rPr>
        <w:t>Landsbesluit Sectoraal Georganiseerd Overleg in Ambtenarenzaken</w:t>
      </w:r>
    </w:p>
    <w:p w:rsidR="00200545" w:rsidRPr="00200545" w:rsidRDefault="00200545" w:rsidP="00200545">
      <w:pPr>
        <w:widowControl/>
        <w:jc w:val="both"/>
        <w:rPr>
          <w:rFonts w:ascii="Palatino Linotype" w:hAnsi="Palatino Linotype"/>
          <w:b/>
          <w:snapToGrid/>
          <w:sz w:val="22"/>
          <w:szCs w:val="22"/>
          <w:lang w:val="nl-NL"/>
        </w:rPr>
      </w:pPr>
    </w:p>
    <w:p w:rsidR="00200545" w:rsidRPr="00200545" w:rsidRDefault="00200545" w:rsidP="00200545">
      <w:pPr>
        <w:widowControl/>
        <w:jc w:val="both"/>
        <w:rPr>
          <w:rFonts w:ascii="Palatino Linotype" w:hAnsi="Palatino Linotype"/>
          <w:b/>
          <w:snapToGrid/>
          <w:sz w:val="22"/>
          <w:szCs w:val="22"/>
          <w:lang w:val="nl-NL"/>
        </w:rPr>
      </w:pPr>
      <w:r w:rsidRPr="00200545">
        <w:rPr>
          <w:rFonts w:ascii="Palatino Linotype" w:hAnsi="Palatino Linotype"/>
          <w:b/>
          <w:snapToGrid/>
          <w:sz w:val="22"/>
          <w:szCs w:val="22"/>
          <w:lang w:val="nl-NL"/>
        </w:rPr>
        <w:t>I. Algemeen</w:t>
      </w:r>
    </w:p>
    <w:p w:rsidR="00200545" w:rsidRPr="00200545" w:rsidRDefault="00200545" w:rsidP="00200545">
      <w:pPr>
        <w:widowControl/>
        <w:jc w:val="both"/>
        <w:rPr>
          <w:rFonts w:ascii="Palatino Linotype" w:hAnsi="Palatino Linotype"/>
          <w:snapToGrid/>
          <w:sz w:val="22"/>
          <w:szCs w:val="22"/>
          <w:lang w:val="nl-NL"/>
        </w:rPr>
      </w:pPr>
    </w:p>
    <w:p w:rsidR="00200545" w:rsidRPr="00200545" w:rsidRDefault="00200545" w:rsidP="00200545">
      <w:pPr>
        <w:widowControl/>
        <w:jc w:val="both"/>
        <w:rPr>
          <w:rFonts w:ascii="Palatino Linotype" w:hAnsi="Palatino Linotype"/>
          <w:snapToGrid/>
          <w:sz w:val="22"/>
          <w:szCs w:val="22"/>
          <w:lang w:val="nl-NL"/>
        </w:rPr>
      </w:pPr>
      <w:r w:rsidRPr="00200545">
        <w:rPr>
          <w:rFonts w:ascii="Palatino Linotype" w:hAnsi="Palatino Linotype"/>
          <w:snapToGrid/>
          <w:sz w:val="22"/>
          <w:szCs w:val="22"/>
          <w:lang w:val="nl-NL"/>
        </w:rPr>
        <w:t>Artikel 20 van de Landsverordening Georganiseerd Overleg in Ambtenarenzaken</w:t>
      </w:r>
      <w:r w:rsidRPr="00200545">
        <w:rPr>
          <w:rFonts w:ascii="Palatino Linotype" w:hAnsi="Palatino Linotype" w:cs="Arial"/>
          <w:snapToGrid/>
          <w:sz w:val="22"/>
          <w:szCs w:val="22"/>
          <w:vertAlign w:val="superscript"/>
          <w:lang w:val="nl-NL" w:eastAsia="nl-NL"/>
        </w:rPr>
        <w:footnoteReference w:id="2"/>
      </w:r>
      <w:r w:rsidRPr="00200545">
        <w:rPr>
          <w:rFonts w:ascii="Palatino Linotype" w:hAnsi="Palatino Linotype"/>
          <w:snapToGrid/>
          <w:sz w:val="22"/>
          <w:szCs w:val="22"/>
          <w:lang w:val="nl-NL"/>
        </w:rPr>
        <w:t xml:space="preserve"> biedt de mogelijkheid om bij landsbesluit, houdende algemene maatregelen, sectoren in te stellen, waarvoor het overleg inzake specifieke aangelegenheden betreffende de rechtstoestand van de onder de desbetreffende sector ressorterende ambtenaren afzonderlijk, in een Sectoraal Georganiseerd Overleg in Ambtenarenzaken (SGOA), kan plaatsvinden.</w:t>
      </w:r>
    </w:p>
    <w:p w:rsidR="00200545" w:rsidRPr="00200545" w:rsidRDefault="00200545" w:rsidP="00200545">
      <w:pPr>
        <w:widowControl/>
        <w:jc w:val="both"/>
        <w:rPr>
          <w:rFonts w:ascii="Palatino Linotype" w:hAnsi="Palatino Linotype"/>
          <w:snapToGrid/>
          <w:sz w:val="22"/>
          <w:szCs w:val="22"/>
          <w:lang w:val="nl-NL"/>
        </w:rPr>
      </w:pPr>
      <w:r w:rsidRPr="00200545">
        <w:rPr>
          <w:rFonts w:ascii="Palatino Linotype" w:hAnsi="Palatino Linotype"/>
          <w:snapToGrid/>
          <w:sz w:val="22"/>
          <w:szCs w:val="22"/>
          <w:lang w:val="nl-NL"/>
        </w:rPr>
        <w:t xml:space="preserve">De memorie van toelichting van de Landsverordening Georganiseerd Overleg in Ambtenarenzaken noemt als voorbeeld voor mogelijke sectoren, de sectoren politie en kustwacht, omdat specifiek ten aanzien van dit personeel, afzonderlijk beleid dan wel rechtspositievoorschriften gelden die niet gelden voor alle andere ambtenaren. </w:t>
      </w:r>
    </w:p>
    <w:p w:rsidR="00200545" w:rsidRPr="00200545" w:rsidRDefault="00200545" w:rsidP="00200545">
      <w:pPr>
        <w:widowControl/>
        <w:jc w:val="both"/>
        <w:rPr>
          <w:rFonts w:ascii="Palatino Linotype" w:hAnsi="Palatino Linotype"/>
          <w:snapToGrid/>
          <w:sz w:val="22"/>
          <w:szCs w:val="22"/>
          <w:lang w:val="nl-NL"/>
        </w:rPr>
      </w:pPr>
      <w:r w:rsidRPr="00200545">
        <w:rPr>
          <w:rFonts w:ascii="Palatino Linotype" w:hAnsi="Palatino Linotype"/>
          <w:snapToGrid/>
          <w:sz w:val="22"/>
          <w:szCs w:val="22"/>
          <w:lang w:val="nl-NL"/>
        </w:rPr>
        <w:t xml:space="preserve">Het personeel werkzaam bij de politie, alsmede het personeel werkzaam bij de kustwacht, ressorteren allebei onder het Ministerie van Justitie, waardoor indien er de behoefte bestaat om overleg te voeren </w:t>
      </w:r>
      <w:proofErr w:type="spellStart"/>
      <w:r w:rsidRPr="00200545">
        <w:rPr>
          <w:rFonts w:ascii="Palatino Linotype" w:hAnsi="Palatino Linotype"/>
          <w:snapToGrid/>
          <w:sz w:val="22"/>
          <w:szCs w:val="22"/>
          <w:lang w:val="nl-NL"/>
        </w:rPr>
        <w:t>terzake</w:t>
      </w:r>
      <w:proofErr w:type="spellEnd"/>
      <w:r w:rsidRPr="00200545">
        <w:rPr>
          <w:rFonts w:ascii="Palatino Linotype" w:hAnsi="Palatino Linotype"/>
          <w:snapToGrid/>
          <w:sz w:val="22"/>
          <w:szCs w:val="22"/>
          <w:lang w:val="nl-NL"/>
        </w:rPr>
        <w:t xml:space="preserve"> de rechtstoestand van het politie- dan wel het kustwachtpersoneel, de Minister van Justitie hiervoor als verantwoordelijke minister wordt aangewezen. Dientengevolge zal deze minister de regering vertegenwoordigen in het Georganiseerd Overleg in Ambtenarenzaken. </w:t>
      </w:r>
    </w:p>
    <w:p w:rsidR="00200545" w:rsidRPr="00200545" w:rsidRDefault="00200545" w:rsidP="00200545">
      <w:pPr>
        <w:widowControl/>
        <w:jc w:val="both"/>
        <w:rPr>
          <w:rFonts w:ascii="Palatino Linotype" w:hAnsi="Palatino Linotype"/>
          <w:snapToGrid/>
          <w:sz w:val="22"/>
          <w:szCs w:val="22"/>
          <w:lang w:val="nl-NL"/>
        </w:rPr>
      </w:pPr>
      <w:r w:rsidRPr="00200545">
        <w:rPr>
          <w:rFonts w:ascii="Palatino Linotype" w:hAnsi="Palatino Linotype"/>
          <w:snapToGrid/>
          <w:sz w:val="22"/>
          <w:szCs w:val="22"/>
          <w:lang w:val="nl-NL"/>
        </w:rPr>
        <w:t xml:space="preserve">  </w:t>
      </w:r>
    </w:p>
    <w:p w:rsidR="00200545" w:rsidRPr="00200545" w:rsidRDefault="00200545" w:rsidP="00200545">
      <w:pPr>
        <w:widowControl/>
        <w:jc w:val="both"/>
        <w:rPr>
          <w:rFonts w:ascii="Palatino Linotype" w:hAnsi="Palatino Linotype"/>
          <w:snapToGrid/>
          <w:sz w:val="22"/>
          <w:szCs w:val="22"/>
          <w:lang w:val="nl-NL"/>
        </w:rPr>
      </w:pPr>
      <w:r w:rsidRPr="00200545">
        <w:rPr>
          <w:rFonts w:ascii="Palatino Linotype" w:hAnsi="Palatino Linotype"/>
          <w:snapToGrid/>
          <w:sz w:val="22"/>
          <w:szCs w:val="22"/>
          <w:lang w:val="nl-NL"/>
        </w:rPr>
        <w:t xml:space="preserve">Binnen de overheid zijn er op dit moment binnen alle ministeries ambtenaren werkzaam, waarvan ten aanzien van hun rechtspositie, gelet op de dienst waar ze werkzaam zijn dan wel de functie die ze bekleden, afwijkende rechtspositionele voorschriften van toepassing zijn. Hierdoor kan de behoefte bestaan om ten aanzien van de rechtspositie van een groep ambtenaren, voor wie afwijkende voorschriften van toepassing zijn, overleg te voeren met de verantwoordelijke minister van het ministerie waar deze groep ambtenaren onder </w:t>
      </w:r>
      <w:proofErr w:type="gramStart"/>
      <w:r w:rsidRPr="00200545">
        <w:rPr>
          <w:rFonts w:ascii="Palatino Linotype" w:hAnsi="Palatino Linotype"/>
          <w:snapToGrid/>
          <w:sz w:val="22"/>
          <w:szCs w:val="22"/>
          <w:lang w:val="nl-NL"/>
        </w:rPr>
        <w:t>ressorteren</w:t>
      </w:r>
      <w:proofErr w:type="gramEnd"/>
      <w:r w:rsidRPr="00200545">
        <w:rPr>
          <w:rFonts w:ascii="Palatino Linotype" w:hAnsi="Palatino Linotype"/>
          <w:snapToGrid/>
          <w:sz w:val="22"/>
          <w:szCs w:val="22"/>
          <w:lang w:val="nl-NL"/>
        </w:rPr>
        <w:t xml:space="preserve">. Denk hierbij aan een afwijkende bezoldigingsregeling, een afwijkende werktijdenregeling of een eigen uniform van de dienst met de daarbij behorende kledingvoorschriften. </w:t>
      </w:r>
      <w:proofErr w:type="gramStart"/>
      <w:r w:rsidRPr="00200545">
        <w:rPr>
          <w:rFonts w:ascii="Palatino Linotype" w:hAnsi="Palatino Linotype"/>
          <w:snapToGrid/>
          <w:sz w:val="22"/>
          <w:szCs w:val="22"/>
          <w:lang w:val="nl-NL"/>
        </w:rPr>
        <w:t>Met name</w:t>
      </w:r>
      <w:proofErr w:type="gramEnd"/>
      <w:r w:rsidRPr="00200545">
        <w:rPr>
          <w:rFonts w:ascii="Palatino Linotype" w:hAnsi="Palatino Linotype"/>
          <w:snapToGrid/>
          <w:sz w:val="22"/>
          <w:szCs w:val="22"/>
          <w:lang w:val="nl-NL"/>
        </w:rPr>
        <w:t xml:space="preserve"> voor wat betreft de kledingvoorschriften, die op grond van artikel 64 van de Landsverordening Materieel Ambtenarenrecht</w:t>
      </w:r>
      <w:r w:rsidRPr="00200545">
        <w:rPr>
          <w:rFonts w:ascii="Palatino Linotype" w:hAnsi="Palatino Linotype" w:cs="Arial"/>
          <w:snapToGrid/>
          <w:sz w:val="22"/>
          <w:szCs w:val="22"/>
          <w:vertAlign w:val="superscript"/>
          <w:lang w:val="nl-NL" w:eastAsia="nl-NL"/>
        </w:rPr>
        <w:footnoteReference w:id="3"/>
      </w:r>
      <w:r w:rsidRPr="00200545">
        <w:rPr>
          <w:rFonts w:ascii="Palatino Linotype" w:hAnsi="Palatino Linotype"/>
          <w:snapToGrid/>
          <w:sz w:val="22"/>
          <w:szCs w:val="22"/>
          <w:lang w:val="nl-NL"/>
        </w:rPr>
        <w:t xml:space="preserve"> (LMA) bij landsbesluit, houdende algemene maatregelen vastgesteld moeten worden, geldt dat binnen elke ministerie een of meerdere diensten bestaan met de eigen uniform en dientengevolge de daarbij behorende voorschriften. </w:t>
      </w:r>
    </w:p>
    <w:p w:rsidR="00200545" w:rsidRPr="00200545" w:rsidRDefault="00200545" w:rsidP="00200545">
      <w:pPr>
        <w:widowControl/>
        <w:jc w:val="both"/>
        <w:rPr>
          <w:rFonts w:ascii="Palatino Linotype" w:hAnsi="Palatino Linotype"/>
          <w:snapToGrid/>
          <w:sz w:val="22"/>
          <w:szCs w:val="22"/>
          <w:lang w:val="nl-NL"/>
        </w:rPr>
      </w:pPr>
      <w:r w:rsidRPr="00200545">
        <w:rPr>
          <w:rFonts w:ascii="Palatino Linotype" w:hAnsi="Palatino Linotype"/>
          <w:snapToGrid/>
          <w:sz w:val="22"/>
          <w:szCs w:val="22"/>
          <w:lang w:val="nl-NL"/>
        </w:rPr>
        <w:t>Hoewel thans niet alle afwijkende rechtspositionele regelingen binnen alle ministeries reeds zijn vastgesteld, is de verwachting dat de formalisatie, daar waar dit nog niet is geregeld, in de nabije toekomst zal plaatsvinden. Mede hierdoor heeft de regering, gelezen het advies van de Human Resources en Organisatie d.d. 13 september 2018, gekozen voor een indeling in 9 sectoren, overeenkomstig de indeling van de ministeries op grond van artikel 1, eerste lid, van de Landsverordening ambtelijk bestuurlijke organisatie</w:t>
      </w:r>
      <w:r w:rsidRPr="00200545">
        <w:rPr>
          <w:rFonts w:ascii="Palatino Linotype" w:hAnsi="Palatino Linotype" w:cs="Arial"/>
          <w:snapToGrid/>
          <w:sz w:val="22"/>
          <w:szCs w:val="22"/>
          <w:vertAlign w:val="superscript"/>
          <w:lang w:val="nl-NL" w:eastAsia="nl-NL"/>
        </w:rPr>
        <w:footnoteReference w:id="4"/>
      </w:r>
      <w:r w:rsidRPr="00200545">
        <w:rPr>
          <w:rFonts w:ascii="Palatino Linotype" w:hAnsi="Palatino Linotype"/>
          <w:snapToGrid/>
          <w:sz w:val="22"/>
          <w:szCs w:val="22"/>
          <w:lang w:val="nl-NL"/>
        </w:rPr>
        <w:t xml:space="preserve"> (Labo). </w:t>
      </w:r>
    </w:p>
    <w:p w:rsidR="00200545" w:rsidRPr="00200545" w:rsidRDefault="00200545" w:rsidP="00200545">
      <w:pPr>
        <w:widowControl/>
        <w:jc w:val="both"/>
        <w:rPr>
          <w:rFonts w:ascii="Palatino Linotype" w:hAnsi="Palatino Linotype"/>
          <w:snapToGrid/>
          <w:sz w:val="22"/>
          <w:szCs w:val="22"/>
          <w:lang w:val="nl-NL"/>
        </w:rPr>
      </w:pPr>
    </w:p>
    <w:p w:rsidR="00200545" w:rsidRPr="00200545" w:rsidRDefault="00200545" w:rsidP="00200545">
      <w:pPr>
        <w:widowControl/>
        <w:jc w:val="both"/>
        <w:rPr>
          <w:rFonts w:ascii="Palatino Linotype" w:hAnsi="Palatino Linotype"/>
          <w:snapToGrid/>
          <w:sz w:val="22"/>
          <w:szCs w:val="22"/>
          <w:lang w:val="nl-NL"/>
        </w:rPr>
      </w:pPr>
      <w:r w:rsidRPr="00200545">
        <w:rPr>
          <w:rFonts w:ascii="Palatino Linotype" w:hAnsi="Palatino Linotype"/>
          <w:snapToGrid/>
          <w:sz w:val="22"/>
          <w:szCs w:val="22"/>
          <w:lang w:val="nl-NL"/>
        </w:rPr>
        <w:t>De representativiteitsvereisten die gelden voor de tot de Centrale Commissie van Vakbonden (</w:t>
      </w:r>
      <w:proofErr w:type="spellStart"/>
      <w:r w:rsidRPr="00200545">
        <w:rPr>
          <w:rFonts w:ascii="Palatino Linotype" w:hAnsi="Palatino Linotype"/>
          <w:snapToGrid/>
          <w:sz w:val="22"/>
          <w:szCs w:val="22"/>
          <w:lang w:val="nl-NL"/>
        </w:rPr>
        <w:t>CCvV</w:t>
      </w:r>
      <w:proofErr w:type="spellEnd"/>
      <w:r w:rsidRPr="00200545">
        <w:rPr>
          <w:rFonts w:ascii="Palatino Linotype" w:hAnsi="Palatino Linotype"/>
          <w:snapToGrid/>
          <w:sz w:val="22"/>
          <w:szCs w:val="22"/>
          <w:lang w:val="nl-NL"/>
        </w:rPr>
        <w:t xml:space="preserve">) toetredende organisaties, worden genoemd in artikel 2, eerste lid, van de </w:t>
      </w:r>
      <w:r w:rsidRPr="00200545">
        <w:rPr>
          <w:rFonts w:ascii="Palatino Linotype" w:hAnsi="Palatino Linotype"/>
          <w:snapToGrid/>
          <w:sz w:val="22"/>
          <w:szCs w:val="22"/>
          <w:lang w:val="nl-NL"/>
        </w:rPr>
        <w:lastRenderedPageBreak/>
        <w:t xml:space="preserve">Landsverordening Georganiseerd Overleg in Ambtenarenzaken en het </w:t>
      </w:r>
      <w:r w:rsidRPr="00200545">
        <w:rPr>
          <w:rFonts w:ascii="Palatino Linotype" w:hAnsi="Palatino Linotype" w:cs="Arial"/>
          <w:snapToGrid/>
          <w:sz w:val="22"/>
          <w:szCs w:val="22"/>
          <w:lang w:val="nl-NL"/>
        </w:rPr>
        <w:t>Landsbesluit aanmerken representativiteit organisaties Centrale Commissie</w:t>
      </w:r>
      <w:r w:rsidRPr="00200545">
        <w:rPr>
          <w:rFonts w:ascii="Palatino Linotype" w:hAnsi="Palatino Linotype" w:cs="Arial"/>
          <w:snapToGrid/>
          <w:sz w:val="22"/>
          <w:szCs w:val="22"/>
          <w:vertAlign w:val="superscript"/>
          <w:lang w:val="nl-NL" w:eastAsia="nl-NL"/>
        </w:rPr>
        <w:footnoteReference w:id="5"/>
      </w:r>
      <w:r w:rsidRPr="00200545">
        <w:rPr>
          <w:rFonts w:ascii="Palatino Linotype" w:hAnsi="Palatino Linotype" w:cs="Arial"/>
          <w:snapToGrid/>
          <w:sz w:val="22"/>
          <w:szCs w:val="22"/>
          <w:lang w:val="nl-NL"/>
        </w:rPr>
        <w:t>, met dien verstande, dat deze org</w:t>
      </w:r>
      <w:r w:rsidRPr="00200545">
        <w:rPr>
          <w:rFonts w:ascii="Palatino Linotype" w:hAnsi="Palatino Linotype"/>
          <w:snapToGrid/>
          <w:sz w:val="22"/>
          <w:szCs w:val="22"/>
          <w:lang w:val="nl-NL"/>
        </w:rPr>
        <w:t xml:space="preserve">anisaties tijdens het SGOA-overleg vertegenwoordiging hebben in de </w:t>
      </w:r>
      <w:proofErr w:type="spellStart"/>
      <w:r w:rsidRPr="00200545">
        <w:rPr>
          <w:rFonts w:ascii="Palatino Linotype" w:hAnsi="Palatino Linotype"/>
          <w:snapToGrid/>
          <w:sz w:val="22"/>
          <w:szCs w:val="22"/>
          <w:lang w:val="nl-NL"/>
        </w:rPr>
        <w:t>CCvV</w:t>
      </w:r>
      <w:proofErr w:type="spellEnd"/>
      <w:r w:rsidRPr="00200545">
        <w:rPr>
          <w:rFonts w:ascii="Palatino Linotype" w:hAnsi="Palatino Linotype"/>
          <w:snapToGrid/>
          <w:sz w:val="22"/>
          <w:szCs w:val="22"/>
          <w:lang w:val="nl-NL"/>
        </w:rPr>
        <w:t>, conform het bepaalde in artikel 20, derde en vierde lid, van de Landsverordening Georganiseerd Overleg in Ambtenarenzaken.</w:t>
      </w:r>
    </w:p>
    <w:p w:rsidR="00200545" w:rsidRPr="00200545" w:rsidRDefault="00200545" w:rsidP="00200545">
      <w:pPr>
        <w:widowControl/>
        <w:jc w:val="both"/>
        <w:rPr>
          <w:rFonts w:ascii="Palatino Linotype" w:hAnsi="Palatino Linotype"/>
          <w:snapToGrid/>
          <w:sz w:val="22"/>
          <w:szCs w:val="22"/>
          <w:lang w:val="nl-NL"/>
        </w:rPr>
      </w:pPr>
    </w:p>
    <w:p w:rsidR="00200545" w:rsidRPr="00200545" w:rsidRDefault="00200545" w:rsidP="00200545">
      <w:pPr>
        <w:widowControl/>
        <w:rPr>
          <w:rFonts w:ascii="Palatino Linotype" w:hAnsi="Palatino Linotype" w:cs="Arial"/>
          <w:b/>
          <w:snapToGrid/>
          <w:sz w:val="22"/>
          <w:szCs w:val="22"/>
          <w:lang w:val="nl-NL"/>
        </w:rPr>
      </w:pPr>
      <w:r w:rsidRPr="00200545">
        <w:rPr>
          <w:rFonts w:ascii="Palatino Linotype" w:hAnsi="Palatino Linotype" w:cs="Arial"/>
          <w:b/>
          <w:snapToGrid/>
          <w:sz w:val="22"/>
          <w:szCs w:val="22"/>
          <w:lang w:val="nl-NL"/>
        </w:rPr>
        <w:t>II. Financieel paragraaf</w:t>
      </w:r>
    </w:p>
    <w:p w:rsidR="00200545" w:rsidRPr="00200545" w:rsidRDefault="00200545" w:rsidP="00200545">
      <w:pPr>
        <w:widowControl/>
        <w:rPr>
          <w:rFonts w:ascii="Palatino Linotype" w:hAnsi="Palatino Linotype" w:cs="Arial"/>
          <w:b/>
          <w:snapToGrid/>
          <w:sz w:val="22"/>
          <w:szCs w:val="22"/>
          <w:lang w:val="nl-NL"/>
        </w:rPr>
      </w:pPr>
    </w:p>
    <w:p w:rsidR="00200545" w:rsidRPr="00200545" w:rsidRDefault="00200545" w:rsidP="00200545">
      <w:pPr>
        <w:widowControl/>
        <w:jc w:val="both"/>
        <w:rPr>
          <w:rFonts w:ascii="Palatino Linotype" w:hAnsi="Palatino Linotype" w:cs="Arial"/>
          <w:snapToGrid/>
          <w:sz w:val="22"/>
          <w:szCs w:val="22"/>
          <w:lang w:val="nl-NL"/>
        </w:rPr>
      </w:pPr>
      <w:r w:rsidRPr="00200545">
        <w:rPr>
          <w:rFonts w:ascii="Palatino Linotype" w:hAnsi="Palatino Linotype" w:cs="Arial"/>
          <w:snapToGrid/>
          <w:sz w:val="22"/>
          <w:szCs w:val="22"/>
          <w:lang w:val="nl-NL"/>
        </w:rPr>
        <w:t>De inwerkingtreding van dit landsbesluit, houdende algemene maatregelen, heeft geen financiële implicaties voor de begroting van het Land.</w:t>
      </w:r>
    </w:p>
    <w:p w:rsidR="00200545" w:rsidRPr="00200545" w:rsidRDefault="00200545" w:rsidP="00200545">
      <w:pPr>
        <w:widowControl/>
        <w:jc w:val="both"/>
        <w:rPr>
          <w:rFonts w:ascii="Palatino Linotype" w:hAnsi="Palatino Linotype" w:cs="Arial"/>
          <w:snapToGrid/>
          <w:sz w:val="22"/>
          <w:szCs w:val="22"/>
          <w:lang w:val="nl-NL"/>
        </w:rPr>
      </w:pPr>
    </w:p>
    <w:p w:rsidR="00200545" w:rsidRPr="00200545" w:rsidRDefault="00200545" w:rsidP="00200545">
      <w:pPr>
        <w:widowControl/>
        <w:tabs>
          <w:tab w:val="left" w:pos="-720"/>
        </w:tabs>
        <w:suppressAutoHyphens/>
        <w:jc w:val="both"/>
        <w:rPr>
          <w:rFonts w:ascii="Palatino Linotype" w:hAnsi="Palatino Linotype"/>
          <w:b/>
          <w:snapToGrid/>
          <w:sz w:val="22"/>
          <w:szCs w:val="22"/>
          <w:lang w:val="nl-NL"/>
        </w:rPr>
      </w:pPr>
      <w:r w:rsidRPr="00200545">
        <w:rPr>
          <w:rFonts w:ascii="Palatino Linotype" w:hAnsi="Palatino Linotype"/>
          <w:b/>
          <w:snapToGrid/>
          <w:sz w:val="22"/>
          <w:szCs w:val="22"/>
          <w:lang w:val="nl-NL"/>
        </w:rPr>
        <w:t>III. Advies van de Raad van Advies d.d. 7 maart 2018</w:t>
      </w:r>
    </w:p>
    <w:p w:rsidR="00200545" w:rsidRPr="00200545" w:rsidRDefault="00200545" w:rsidP="00200545">
      <w:pPr>
        <w:widowControl/>
        <w:jc w:val="both"/>
        <w:rPr>
          <w:rFonts w:ascii="Palatino Linotype" w:hAnsi="Palatino Linotype"/>
          <w:snapToGrid/>
          <w:sz w:val="22"/>
          <w:szCs w:val="22"/>
          <w:lang w:val="nl-NL"/>
        </w:rPr>
      </w:pPr>
    </w:p>
    <w:p w:rsidR="00200545" w:rsidRPr="00200545" w:rsidRDefault="00200545" w:rsidP="00200545">
      <w:pPr>
        <w:widowControl/>
        <w:jc w:val="both"/>
        <w:rPr>
          <w:rFonts w:ascii="Palatino Linotype" w:hAnsi="Palatino Linotype"/>
          <w:snapToGrid/>
          <w:sz w:val="22"/>
          <w:szCs w:val="22"/>
          <w:lang w:val="nl-NL"/>
        </w:rPr>
      </w:pPr>
      <w:r w:rsidRPr="00200545">
        <w:rPr>
          <w:rFonts w:ascii="Palatino Linotype" w:hAnsi="Palatino Linotype"/>
          <w:snapToGrid/>
          <w:sz w:val="22"/>
          <w:szCs w:val="22"/>
          <w:lang w:val="nl-NL"/>
        </w:rPr>
        <w:t xml:space="preserve">Naar aanleiding van het advies van de Raad van Advies, RvA no. RA/05-18-LB, d.d. 7 maart 2018 is het onderhavige landsbesluit aangepast. De voormalige indeling in vier sectoren, te weten douane, kustwacht, onderwijs en politie is komen te vervallen. Het aantal sectoren is uitgebreid tot negen sectoren, zijnde de sectoren die aansluiten bij de negen ministeries, ingesteld </w:t>
      </w:r>
      <w:proofErr w:type="gramStart"/>
      <w:r w:rsidRPr="00200545">
        <w:rPr>
          <w:rFonts w:ascii="Palatino Linotype" w:hAnsi="Palatino Linotype"/>
          <w:snapToGrid/>
          <w:sz w:val="22"/>
          <w:szCs w:val="22"/>
          <w:lang w:val="nl-NL"/>
        </w:rPr>
        <w:t>krachtens</w:t>
      </w:r>
      <w:proofErr w:type="gramEnd"/>
      <w:r w:rsidRPr="00200545">
        <w:rPr>
          <w:rFonts w:ascii="Palatino Linotype" w:hAnsi="Palatino Linotype"/>
          <w:snapToGrid/>
          <w:sz w:val="22"/>
          <w:szCs w:val="22"/>
          <w:lang w:val="nl-NL"/>
        </w:rPr>
        <w:t xml:space="preserve"> de Labo.</w:t>
      </w:r>
    </w:p>
    <w:p w:rsidR="00200545" w:rsidRPr="00200545" w:rsidRDefault="00200545" w:rsidP="00200545">
      <w:pPr>
        <w:widowControl/>
        <w:jc w:val="both"/>
        <w:rPr>
          <w:rFonts w:ascii="Palatino Linotype" w:hAnsi="Palatino Linotype"/>
          <w:snapToGrid/>
          <w:sz w:val="22"/>
          <w:szCs w:val="22"/>
          <w:lang w:val="nl-NL"/>
        </w:rPr>
      </w:pPr>
      <w:r w:rsidRPr="00200545">
        <w:rPr>
          <w:rFonts w:ascii="Palatino Linotype" w:hAnsi="Palatino Linotype"/>
          <w:snapToGrid/>
          <w:sz w:val="22"/>
          <w:szCs w:val="22"/>
          <w:lang w:val="nl-NL"/>
        </w:rPr>
        <w:t xml:space="preserve">Op 22 januari 2019 heeft de RvA wederom advies uitgebracht RvA no. RA/39-18-LB en is hierbij van oordeel dat een indeling in 9 ministeries, conform de indeling van de ministeries in de Labo, in strijd is met de geest en strekking van artikel 20 van de LGOA. Naar het oordeel van de regering is deze conclusie onjuist. De indeling in sectoren van de 9 ministeries is gekoppeld aan het feit dat binnen elke ministerie één of meerdere groepen van ambtenaren bestaan voor wie specifieke rechtspositievoorschriften gelden. Dit heeft vooral te maken met het feit dat op grond van artikel 64 van de LMA, kledingvoorschriften in een landsbesluit, houdende algemene maatregelen moeten worden vastgesteld en binnen elke ministerie één of meerdere groepen ambtenaren een uniform dragen. </w:t>
      </w:r>
    </w:p>
    <w:p w:rsidR="00200545" w:rsidRPr="00200545" w:rsidRDefault="00200545" w:rsidP="00200545">
      <w:pPr>
        <w:widowControl/>
        <w:jc w:val="both"/>
        <w:rPr>
          <w:rFonts w:ascii="Palatino Linotype" w:hAnsi="Palatino Linotype"/>
          <w:snapToGrid/>
          <w:sz w:val="22"/>
          <w:szCs w:val="22"/>
          <w:lang w:val="nl-NL"/>
        </w:rPr>
      </w:pPr>
      <w:r w:rsidRPr="00200545">
        <w:rPr>
          <w:rFonts w:ascii="Palatino Linotype" w:hAnsi="Palatino Linotype"/>
          <w:snapToGrid/>
          <w:sz w:val="22"/>
          <w:szCs w:val="22"/>
          <w:lang w:val="nl-NL"/>
        </w:rPr>
        <w:t xml:space="preserve">Een indeling van meerdere sectoren binnen een ministerie wegens het in dienst hebben van meerdere ambtenaren met een afwijkende regeling acht de regering niet wenselijk en heeft bovendien geen toegevoegde waarde. Een indeling in bijvoorbeeld sector Politie, sector Brandweer en sector Kustwacht, waar deze verschillende groepen ambtenaren werkzaam zijn, ieder met vastgestelde afwijkende rechtspositionele regelingen en allemaal </w:t>
      </w:r>
      <w:proofErr w:type="gramStart"/>
      <w:r w:rsidRPr="00200545">
        <w:rPr>
          <w:rFonts w:ascii="Palatino Linotype" w:hAnsi="Palatino Linotype"/>
          <w:snapToGrid/>
          <w:sz w:val="22"/>
          <w:szCs w:val="22"/>
          <w:lang w:val="nl-NL"/>
        </w:rPr>
        <w:t>ressorterend</w:t>
      </w:r>
      <w:proofErr w:type="gramEnd"/>
      <w:r w:rsidRPr="00200545">
        <w:rPr>
          <w:rFonts w:ascii="Palatino Linotype" w:hAnsi="Palatino Linotype"/>
          <w:snapToGrid/>
          <w:sz w:val="22"/>
          <w:szCs w:val="22"/>
          <w:lang w:val="nl-NL"/>
        </w:rPr>
        <w:t xml:space="preserve"> onder het Ministerie van Justitie, heeft reeds als resultaat, dat de minister van Justitie, als verantwoordelijke minister van al deze groepen ambtenaren, de regering zal vertegenwoordigen in het SGOA indien de regelingen van een van deze groepen als onderwerp voor overleg wordt ingebracht. Het feit dat het Ministerie van Justitie als sector is aangewezen heeft ook tot gevolg dat de Minister van Justitie als partij kan worden opgeroepen in het SGOA indien ten aanzien van de rechtspositie van een van deze groepen ambtenaren overleg gevoerd moet worden, waardoor een verdere verdeling binnen dezelfde ministerie niet tot een ander resultaat zal leiden.</w:t>
      </w:r>
    </w:p>
    <w:p w:rsidR="00200545" w:rsidRDefault="00200545" w:rsidP="00200545">
      <w:pPr>
        <w:widowControl/>
        <w:jc w:val="both"/>
        <w:rPr>
          <w:rFonts w:ascii="Palatino Linotype" w:hAnsi="Palatino Linotype"/>
          <w:snapToGrid/>
          <w:sz w:val="22"/>
          <w:szCs w:val="22"/>
          <w:lang w:val="nl-NL"/>
        </w:rPr>
      </w:pPr>
    </w:p>
    <w:p w:rsidR="00B232F3" w:rsidRDefault="00B232F3" w:rsidP="00200545">
      <w:pPr>
        <w:widowControl/>
        <w:jc w:val="both"/>
        <w:rPr>
          <w:rFonts w:ascii="Palatino Linotype" w:hAnsi="Palatino Linotype"/>
          <w:snapToGrid/>
          <w:sz w:val="22"/>
          <w:szCs w:val="22"/>
          <w:lang w:val="nl-NL"/>
        </w:rPr>
      </w:pPr>
    </w:p>
    <w:p w:rsidR="00B232F3" w:rsidRDefault="00B232F3" w:rsidP="00200545">
      <w:pPr>
        <w:widowControl/>
        <w:jc w:val="both"/>
        <w:rPr>
          <w:rFonts w:ascii="Palatino Linotype" w:hAnsi="Palatino Linotype"/>
          <w:snapToGrid/>
          <w:sz w:val="22"/>
          <w:szCs w:val="22"/>
          <w:lang w:val="nl-NL"/>
        </w:rPr>
      </w:pPr>
    </w:p>
    <w:p w:rsidR="00B232F3" w:rsidRPr="00200545" w:rsidRDefault="00B232F3" w:rsidP="00200545">
      <w:pPr>
        <w:widowControl/>
        <w:jc w:val="both"/>
        <w:rPr>
          <w:rFonts w:ascii="Palatino Linotype" w:hAnsi="Palatino Linotype"/>
          <w:snapToGrid/>
          <w:sz w:val="22"/>
          <w:szCs w:val="22"/>
          <w:lang w:val="nl-NL"/>
        </w:rPr>
      </w:pPr>
    </w:p>
    <w:p w:rsidR="00200545" w:rsidRPr="00200545" w:rsidRDefault="00200545" w:rsidP="00200545">
      <w:pPr>
        <w:widowControl/>
        <w:jc w:val="both"/>
        <w:rPr>
          <w:rFonts w:ascii="Palatino Linotype" w:hAnsi="Palatino Linotype"/>
          <w:b/>
          <w:snapToGrid/>
          <w:sz w:val="22"/>
          <w:szCs w:val="22"/>
          <w:lang w:val="nl-NL"/>
        </w:rPr>
      </w:pPr>
      <w:r w:rsidRPr="00200545">
        <w:rPr>
          <w:rFonts w:ascii="Palatino Linotype" w:hAnsi="Palatino Linotype"/>
          <w:b/>
          <w:snapToGrid/>
          <w:sz w:val="22"/>
          <w:szCs w:val="22"/>
          <w:lang w:val="nl-NL"/>
        </w:rPr>
        <w:lastRenderedPageBreak/>
        <w:t>IV. Artikelsgewijze toelichting</w:t>
      </w:r>
    </w:p>
    <w:p w:rsidR="001B6A83" w:rsidRDefault="001B6A83" w:rsidP="00200545">
      <w:pPr>
        <w:widowControl/>
        <w:rPr>
          <w:rFonts w:ascii="Palatino Linotype" w:hAnsi="Palatino Linotype"/>
          <w:b/>
          <w:snapToGrid/>
          <w:sz w:val="22"/>
          <w:szCs w:val="22"/>
          <w:lang w:val="nl-NL"/>
        </w:rPr>
      </w:pPr>
    </w:p>
    <w:p w:rsidR="00200545" w:rsidRPr="00200545" w:rsidRDefault="00200545" w:rsidP="00200545">
      <w:pPr>
        <w:widowControl/>
        <w:rPr>
          <w:rFonts w:ascii="Palatino Linotype" w:hAnsi="Palatino Linotype"/>
          <w:b/>
          <w:snapToGrid/>
          <w:sz w:val="22"/>
          <w:szCs w:val="22"/>
          <w:lang w:val="nl-NL"/>
        </w:rPr>
      </w:pPr>
      <w:r w:rsidRPr="00200545">
        <w:rPr>
          <w:rFonts w:ascii="Palatino Linotype" w:hAnsi="Palatino Linotype"/>
          <w:b/>
          <w:snapToGrid/>
          <w:sz w:val="22"/>
          <w:szCs w:val="22"/>
          <w:lang w:val="nl-NL"/>
        </w:rPr>
        <w:t>Artikel 1</w:t>
      </w:r>
    </w:p>
    <w:p w:rsidR="00200545" w:rsidRPr="00200545" w:rsidRDefault="00200545" w:rsidP="00200545">
      <w:pPr>
        <w:widowControl/>
        <w:jc w:val="both"/>
        <w:rPr>
          <w:rFonts w:ascii="Palatino Linotype" w:hAnsi="Palatino Linotype"/>
          <w:snapToGrid/>
          <w:sz w:val="22"/>
          <w:szCs w:val="22"/>
          <w:lang w:val="nl-NL"/>
        </w:rPr>
      </w:pPr>
      <w:r w:rsidRPr="00200545">
        <w:rPr>
          <w:rFonts w:ascii="Palatino Linotype" w:hAnsi="Palatino Linotype"/>
          <w:snapToGrid/>
          <w:sz w:val="22"/>
          <w:szCs w:val="22"/>
          <w:lang w:val="nl-NL"/>
        </w:rPr>
        <w:t>Er zijn negen sectoren binnen de overheid, gelijk aan de negen ministeries van de overheid, waarbij ten aanzien van de ambtenaren die daaronder ressorteren, specifieke aangelegenheden betreffende hun rechtstoestand afzonderlijk van toepassing kunnen zijn. Om die reden kan de behoefte bestaan om ten aanzien van de van toepassing zijnde sectoraal beleid, in een sectoraal overleg met de verantwoordelijke minister van de desbetreffende sector te overleggen.</w:t>
      </w:r>
    </w:p>
    <w:p w:rsidR="00200545" w:rsidRPr="00200545" w:rsidRDefault="00200545" w:rsidP="00200545">
      <w:pPr>
        <w:widowControl/>
        <w:jc w:val="both"/>
        <w:rPr>
          <w:rFonts w:ascii="Palatino Linotype" w:hAnsi="Palatino Linotype"/>
          <w:snapToGrid/>
          <w:sz w:val="22"/>
          <w:szCs w:val="22"/>
          <w:lang w:val="nl-NL"/>
        </w:rPr>
      </w:pPr>
      <w:r w:rsidRPr="00200545">
        <w:rPr>
          <w:rFonts w:ascii="Palatino Linotype" w:hAnsi="Palatino Linotype"/>
          <w:snapToGrid/>
          <w:sz w:val="22"/>
          <w:szCs w:val="22"/>
          <w:lang w:val="nl-NL"/>
        </w:rPr>
        <w:t xml:space="preserve">De indeling in negen sectoren betreft een limitatieve opsomming waarbij niet is voorzien in de mogelijkheid om binnen een bepaalde sector een onderverdeling mogelijk te maken. Dit is ook niet nodig, aangezien de sectoren gekoppeld zijn aan de bestaande ministeries die zijn vastgelegd in de Labo, waardoor het Centraal Georganiseerd Overleg in Ambtenarenzaken direct wordt gevoerd met de (eind)verantwoordelijke minister voor al het personeel dat valt onder die sector. Een onderverdeling in de sector en daarmede dus het ministerie, brengt geen verandering in het feit dat dezelfde persoon eindverantwoordelijk is voor die sector c.q. ministerie, waardoor een onderverdeling geen ander resultaat zal bewerkstelligen ten aanzien van de persoon c.q. minister met wie het overleg gevoerd zal worden. </w:t>
      </w:r>
    </w:p>
    <w:p w:rsidR="00200545" w:rsidRPr="00200545" w:rsidRDefault="00200545" w:rsidP="00200545">
      <w:pPr>
        <w:widowControl/>
        <w:jc w:val="both"/>
        <w:rPr>
          <w:rFonts w:ascii="Palatino Linotype" w:hAnsi="Palatino Linotype"/>
          <w:snapToGrid/>
          <w:sz w:val="22"/>
          <w:szCs w:val="22"/>
          <w:lang w:val="nl-NL"/>
        </w:rPr>
      </w:pPr>
    </w:p>
    <w:p w:rsidR="00200545" w:rsidRPr="00200545" w:rsidRDefault="00200545" w:rsidP="00200545">
      <w:pPr>
        <w:widowControl/>
        <w:jc w:val="both"/>
        <w:rPr>
          <w:rFonts w:ascii="Palatino Linotype" w:hAnsi="Palatino Linotype"/>
          <w:snapToGrid/>
          <w:sz w:val="22"/>
          <w:szCs w:val="22"/>
          <w:lang w:val="nl-NL"/>
        </w:rPr>
      </w:pPr>
    </w:p>
    <w:p w:rsidR="00200545" w:rsidRPr="00200545" w:rsidRDefault="00200545" w:rsidP="00200545">
      <w:pPr>
        <w:widowControl/>
        <w:jc w:val="both"/>
        <w:rPr>
          <w:rFonts w:ascii="Palatino Linotype" w:hAnsi="Palatino Linotype"/>
          <w:snapToGrid/>
          <w:sz w:val="22"/>
          <w:szCs w:val="22"/>
          <w:lang w:val="nl-NL"/>
        </w:rPr>
      </w:pPr>
    </w:p>
    <w:p w:rsidR="00200545" w:rsidRPr="00200545" w:rsidRDefault="00200545" w:rsidP="00200545">
      <w:pPr>
        <w:widowControl/>
        <w:ind w:left="4320" w:firstLine="720"/>
        <w:jc w:val="both"/>
        <w:rPr>
          <w:rFonts w:ascii="Palatino Linotype" w:hAnsi="Palatino Linotype"/>
          <w:snapToGrid/>
          <w:sz w:val="22"/>
          <w:szCs w:val="22"/>
          <w:lang w:val="nl-NL"/>
        </w:rPr>
      </w:pPr>
      <w:r w:rsidRPr="00200545">
        <w:rPr>
          <w:rFonts w:ascii="Palatino Linotype" w:hAnsi="Palatino Linotype"/>
          <w:snapToGrid/>
          <w:sz w:val="22"/>
          <w:szCs w:val="22"/>
          <w:lang w:val="nl-NL"/>
        </w:rPr>
        <w:t>De Minister van Bestuur, Planning</w:t>
      </w:r>
    </w:p>
    <w:p w:rsidR="00AD4862" w:rsidRDefault="00200545" w:rsidP="00AD4862">
      <w:pPr>
        <w:widowControl/>
        <w:ind w:left="4320" w:firstLine="720"/>
        <w:jc w:val="both"/>
        <w:rPr>
          <w:rFonts w:ascii="Palatino Linotype" w:hAnsi="Palatino Linotype"/>
          <w:snapToGrid/>
          <w:sz w:val="22"/>
          <w:szCs w:val="22"/>
          <w:lang w:val="nl-NL"/>
        </w:rPr>
      </w:pPr>
      <w:r w:rsidRPr="00200545">
        <w:rPr>
          <w:rFonts w:ascii="Palatino Linotype" w:hAnsi="Palatino Linotype"/>
          <w:snapToGrid/>
          <w:sz w:val="22"/>
          <w:szCs w:val="22"/>
          <w:lang w:val="nl-NL"/>
        </w:rPr>
        <w:t>en Dienstverlening,</w:t>
      </w:r>
    </w:p>
    <w:p w:rsidR="00AD4862" w:rsidRPr="006563C6" w:rsidRDefault="00AD4862" w:rsidP="004B16E3">
      <w:pPr>
        <w:widowControl/>
        <w:ind w:left="5103" w:right="946"/>
        <w:jc w:val="center"/>
        <w:rPr>
          <w:rFonts w:ascii="Palatino Linotype" w:hAnsi="Palatino Linotype"/>
          <w:bCs/>
          <w:spacing w:val="-3"/>
          <w:sz w:val="22"/>
          <w:szCs w:val="22"/>
          <w:lang w:val="nl-NL"/>
        </w:rPr>
      </w:pPr>
      <w:r w:rsidRPr="006563C6">
        <w:rPr>
          <w:rFonts w:ascii="Palatino Linotype" w:hAnsi="Palatino Linotype"/>
          <w:bCs/>
          <w:spacing w:val="-3"/>
          <w:sz w:val="22"/>
          <w:szCs w:val="22"/>
          <w:lang w:val="nl-NL"/>
        </w:rPr>
        <w:t>A.E. KONKET</w:t>
      </w:r>
    </w:p>
    <w:p w:rsidR="00AD4862" w:rsidRDefault="00AD4862" w:rsidP="00AD4862">
      <w:pPr>
        <w:widowControl/>
        <w:ind w:left="4320" w:firstLine="720"/>
        <w:jc w:val="both"/>
        <w:rPr>
          <w:rFonts w:ascii="Palatino Linotype" w:hAnsi="Palatino Linotype"/>
          <w:snapToGrid/>
          <w:sz w:val="22"/>
          <w:szCs w:val="22"/>
          <w:lang w:val="nl-NL"/>
        </w:rPr>
      </w:pPr>
    </w:p>
    <w:p w:rsidR="00AD4862" w:rsidRDefault="00AD4862" w:rsidP="00AD4862">
      <w:pPr>
        <w:widowControl/>
        <w:ind w:left="4320" w:firstLine="720"/>
        <w:jc w:val="both"/>
        <w:rPr>
          <w:rFonts w:ascii="Palatino Linotype" w:hAnsi="Palatino Linotype"/>
          <w:snapToGrid/>
          <w:sz w:val="22"/>
          <w:szCs w:val="22"/>
          <w:lang w:val="nl-NL"/>
        </w:rPr>
      </w:pPr>
    </w:p>
    <w:p w:rsidR="00AD4862" w:rsidRPr="006563C6" w:rsidRDefault="00AD4862" w:rsidP="00AD4862">
      <w:pPr>
        <w:widowControl/>
        <w:ind w:left="4320" w:firstLine="720"/>
        <w:jc w:val="both"/>
        <w:rPr>
          <w:rFonts w:ascii="Palatino Linotype" w:hAnsi="Palatino Linotype"/>
          <w:bCs/>
          <w:spacing w:val="-3"/>
          <w:sz w:val="22"/>
          <w:szCs w:val="22"/>
          <w:lang w:val="nl-NL"/>
        </w:rPr>
      </w:pPr>
    </w:p>
    <w:p w:rsidR="00331A7B" w:rsidRPr="000A0DBD" w:rsidRDefault="00331A7B" w:rsidP="00331A7B">
      <w:pPr>
        <w:tabs>
          <w:tab w:val="left" w:pos="-720"/>
        </w:tabs>
        <w:suppressAutoHyphens/>
        <w:jc w:val="both"/>
        <w:rPr>
          <w:rFonts w:ascii="Palatino Linotype" w:hAnsi="Palatino Linotype"/>
          <w:bCs/>
          <w:spacing w:val="-3"/>
          <w:sz w:val="22"/>
          <w:szCs w:val="22"/>
          <w:lang w:val="nl-NL"/>
        </w:rPr>
      </w:pPr>
    </w:p>
    <w:p w:rsidR="00AD4862" w:rsidRDefault="00AD4862">
      <w:pPr>
        <w:tabs>
          <w:tab w:val="left" w:pos="-720"/>
        </w:tabs>
        <w:suppressAutoHyphens/>
        <w:jc w:val="both"/>
        <w:rPr>
          <w:rFonts w:ascii="Palatino Linotype" w:hAnsi="Palatino Linotype"/>
          <w:bCs/>
          <w:spacing w:val="-3"/>
          <w:sz w:val="22"/>
          <w:szCs w:val="22"/>
          <w:lang w:val="nl-NL"/>
        </w:rPr>
      </w:pPr>
    </w:p>
    <w:p w:rsidR="003D25AC" w:rsidRPr="000A0DBD" w:rsidRDefault="00AD4862" w:rsidP="00AD4862">
      <w:pPr>
        <w:tabs>
          <w:tab w:val="left" w:pos="-720"/>
          <w:tab w:val="left" w:pos="2191"/>
        </w:tabs>
        <w:suppressAutoHyphens/>
        <w:jc w:val="both"/>
        <w:rPr>
          <w:rFonts w:ascii="Palatino Linotype" w:hAnsi="Palatino Linotype"/>
          <w:bCs/>
          <w:spacing w:val="-3"/>
          <w:sz w:val="22"/>
          <w:szCs w:val="22"/>
          <w:lang w:val="nl-NL"/>
        </w:rPr>
      </w:pPr>
      <w:r>
        <w:rPr>
          <w:rFonts w:ascii="Palatino Linotype" w:hAnsi="Palatino Linotype"/>
          <w:sz w:val="22"/>
          <w:szCs w:val="22"/>
          <w:lang w:val="nl-NL"/>
        </w:rPr>
        <w:tab/>
      </w: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545" w:rsidRDefault="00200545">
      <w:pPr>
        <w:spacing w:line="20" w:lineRule="exact"/>
      </w:pPr>
    </w:p>
  </w:endnote>
  <w:endnote w:type="continuationSeparator" w:id="0">
    <w:p w:rsidR="00200545" w:rsidRDefault="00200545">
      <w:r>
        <w:t xml:space="preserve"> </w:t>
      </w:r>
    </w:p>
  </w:endnote>
  <w:endnote w:type="continuationNotice" w:id="1">
    <w:p w:rsidR="00200545" w:rsidRDefault="0020054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545" w:rsidRDefault="00200545">
      <w:r>
        <w:separator/>
      </w:r>
    </w:p>
  </w:footnote>
  <w:footnote w:type="continuationSeparator" w:id="0">
    <w:p w:rsidR="00200545" w:rsidRDefault="00200545">
      <w:r>
        <w:continuationSeparator/>
      </w:r>
    </w:p>
  </w:footnote>
  <w:footnote w:id="1">
    <w:p w:rsidR="00200545" w:rsidRPr="004B16E3" w:rsidRDefault="00200545" w:rsidP="00200545">
      <w:pPr>
        <w:pStyle w:val="FootnoteText"/>
        <w:rPr>
          <w:rFonts w:ascii="Palatino Linotype" w:hAnsi="Palatino Linotype"/>
          <w:sz w:val="18"/>
          <w:szCs w:val="18"/>
          <w:lang w:val="es-ES"/>
        </w:rPr>
      </w:pPr>
      <w:r w:rsidRPr="004B16E3">
        <w:rPr>
          <w:rStyle w:val="FootnoteReference"/>
          <w:rFonts w:ascii="Palatino Linotype" w:hAnsi="Palatino Linotype"/>
          <w:sz w:val="18"/>
          <w:szCs w:val="18"/>
        </w:rPr>
        <w:footnoteRef/>
      </w:r>
      <w:r w:rsidRPr="004B16E3">
        <w:rPr>
          <w:rFonts w:ascii="Palatino Linotype" w:hAnsi="Palatino Linotype"/>
          <w:sz w:val="18"/>
          <w:szCs w:val="18"/>
          <w:lang w:val="es-ES"/>
        </w:rPr>
        <w:t xml:space="preserve"> P.B. 2008, no. 70</w:t>
      </w:r>
    </w:p>
  </w:footnote>
  <w:footnote w:id="2">
    <w:p w:rsidR="00200545" w:rsidRPr="004B16E3" w:rsidRDefault="00200545" w:rsidP="00200545">
      <w:pPr>
        <w:pStyle w:val="FootnoteText"/>
        <w:rPr>
          <w:rFonts w:ascii="Palatino Linotype" w:hAnsi="Palatino Linotype"/>
          <w:sz w:val="18"/>
          <w:szCs w:val="18"/>
          <w:lang w:val="es-ES"/>
        </w:rPr>
      </w:pPr>
      <w:r w:rsidRPr="004B16E3">
        <w:rPr>
          <w:rStyle w:val="FootnoteReference"/>
          <w:rFonts w:ascii="Palatino Linotype" w:hAnsi="Palatino Linotype"/>
          <w:sz w:val="18"/>
          <w:szCs w:val="18"/>
        </w:rPr>
        <w:footnoteRef/>
      </w:r>
      <w:r w:rsidRPr="004B16E3">
        <w:rPr>
          <w:rFonts w:ascii="Palatino Linotype" w:hAnsi="Palatino Linotype"/>
          <w:sz w:val="18"/>
          <w:szCs w:val="18"/>
          <w:lang w:val="es-ES"/>
        </w:rPr>
        <w:t xml:space="preserve"> P.B. 2008, no. 70</w:t>
      </w:r>
    </w:p>
  </w:footnote>
  <w:footnote w:id="3">
    <w:p w:rsidR="00200545" w:rsidRPr="004B16E3" w:rsidRDefault="00200545" w:rsidP="00200545">
      <w:pPr>
        <w:pStyle w:val="FootnoteText"/>
        <w:rPr>
          <w:rFonts w:ascii="Palatino Linotype" w:hAnsi="Palatino Linotype"/>
          <w:sz w:val="18"/>
          <w:szCs w:val="18"/>
          <w:lang w:val="es-ES"/>
        </w:rPr>
      </w:pPr>
      <w:r w:rsidRPr="004B16E3">
        <w:rPr>
          <w:rStyle w:val="FootnoteReference"/>
          <w:rFonts w:ascii="Palatino Linotype" w:hAnsi="Palatino Linotype"/>
          <w:sz w:val="18"/>
          <w:szCs w:val="18"/>
        </w:rPr>
        <w:footnoteRef/>
      </w:r>
      <w:r w:rsidRPr="004B16E3">
        <w:rPr>
          <w:rFonts w:ascii="Palatino Linotype" w:hAnsi="Palatino Linotype"/>
          <w:sz w:val="18"/>
          <w:szCs w:val="18"/>
          <w:lang w:val="es-ES"/>
        </w:rPr>
        <w:t xml:space="preserve"> A.B. 2010, no. 87 </w:t>
      </w:r>
      <w:proofErr w:type="spellStart"/>
      <w:r w:rsidRPr="004B16E3">
        <w:rPr>
          <w:rFonts w:ascii="Palatino Linotype" w:hAnsi="Palatino Linotype"/>
          <w:sz w:val="18"/>
          <w:szCs w:val="18"/>
          <w:lang w:val="es-ES"/>
        </w:rPr>
        <w:t>bijlage</w:t>
      </w:r>
      <w:proofErr w:type="spellEnd"/>
      <w:r w:rsidRPr="004B16E3">
        <w:rPr>
          <w:rFonts w:ascii="Palatino Linotype" w:hAnsi="Palatino Linotype"/>
          <w:sz w:val="18"/>
          <w:szCs w:val="18"/>
          <w:lang w:val="es-ES"/>
        </w:rPr>
        <w:t xml:space="preserve"> f</w:t>
      </w:r>
    </w:p>
  </w:footnote>
  <w:footnote w:id="4">
    <w:p w:rsidR="00200545" w:rsidRPr="004B16E3" w:rsidRDefault="00200545" w:rsidP="00200545">
      <w:pPr>
        <w:pStyle w:val="FootnoteText"/>
        <w:rPr>
          <w:rFonts w:ascii="Palatino Linotype" w:hAnsi="Palatino Linotype"/>
          <w:sz w:val="18"/>
          <w:szCs w:val="18"/>
          <w:lang w:val="es-ES"/>
        </w:rPr>
      </w:pPr>
      <w:r w:rsidRPr="004B16E3">
        <w:rPr>
          <w:rStyle w:val="FootnoteReference"/>
          <w:rFonts w:ascii="Palatino Linotype" w:hAnsi="Palatino Linotype"/>
          <w:sz w:val="18"/>
          <w:szCs w:val="18"/>
        </w:rPr>
        <w:footnoteRef/>
      </w:r>
      <w:r w:rsidRPr="004B16E3">
        <w:rPr>
          <w:rFonts w:ascii="Palatino Linotype" w:hAnsi="Palatino Linotype"/>
          <w:sz w:val="18"/>
          <w:szCs w:val="18"/>
          <w:lang w:val="es-ES"/>
        </w:rPr>
        <w:t xml:space="preserve"> A.B. 2010, no. 87, </w:t>
      </w:r>
      <w:proofErr w:type="spellStart"/>
      <w:r w:rsidRPr="004B16E3">
        <w:rPr>
          <w:rFonts w:ascii="Palatino Linotype" w:hAnsi="Palatino Linotype"/>
          <w:sz w:val="18"/>
          <w:szCs w:val="18"/>
          <w:lang w:val="es-ES"/>
        </w:rPr>
        <w:t>bijlage</w:t>
      </w:r>
      <w:proofErr w:type="spellEnd"/>
      <w:r w:rsidRPr="004B16E3">
        <w:rPr>
          <w:rFonts w:ascii="Palatino Linotype" w:hAnsi="Palatino Linotype"/>
          <w:sz w:val="18"/>
          <w:szCs w:val="18"/>
          <w:lang w:val="es-ES"/>
        </w:rPr>
        <w:t xml:space="preserve"> k</w:t>
      </w:r>
    </w:p>
  </w:footnote>
  <w:footnote w:id="5">
    <w:p w:rsidR="00200545" w:rsidRPr="004B16E3" w:rsidRDefault="00200545" w:rsidP="00200545">
      <w:pPr>
        <w:pStyle w:val="FootnoteText"/>
        <w:rPr>
          <w:rFonts w:ascii="Palatino Linotype" w:hAnsi="Palatino Linotype"/>
          <w:sz w:val="18"/>
          <w:szCs w:val="18"/>
        </w:rPr>
      </w:pPr>
      <w:r w:rsidRPr="004B16E3">
        <w:rPr>
          <w:rStyle w:val="FootnoteReference"/>
          <w:rFonts w:ascii="Palatino Linotype" w:hAnsi="Palatino Linotype"/>
          <w:sz w:val="18"/>
          <w:szCs w:val="18"/>
        </w:rPr>
        <w:footnoteRef/>
      </w:r>
      <w:r w:rsidRPr="004B16E3">
        <w:rPr>
          <w:rFonts w:ascii="Palatino Linotype" w:hAnsi="Palatino Linotype"/>
          <w:sz w:val="18"/>
          <w:szCs w:val="18"/>
        </w:rPr>
        <w:t xml:space="preserve"> P.B. 2016, no.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575E14">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575E14">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AD4862">
      <w:rPr>
        <w:rFonts w:ascii="Times New Roman" w:hAnsi="Times New Roman"/>
        <w:b/>
        <w:spacing w:val="-4"/>
        <w:sz w:val="36"/>
      </w:rPr>
      <w:t>81</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575E14">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575E14">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AD4862">
      <w:rPr>
        <w:rFonts w:ascii="Times New Roman" w:hAnsi="Times New Roman"/>
        <w:b/>
        <w:spacing w:val="-4"/>
        <w:sz w:val="36"/>
      </w:rPr>
      <w:t>81</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0522B"/>
    <w:multiLevelType w:val="hybridMultilevel"/>
    <w:tmpl w:val="E7DC8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60B6C"/>
    <w:multiLevelType w:val="hybridMultilevel"/>
    <w:tmpl w:val="8AB02D0E"/>
    <w:lvl w:ilvl="0" w:tplc="3678F7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545"/>
    <w:rsid w:val="0001282E"/>
    <w:rsid w:val="00023DB3"/>
    <w:rsid w:val="000254C1"/>
    <w:rsid w:val="00064039"/>
    <w:rsid w:val="000829F9"/>
    <w:rsid w:val="000A0DBD"/>
    <w:rsid w:val="000C69DD"/>
    <w:rsid w:val="0010321B"/>
    <w:rsid w:val="0014186C"/>
    <w:rsid w:val="00173FBA"/>
    <w:rsid w:val="001912DC"/>
    <w:rsid w:val="001A7D22"/>
    <w:rsid w:val="001B6A83"/>
    <w:rsid w:val="001C27B0"/>
    <w:rsid w:val="001C384D"/>
    <w:rsid w:val="00200545"/>
    <w:rsid w:val="00213227"/>
    <w:rsid w:val="00282C3F"/>
    <w:rsid w:val="002B27B9"/>
    <w:rsid w:val="002F0CFE"/>
    <w:rsid w:val="00331A7B"/>
    <w:rsid w:val="00334EF0"/>
    <w:rsid w:val="00390EC1"/>
    <w:rsid w:val="003B694F"/>
    <w:rsid w:val="003C30EB"/>
    <w:rsid w:val="003D1497"/>
    <w:rsid w:val="003D25AC"/>
    <w:rsid w:val="003E6FF3"/>
    <w:rsid w:val="004B16E3"/>
    <w:rsid w:val="004E29EE"/>
    <w:rsid w:val="004E2C9C"/>
    <w:rsid w:val="004E799B"/>
    <w:rsid w:val="00575E14"/>
    <w:rsid w:val="00593143"/>
    <w:rsid w:val="005B6D19"/>
    <w:rsid w:val="005B7EA9"/>
    <w:rsid w:val="005D0989"/>
    <w:rsid w:val="006147F1"/>
    <w:rsid w:val="006169E6"/>
    <w:rsid w:val="006725E6"/>
    <w:rsid w:val="006C19FE"/>
    <w:rsid w:val="006E5D12"/>
    <w:rsid w:val="00781AD6"/>
    <w:rsid w:val="007A6572"/>
    <w:rsid w:val="007C7D7D"/>
    <w:rsid w:val="007D4D73"/>
    <w:rsid w:val="00831996"/>
    <w:rsid w:val="00853D6F"/>
    <w:rsid w:val="00862E7C"/>
    <w:rsid w:val="00870E7E"/>
    <w:rsid w:val="008A1329"/>
    <w:rsid w:val="008B0FBF"/>
    <w:rsid w:val="008C60C3"/>
    <w:rsid w:val="008D67E9"/>
    <w:rsid w:val="008F676F"/>
    <w:rsid w:val="00910EBB"/>
    <w:rsid w:val="00957572"/>
    <w:rsid w:val="009E45FD"/>
    <w:rsid w:val="00A0173D"/>
    <w:rsid w:val="00AA53B3"/>
    <w:rsid w:val="00AC5F65"/>
    <w:rsid w:val="00AD4862"/>
    <w:rsid w:val="00B14BB9"/>
    <w:rsid w:val="00B232F3"/>
    <w:rsid w:val="00B41F4D"/>
    <w:rsid w:val="00B42035"/>
    <w:rsid w:val="00B640CC"/>
    <w:rsid w:val="00B73573"/>
    <w:rsid w:val="00B747D5"/>
    <w:rsid w:val="00B84E49"/>
    <w:rsid w:val="00B920FE"/>
    <w:rsid w:val="00BE36FD"/>
    <w:rsid w:val="00BF3E97"/>
    <w:rsid w:val="00C00533"/>
    <w:rsid w:val="00CC6CA3"/>
    <w:rsid w:val="00CE18CE"/>
    <w:rsid w:val="00CE5C4F"/>
    <w:rsid w:val="00D03575"/>
    <w:rsid w:val="00D03A15"/>
    <w:rsid w:val="00D50DA5"/>
    <w:rsid w:val="00D67282"/>
    <w:rsid w:val="00D95F17"/>
    <w:rsid w:val="00DC4B4C"/>
    <w:rsid w:val="00E42D6B"/>
    <w:rsid w:val="00ED69A7"/>
    <w:rsid w:val="00EE4FD2"/>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79094953-F263-4CFC-AC3D-876F51D7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130</TotalTime>
  <Pages>5</Pages>
  <Words>1297</Words>
  <Characters>8051</Characters>
  <Application>Microsoft Office Word</Application>
  <DocSecurity>0</DocSecurity>
  <Lines>201</Lines>
  <Paragraphs>66</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9282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Magali Streedel</dc:creator>
  <cp:keywords/>
  <cp:lastModifiedBy>Haidrick Kerindongo</cp:lastModifiedBy>
  <cp:revision>5</cp:revision>
  <cp:lastPrinted>2011-07-22T21:19:00Z</cp:lastPrinted>
  <dcterms:created xsi:type="dcterms:W3CDTF">2019-12-16T18:11:00Z</dcterms:created>
  <dcterms:modified xsi:type="dcterms:W3CDTF">2019-12-16T20:46:00Z</dcterms:modified>
</cp:coreProperties>
</file>