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rsidP="00740B69">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740B69">
        <w:rPr>
          <w:b/>
          <w:sz w:val="36"/>
          <w:szCs w:val="36"/>
        </w:rPr>
        <w:t>82</w:t>
      </w: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740B69" w:rsidRDefault="00740B69" w:rsidP="00740B69">
      <w:pPr>
        <w:widowControl/>
        <w:jc w:val="both"/>
        <w:rPr>
          <w:rFonts w:ascii="Palatino Linotype" w:hAnsi="Palatino Linotype"/>
          <w:b/>
          <w:snapToGrid/>
          <w:szCs w:val="24"/>
          <w:lang w:val="nl-NL"/>
        </w:rPr>
      </w:pPr>
      <w:r w:rsidRPr="00740B69">
        <w:rPr>
          <w:rFonts w:ascii="Palatino Linotype" w:hAnsi="Palatino Linotype"/>
          <w:b/>
          <w:snapToGrid/>
          <w:szCs w:val="24"/>
          <w:lang w:val="nl-NL"/>
        </w:rPr>
        <w:t xml:space="preserve">LANDSBESLUIT, HOUDENDE ALGEMENE MAATREGELEN, van de </w:t>
      </w:r>
      <w:r>
        <w:rPr>
          <w:rFonts w:ascii="Palatino Linotype" w:hAnsi="Palatino Linotype"/>
          <w:b/>
          <w:snapToGrid/>
          <w:szCs w:val="24"/>
          <w:lang w:val="nl-NL"/>
        </w:rPr>
        <w:t>18</w:t>
      </w:r>
      <w:r w:rsidRPr="00740B69">
        <w:rPr>
          <w:rFonts w:ascii="Palatino Linotype" w:hAnsi="Palatino Linotype"/>
          <w:b/>
          <w:snapToGrid/>
          <w:szCs w:val="24"/>
          <w:vertAlign w:val="superscript"/>
          <w:lang w:val="nl-NL"/>
        </w:rPr>
        <w:t>de</w:t>
      </w:r>
      <w:r>
        <w:rPr>
          <w:rFonts w:ascii="Palatino Linotype" w:hAnsi="Palatino Linotype"/>
          <w:b/>
          <w:snapToGrid/>
          <w:szCs w:val="24"/>
          <w:lang w:val="nl-NL"/>
        </w:rPr>
        <w:t xml:space="preserve"> december 2019</w:t>
      </w:r>
      <w:r w:rsidRPr="00740B69">
        <w:rPr>
          <w:rFonts w:ascii="Times New Roman" w:hAnsi="Times New Roman"/>
          <w:snapToGrid/>
          <w:szCs w:val="24"/>
          <w:lang w:val="nl-NL"/>
        </w:rPr>
        <w:t xml:space="preserve"> </w:t>
      </w:r>
      <w:r w:rsidRPr="00740B69">
        <w:rPr>
          <w:rFonts w:ascii="Palatino Linotype" w:hAnsi="Palatino Linotype"/>
          <w:b/>
          <w:snapToGrid/>
          <w:szCs w:val="24"/>
          <w:lang w:val="nl-NL"/>
        </w:rPr>
        <w:t>ter uitvoering van artikel 4, eerste lid, en artikel 5 aanhef, onder a, van de Landsverordening In- en Uitvoer</w:t>
      </w:r>
      <w:r w:rsidRPr="00740B69">
        <w:rPr>
          <w:rFonts w:ascii="Palatino Linotype" w:hAnsi="Palatino Linotype"/>
          <w:b/>
          <w:snapToGrid/>
          <w:szCs w:val="24"/>
          <w:vertAlign w:val="superscript"/>
          <w:lang w:val="nl-NL"/>
        </w:rPr>
        <w:footnoteReference w:id="1"/>
      </w:r>
      <w:r w:rsidRPr="00740B69">
        <w:rPr>
          <w:rFonts w:ascii="Palatino Linotype" w:hAnsi="Palatino Linotype"/>
          <w:b/>
          <w:snapToGrid/>
          <w:szCs w:val="24"/>
          <w:lang w:val="nl-NL"/>
        </w:rPr>
        <w:t xml:space="preserve">, </w:t>
      </w:r>
      <w:proofErr w:type="gramStart"/>
      <w:r w:rsidRPr="00740B69">
        <w:rPr>
          <w:rFonts w:ascii="Palatino Linotype" w:hAnsi="Palatino Linotype"/>
          <w:b/>
          <w:snapToGrid/>
          <w:szCs w:val="24"/>
          <w:lang w:val="nl-NL"/>
        </w:rPr>
        <w:t>houdende</w:t>
      </w:r>
      <w:proofErr w:type="gramEnd"/>
      <w:r w:rsidRPr="00740B69">
        <w:rPr>
          <w:rFonts w:ascii="Palatino Linotype" w:hAnsi="Palatino Linotype"/>
          <w:b/>
          <w:snapToGrid/>
          <w:szCs w:val="24"/>
          <w:lang w:val="nl-NL"/>
        </w:rPr>
        <w:t xml:space="preserve"> een in-, uit- en doorvoerverbod van goud van Venezolaanse oorsprong, herkomst of afkomst (Landsbesluit in-, uit- en doorvoerverbod Venezolaans goud) </w:t>
      </w:r>
    </w:p>
    <w:p w:rsidR="00740B69" w:rsidRPr="00740B69" w:rsidRDefault="00740B69" w:rsidP="00740B69">
      <w:pPr>
        <w:widowControl/>
        <w:jc w:val="both"/>
        <w:rPr>
          <w:rFonts w:ascii="Palatino Linotype" w:hAnsi="Palatino Linotype"/>
          <w:b/>
          <w:snapToGrid/>
          <w:szCs w:val="24"/>
          <w:lang w:val="nl-NL"/>
        </w:rPr>
      </w:pPr>
    </w:p>
    <w:p w:rsidR="00740B69" w:rsidRPr="00740B69" w:rsidRDefault="00740B69" w:rsidP="00740B69">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suppressAutoHyphens/>
        <w:jc w:val="center"/>
        <w:rPr>
          <w:rFonts w:ascii="Palatino Linotype" w:hAnsi="Palatino Linotype"/>
          <w:snapToGrid/>
          <w:spacing w:val="-3"/>
          <w:sz w:val="22"/>
          <w:szCs w:val="22"/>
          <w:lang w:val="nl-NL"/>
        </w:rPr>
      </w:pPr>
      <w:r w:rsidRPr="00740B69">
        <w:rPr>
          <w:rFonts w:ascii="Palatino Linotype" w:hAnsi="Palatino Linotype"/>
          <w:snapToGrid/>
          <w:spacing w:val="-3"/>
          <w:sz w:val="22"/>
          <w:szCs w:val="22"/>
          <w:lang w:val="nl-NL"/>
        </w:rPr>
        <w:t xml:space="preserve">In  naam  van  </w:t>
      </w:r>
      <w:proofErr w:type="gramStart"/>
      <w:r w:rsidRPr="00740B69">
        <w:rPr>
          <w:rFonts w:ascii="Palatino Linotype" w:hAnsi="Palatino Linotype"/>
          <w:snapToGrid/>
          <w:spacing w:val="-3"/>
          <w:sz w:val="22"/>
          <w:szCs w:val="22"/>
          <w:lang w:val="nl-NL"/>
        </w:rPr>
        <w:t xml:space="preserve">de  </w:t>
      </w:r>
      <w:proofErr w:type="gramEnd"/>
      <w:r w:rsidRPr="00740B69">
        <w:rPr>
          <w:rFonts w:ascii="Palatino Linotype" w:hAnsi="Palatino Linotype"/>
          <w:snapToGrid/>
          <w:spacing w:val="-3"/>
          <w:sz w:val="22"/>
          <w:szCs w:val="22"/>
          <w:lang w:val="nl-NL"/>
        </w:rPr>
        <w:t>Koning!</w:t>
      </w:r>
    </w:p>
    <w:p w:rsidR="00740B69" w:rsidRPr="00740B69" w:rsidRDefault="00740B69" w:rsidP="00740B69">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740B69" w:rsidRPr="00740B69" w:rsidRDefault="00740B69" w:rsidP="00740B69">
      <w:pPr>
        <w:widowControl/>
        <w:suppressAutoHyphens/>
        <w:jc w:val="center"/>
        <w:rPr>
          <w:rFonts w:ascii="Palatino Linotype" w:hAnsi="Palatino Linotype"/>
          <w:snapToGrid/>
          <w:spacing w:val="-3"/>
          <w:sz w:val="22"/>
          <w:szCs w:val="22"/>
          <w:lang w:val="nl-NL"/>
        </w:rPr>
      </w:pPr>
    </w:p>
    <w:p w:rsidR="00740B69" w:rsidRPr="00740B69" w:rsidRDefault="00740B69" w:rsidP="00740B69">
      <w:pPr>
        <w:widowControl/>
        <w:suppressAutoHyphens/>
        <w:jc w:val="center"/>
        <w:rPr>
          <w:rFonts w:ascii="Palatino Linotype" w:hAnsi="Palatino Linotype"/>
          <w:snapToGrid/>
          <w:spacing w:val="-3"/>
          <w:sz w:val="22"/>
          <w:szCs w:val="22"/>
          <w:lang w:val="nl-NL"/>
        </w:rPr>
      </w:pPr>
      <w:r w:rsidRPr="00740B69">
        <w:rPr>
          <w:rFonts w:ascii="Palatino Linotype" w:hAnsi="Palatino Linotype"/>
          <w:snapToGrid/>
          <w:spacing w:val="-3"/>
          <w:sz w:val="22"/>
          <w:szCs w:val="22"/>
          <w:lang w:val="nl-NL"/>
        </w:rPr>
        <w:t xml:space="preserve">De  Gouverneur  </w:t>
      </w:r>
      <w:proofErr w:type="gramStart"/>
      <w:r w:rsidRPr="00740B69">
        <w:rPr>
          <w:rFonts w:ascii="Palatino Linotype" w:hAnsi="Palatino Linotype"/>
          <w:snapToGrid/>
          <w:spacing w:val="-3"/>
          <w:sz w:val="22"/>
          <w:szCs w:val="22"/>
          <w:lang w:val="nl-NL"/>
        </w:rPr>
        <w:t xml:space="preserve">van  </w:t>
      </w:r>
      <w:proofErr w:type="gramEnd"/>
      <w:r w:rsidRPr="00740B69">
        <w:rPr>
          <w:rFonts w:ascii="Palatino Linotype" w:hAnsi="Palatino Linotype"/>
          <w:snapToGrid/>
          <w:spacing w:val="-3"/>
          <w:sz w:val="22"/>
          <w:szCs w:val="22"/>
          <w:lang w:val="nl-NL"/>
        </w:rPr>
        <w:t>Curaçao,</w:t>
      </w:r>
    </w:p>
    <w:p w:rsidR="00740B69" w:rsidRPr="00740B69" w:rsidRDefault="00740B69" w:rsidP="00740B69">
      <w:pPr>
        <w:widowControl/>
        <w:tabs>
          <w:tab w:val="left" w:pos="3632"/>
        </w:tabs>
        <w:rPr>
          <w:rFonts w:ascii="Palatino Linotype" w:hAnsi="Palatino Linotype"/>
          <w:snapToGrid/>
          <w:sz w:val="22"/>
          <w:szCs w:val="22"/>
          <w:lang w:val="nl-NL"/>
        </w:rPr>
      </w:pPr>
      <w:r w:rsidRPr="00740B69">
        <w:rPr>
          <w:rFonts w:ascii="Palatino Linotype" w:hAnsi="Palatino Linotype"/>
          <w:snapToGrid/>
          <w:sz w:val="22"/>
          <w:szCs w:val="22"/>
          <w:lang w:val="nl-NL"/>
        </w:rPr>
        <w:tab/>
      </w:r>
    </w:p>
    <w:p w:rsidR="00740B69" w:rsidRPr="00740B69" w:rsidRDefault="00740B69" w:rsidP="00740B69">
      <w:pPr>
        <w:widowControl/>
        <w:tabs>
          <w:tab w:val="left" w:pos="3632"/>
        </w:tabs>
        <w:rPr>
          <w:rFonts w:ascii="Palatino Linotype" w:hAnsi="Palatino Linotype"/>
          <w:snapToGrid/>
          <w:sz w:val="22"/>
          <w:szCs w:val="22"/>
          <w:lang w:val="nl-NL"/>
        </w:rPr>
      </w:pPr>
    </w:p>
    <w:p w:rsidR="00A15DBE" w:rsidRDefault="00740B69" w:rsidP="00A15DBE">
      <w:pPr>
        <w:widowControl/>
        <w:tabs>
          <w:tab w:val="left" w:pos="567"/>
        </w:tabs>
        <w:ind w:left="567" w:hanging="567"/>
        <w:rPr>
          <w:rFonts w:ascii="Palatino Linotype" w:hAnsi="Palatino Linotype"/>
          <w:snapToGrid/>
          <w:sz w:val="22"/>
          <w:szCs w:val="22"/>
          <w:lang w:val="nl-NL"/>
        </w:rPr>
      </w:pPr>
      <w:r w:rsidRPr="00740B69">
        <w:rPr>
          <w:rFonts w:ascii="Palatino Linotype" w:hAnsi="Palatino Linotype"/>
          <w:snapToGrid/>
          <w:sz w:val="22"/>
          <w:szCs w:val="22"/>
          <w:lang w:val="nl-NL"/>
        </w:rPr>
        <w:t>In overweging genomen hebbende:</w:t>
      </w:r>
    </w:p>
    <w:p w:rsidR="00A15DBE" w:rsidRDefault="00A15DBE" w:rsidP="00A15DBE">
      <w:pPr>
        <w:widowControl/>
        <w:tabs>
          <w:tab w:val="left" w:pos="567"/>
        </w:tabs>
        <w:ind w:left="567" w:hanging="567"/>
        <w:rPr>
          <w:rFonts w:ascii="Palatino Linotype" w:hAnsi="Palatino Linotype"/>
          <w:snapToGrid/>
          <w:sz w:val="22"/>
          <w:szCs w:val="22"/>
          <w:lang w:val="nl-NL"/>
        </w:rPr>
      </w:pPr>
    </w:p>
    <w:p w:rsidR="00A15DBE" w:rsidRDefault="00A15DBE" w:rsidP="00BA63EF">
      <w:pPr>
        <w:widowControl/>
        <w:tabs>
          <w:tab w:val="left" w:pos="567"/>
        </w:tabs>
        <w:ind w:left="567" w:hanging="567"/>
        <w:jc w:val="both"/>
        <w:rPr>
          <w:rFonts w:ascii="Palatino Linotype" w:hAnsi="Palatino Linotype"/>
          <w:snapToGrid/>
          <w:sz w:val="22"/>
          <w:lang w:val="nl-NL"/>
        </w:rPr>
      </w:pPr>
      <w:r>
        <w:rPr>
          <w:rFonts w:ascii="Palatino Linotype" w:hAnsi="Palatino Linotype"/>
          <w:snapToGrid/>
          <w:sz w:val="22"/>
          <w:lang w:val="nl-NL"/>
        </w:rPr>
        <w:t xml:space="preserve">- </w:t>
      </w:r>
      <w:r>
        <w:rPr>
          <w:rFonts w:ascii="Palatino Linotype" w:hAnsi="Palatino Linotype"/>
          <w:snapToGrid/>
          <w:sz w:val="22"/>
          <w:lang w:val="nl-NL"/>
        </w:rPr>
        <w:tab/>
      </w:r>
      <w:r w:rsidR="00740B69" w:rsidRPr="00740B69">
        <w:rPr>
          <w:rFonts w:ascii="Palatino Linotype" w:hAnsi="Palatino Linotype"/>
          <w:snapToGrid/>
          <w:sz w:val="22"/>
          <w:lang w:val="nl-NL"/>
        </w:rPr>
        <w:t>dat goud afkomstig uit Venezolaanse mijnen via Curaçao wordt doorgevoerd naar andere delen van de wereld;</w:t>
      </w:r>
    </w:p>
    <w:p w:rsidR="00A15DBE" w:rsidRDefault="00A15DBE" w:rsidP="00BA63EF">
      <w:pPr>
        <w:widowControl/>
        <w:tabs>
          <w:tab w:val="left" w:pos="567"/>
        </w:tabs>
        <w:ind w:left="567" w:hanging="567"/>
        <w:jc w:val="both"/>
        <w:rPr>
          <w:rFonts w:ascii="Palatino Linotype" w:hAnsi="Palatino Linotype"/>
          <w:snapToGrid/>
          <w:sz w:val="22"/>
          <w:lang w:val="nl-NL"/>
        </w:rPr>
      </w:pPr>
      <w:r>
        <w:rPr>
          <w:rFonts w:ascii="Palatino Linotype" w:hAnsi="Palatino Linotype"/>
          <w:snapToGrid/>
          <w:sz w:val="22"/>
          <w:lang w:val="nl-NL"/>
        </w:rPr>
        <w:t>-</w:t>
      </w:r>
      <w:r>
        <w:rPr>
          <w:rFonts w:ascii="Palatino Linotype" w:hAnsi="Palatino Linotype"/>
          <w:snapToGrid/>
          <w:sz w:val="22"/>
          <w:lang w:val="nl-NL"/>
        </w:rPr>
        <w:tab/>
      </w:r>
      <w:r w:rsidR="00740B69" w:rsidRPr="00740B69">
        <w:rPr>
          <w:rFonts w:ascii="Palatino Linotype" w:hAnsi="Palatino Linotype"/>
          <w:snapToGrid/>
          <w:sz w:val="22"/>
          <w:lang w:val="nl-NL"/>
        </w:rPr>
        <w:t>dat er nadrukkelijke indicaties zijn dat het overgrote deel van het goud dat tegenwoordig in Venezuela wordt gewonnen, afkomstig is van illegale goudmijnen, of illegaal wordt gedolven, en onder omstandigheden van (</w:t>
      </w:r>
      <w:proofErr w:type="spellStart"/>
      <w:r w:rsidR="00740B69" w:rsidRPr="00740B69">
        <w:rPr>
          <w:rFonts w:ascii="Palatino Linotype" w:hAnsi="Palatino Linotype"/>
          <w:snapToGrid/>
          <w:sz w:val="22"/>
          <w:lang w:val="nl-NL"/>
        </w:rPr>
        <w:t>arbeids</w:t>
      </w:r>
      <w:proofErr w:type="spellEnd"/>
      <w:r w:rsidR="00740B69" w:rsidRPr="00740B69">
        <w:rPr>
          <w:rFonts w:ascii="Palatino Linotype" w:hAnsi="Palatino Linotype"/>
          <w:snapToGrid/>
          <w:sz w:val="22"/>
          <w:lang w:val="nl-NL"/>
        </w:rPr>
        <w:t>)uitbuiting wordt gewonnen;</w:t>
      </w:r>
      <w:r>
        <w:rPr>
          <w:rFonts w:ascii="Palatino Linotype" w:hAnsi="Palatino Linotype"/>
          <w:snapToGrid/>
          <w:sz w:val="22"/>
          <w:lang w:val="nl-NL"/>
        </w:rPr>
        <w:t xml:space="preserve"> </w:t>
      </w:r>
    </w:p>
    <w:p w:rsidR="00A15DBE" w:rsidRDefault="00740B69" w:rsidP="00BA63EF">
      <w:pPr>
        <w:widowControl/>
        <w:tabs>
          <w:tab w:val="left" w:pos="567"/>
        </w:tabs>
        <w:ind w:left="567" w:hanging="567"/>
        <w:jc w:val="both"/>
        <w:rPr>
          <w:rFonts w:ascii="Palatino Linotype" w:hAnsi="Palatino Linotype"/>
          <w:snapToGrid/>
          <w:sz w:val="22"/>
          <w:lang w:val="nl-NL"/>
        </w:rPr>
      </w:pPr>
      <w:r w:rsidRPr="00740B69">
        <w:rPr>
          <w:rFonts w:ascii="Palatino Linotype" w:hAnsi="Palatino Linotype"/>
          <w:snapToGrid/>
          <w:sz w:val="22"/>
          <w:lang w:val="nl-NL"/>
        </w:rPr>
        <w:t>-</w:t>
      </w:r>
      <w:r w:rsidRPr="00740B69">
        <w:rPr>
          <w:rFonts w:ascii="Palatino Linotype" w:hAnsi="Palatino Linotype"/>
          <w:snapToGrid/>
          <w:sz w:val="22"/>
          <w:lang w:val="nl-NL"/>
        </w:rPr>
        <w:tab/>
        <w:t>dat er indicaties zijn dat de handel in, en het transport van dat goud mogelijk gepaard gaan met diverse vormen van georganiseerde, grensoverschrijdende en ondermijnende criminaliteit;</w:t>
      </w:r>
    </w:p>
    <w:p w:rsidR="00A15DBE" w:rsidRDefault="00740B69" w:rsidP="00BA63EF">
      <w:pPr>
        <w:widowControl/>
        <w:tabs>
          <w:tab w:val="left" w:pos="567"/>
        </w:tabs>
        <w:ind w:left="567" w:hanging="567"/>
        <w:jc w:val="both"/>
        <w:rPr>
          <w:rFonts w:ascii="Palatino Linotype" w:hAnsi="Palatino Linotype"/>
          <w:snapToGrid/>
          <w:sz w:val="22"/>
          <w:lang w:val="nl-NL"/>
        </w:rPr>
      </w:pPr>
      <w:r w:rsidRPr="00740B69">
        <w:rPr>
          <w:rFonts w:ascii="Palatino Linotype" w:hAnsi="Palatino Linotype"/>
          <w:snapToGrid/>
          <w:sz w:val="22"/>
          <w:lang w:val="nl-NL"/>
        </w:rPr>
        <w:t>-</w:t>
      </w:r>
      <w:r w:rsidRPr="00740B69">
        <w:rPr>
          <w:rFonts w:ascii="Palatino Linotype" w:hAnsi="Palatino Linotype"/>
          <w:snapToGrid/>
          <w:sz w:val="22"/>
          <w:lang w:val="nl-NL"/>
        </w:rPr>
        <w:tab/>
        <w:t>dat een bilateraal douaneverdrag met Venezuela ontbreekt, waardoor de verificatie door douaneautoriteiten van de oorsprong, de herkomst en de bestemming van dat goud moeilijk, zo niet onmogelijk is;</w:t>
      </w:r>
    </w:p>
    <w:p w:rsidR="00A15DBE" w:rsidRDefault="00740B69" w:rsidP="00BA63EF">
      <w:pPr>
        <w:widowControl/>
        <w:tabs>
          <w:tab w:val="left" w:pos="567"/>
        </w:tabs>
        <w:ind w:left="567" w:hanging="567"/>
        <w:jc w:val="both"/>
        <w:rPr>
          <w:rFonts w:ascii="Palatino Linotype" w:hAnsi="Palatino Linotype"/>
          <w:snapToGrid/>
          <w:sz w:val="22"/>
          <w:lang w:val="nl-NL"/>
        </w:rPr>
      </w:pPr>
      <w:r w:rsidRPr="00740B69">
        <w:rPr>
          <w:rFonts w:ascii="Palatino Linotype" w:hAnsi="Palatino Linotype"/>
          <w:snapToGrid/>
          <w:sz w:val="22"/>
          <w:lang w:val="nl-NL"/>
        </w:rPr>
        <w:t>-</w:t>
      </w:r>
      <w:r w:rsidRPr="00740B69">
        <w:rPr>
          <w:rFonts w:ascii="Palatino Linotype" w:hAnsi="Palatino Linotype"/>
          <w:snapToGrid/>
          <w:sz w:val="22"/>
          <w:lang w:val="nl-NL"/>
        </w:rPr>
        <w:tab/>
        <w:t xml:space="preserve">dat bestuurlijke maatregelen dringend nodig zijn om de integriteits- en veiligheidsrisico’s gerelateerd aan de doorvoer van dat goud voor Curaçao te beperken; </w:t>
      </w:r>
    </w:p>
    <w:p w:rsidR="00A15DBE" w:rsidRDefault="00740B69" w:rsidP="00BA63EF">
      <w:pPr>
        <w:widowControl/>
        <w:tabs>
          <w:tab w:val="left" w:pos="567"/>
        </w:tabs>
        <w:ind w:left="567" w:hanging="567"/>
        <w:jc w:val="both"/>
        <w:rPr>
          <w:rFonts w:ascii="Palatino Linotype" w:hAnsi="Palatino Linotype"/>
          <w:snapToGrid/>
          <w:sz w:val="22"/>
          <w:lang w:val="nl-NL"/>
        </w:rPr>
      </w:pPr>
      <w:r w:rsidRPr="00740B69">
        <w:rPr>
          <w:rFonts w:ascii="Palatino Linotype" w:hAnsi="Palatino Linotype"/>
          <w:snapToGrid/>
          <w:sz w:val="22"/>
          <w:lang w:val="nl-NL"/>
        </w:rPr>
        <w:t>-</w:t>
      </w:r>
      <w:r w:rsidRPr="00740B69">
        <w:rPr>
          <w:rFonts w:ascii="Palatino Linotype" w:hAnsi="Palatino Linotype"/>
          <w:snapToGrid/>
          <w:sz w:val="22"/>
          <w:lang w:val="nl-NL"/>
        </w:rPr>
        <w:tab/>
        <w:t>dat tevens voorkomen dient te worden dat Curaçao op internationaal vlak reputatieschade lijdt, gerelateerd aan de handel in, en het transport van dat goud;</w:t>
      </w:r>
    </w:p>
    <w:p w:rsidR="00740B69" w:rsidRPr="00740B69" w:rsidRDefault="00740B69" w:rsidP="00BA63EF">
      <w:pPr>
        <w:widowControl/>
        <w:tabs>
          <w:tab w:val="left" w:pos="567"/>
        </w:tabs>
        <w:ind w:left="567" w:hanging="567"/>
        <w:jc w:val="both"/>
        <w:rPr>
          <w:rFonts w:ascii="Palatino Linotype" w:hAnsi="Palatino Linotype"/>
          <w:snapToGrid/>
          <w:sz w:val="22"/>
          <w:lang w:val="nl-NL"/>
        </w:rPr>
      </w:pPr>
      <w:r w:rsidRPr="00740B69">
        <w:rPr>
          <w:rFonts w:ascii="Palatino Linotype" w:hAnsi="Palatino Linotype"/>
          <w:snapToGrid/>
          <w:sz w:val="22"/>
          <w:lang w:val="nl-NL"/>
        </w:rPr>
        <w:t>-</w:t>
      </w:r>
      <w:r w:rsidRPr="00740B69">
        <w:rPr>
          <w:rFonts w:ascii="Palatino Linotype" w:hAnsi="Palatino Linotype"/>
          <w:snapToGrid/>
          <w:sz w:val="22"/>
          <w:lang w:val="nl-NL"/>
        </w:rPr>
        <w:tab/>
        <w:t>dat het gezien het bovenstaande, wenselijk is om in het belang van de inwendige en uitwendige veiligheid van Curaçao, regels vast te stellen ten aanzien van de invoer, uitvoer en doorvoer van goud van Venezolaanse oorsprong, herkomst of afkomst;</w:t>
      </w:r>
    </w:p>
    <w:p w:rsidR="00740B69" w:rsidRPr="00740B69" w:rsidRDefault="00740B69" w:rsidP="00BA63EF">
      <w:pPr>
        <w:keepNext/>
        <w:widowControl/>
        <w:ind w:left="567" w:hanging="567"/>
        <w:jc w:val="both"/>
        <w:outlineLvl w:val="0"/>
        <w:rPr>
          <w:rFonts w:ascii="Palatino Linotype" w:hAnsi="Palatino Linotype"/>
          <w:snapToGrid/>
          <w:sz w:val="22"/>
          <w:lang w:val="nl-NL"/>
        </w:rPr>
      </w:pPr>
      <w:r w:rsidRPr="00740B69">
        <w:rPr>
          <w:rFonts w:ascii="Palatino Linotype" w:hAnsi="Palatino Linotype"/>
          <w:snapToGrid/>
          <w:sz w:val="22"/>
          <w:lang w:val="nl-NL"/>
        </w:rPr>
        <w:lastRenderedPageBreak/>
        <w:t>-</w:t>
      </w:r>
      <w:r w:rsidRPr="00740B69">
        <w:rPr>
          <w:rFonts w:ascii="Palatino Linotype" w:hAnsi="Palatino Linotype"/>
          <w:snapToGrid/>
          <w:sz w:val="22"/>
          <w:lang w:val="nl-NL"/>
        </w:rPr>
        <w:tab/>
        <w:t xml:space="preserve">dat ingevolge artikel 4, tweede lid, van de Landsverordening In- en Uitvoer, de </w:t>
      </w:r>
      <w:proofErr w:type="spellStart"/>
      <w:r w:rsidRPr="00740B69">
        <w:rPr>
          <w:rFonts w:ascii="Palatino Linotype" w:hAnsi="Palatino Linotype"/>
          <w:snapToGrid/>
          <w:sz w:val="22"/>
          <w:lang w:val="nl-NL"/>
        </w:rPr>
        <w:t>Sociaal-Economische</w:t>
      </w:r>
      <w:proofErr w:type="spellEnd"/>
      <w:r w:rsidRPr="00740B69">
        <w:rPr>
          <w:rFonts w:ascii="Palatino Linotype" w:hAnsi="Palatino Linotype"/>
          <w:snapToGrid/>
          <w:sz w:val="22"/>
          <w:lang w:val="nl-NL"/>
        </w:rPr>
        <w:t xml:space="preserve"> Raad is gehoord;</w:t>
      </w:r>
    </w:p>
    <w:p w:rsidR="00740B69" w:rsidRPr="00740B69" w:rsidRDefault="00740B69" w:rsidP="00BA63EF">
      <w:pPr>
        <w:keepNext/>
        <w:widowControl/>
        <w:ind w:left="567" w:hanging="567"/>
        <w:jc w:val="both"/>
        <w:outlineLvl w:val="0"/>
        <w:rPr>
          <w:rFonts w:ascii="Palatino Linotype" w:hAnsi="Palatino Linotype"/>
          <w:snapToGrid/>
          <w:sz w:val="22"/>
          <w:szCs w:val="22"/>
          <w:lang w:val="nl-NL"/>
        </w:rPr>
      </w:pPr>
      <w:r w:rsidRPr="00740B69">
        <w:rPr>
          <w:rFonts w:ascii="Palatino Linotype" w:hAnsi="Palatino Linotype"/>
          <w:snapToGrid/>
          <w:sz w:val="22"/>
          <w:lang w:val="nl-NL"/>
        </w:rPr>
        <w:t>-</w:t>
      </w:r>
      <w:r w:rsidRPr="00740B69">
        <w:rPr>
          <w:rFonts w:ascii="Palatino Linotype" w:hAnsi="Palatino Linotype"/>
          <w:snapToGrid/>
          <w:sz w:val="22"/>
          <w:lang w:val="nl-NL"/>
        </w:rPr>
        <w:tab/>
        <w:t xml:space="preserve">dat dit landsbesluit ter uitvoering strekt van </w:t>
      </w:r>
      <w:r w:rsidRPr="00740B69">
        <w:rPr>
          <w:rFonts w:ascii="Palatino Linotype" w:hAnsi="Palatino Linotype"/>
          <w:snapToGrid/>
          <w:sz w:val="22"/>
          <w:szCs w:val="22"/>
          <w:lang w:val="nl-NL"/>
        </w:rPr>
        <w:t>artikel 4, eerste lid, en artikel 5, aanhef, onder a, van de Landsverordening In- en Uitvoer;</w:t>
      </w:r>
    </w:p>
    <w:p w:rsidR="00740B69" w:rsidRPr="00740B69" w:rsidRDefault="00740B69" w:rsidP="00BA63EF">
      <w:pPr>
        <w:widowControl/>
        <w:ind w:left="567" w:hanging="567"/>
        <w:jc w:val="both"/>
        <w:rPr>
          <w:rFonts w:ascii="Palatino Linotype" w:hAnsi="Palatino Linotype"/>
          <w:snapToGrid/>
          <w:sz w:val="22"/>
          <w:szCs w:val="22"/>
          <w:lang w:val="nl-NL"/>
        </w:rPr>
      </w:pPr>
      <w:r w:rsidRPr="00740B69">
        <w:rPr>
          <w:rFonts w:ascii="Palatino Linotype" w:hAnsi="Palatino Linotype"/>
          <w:snapToGrid/>
          <w:sz w:val="22"/>
          <w:szCs w:val="22"/>
          <w:lang w:val="nl-NL"/>
        </w:rPr>
        <w:t>-</w:t>
      </w:r>
      <w:r w:rsidRPr="00740B69">
        <w:rPr>
          <w:rFonts w:ascii="Palatino Linotype" w:hAnsi="Palatino Linotype"/>
          <w:snapToGrid/>
          <w:sz w:val="22"/>
          <w:szCs w:val="22"/>
          <w:lang w:val="nl-NL"/>
        </w:rPr>
        <w:tab/>
        <w:t>dat in artikel 146 van de Algemene Verordening I.U. en D 1908</w:t>
      </w:r>
      <w:r w:rsidRPr="00740B69">
        <w:rPr>
          <w:rFonts w:ascii="Palatino Linotype" w:hAnsi="Palatino Linotype"/>
          <w:snapToGrid/>
          <w:sz w:val="22"/>
          <w:szCs w:val="22"/>
          <w:vertAlign w:val="superscript"/>
          <w:lang w:val="nl-NL"/>
        </w:rPr>
        <w:footnoteReference w:id="2"/>
      </w:r>
      <w:r w:rsidRPr="00740B69">
        <w:rPr>
          <w:rFonts w:ascii="Palatino Linotype" w:hAnsi="Palatino Linotype"/>
          <w:snapToGrid/>
          <w:sz w:val="22"/>
          <w:szCs w:val="22"/>
          <w:lang w:val="nl-NL"/>
        </w:rPr>
        <w:t xml:space="preserve"> bepaald is dat de doorvoer slechts mag geschieden van goederen waarvan de invoer niet is verboden, behoudens uitzonderingen;</w:t>
      </w:r>
    </w:p>
    <w:p w:rsidR="00740B69" w:rsidRPr="00740B69" w:rsidRDefault="00740B69" w:rsidP="00740B69">
      <w:pPr>
        <w:widowControl/>
        <w:rPr>
          <w:rFonts w:ascii="Palatino Linotype" w:hAnsi="Palatino Linotype"/>
          <w:snapToGrid/>
          <w:sz w:val="22"/>
          <w:szCs w:val="22"/>
          <w:lang w:val="nl-NL"/>
        </w:rPr>
      </w:pPr>
    </w:p>
    <w:p w:rsidR="00740B69" w:rsidRPr="00740B69" w:rsidRDefault="00740B69" w:rsidP="00740B69">
      <w:pPr>
        <w:widowControl/>
        <w:rPr>
          <w:rFonts w:ascii="Palatino Linotype" w:hAnsi="Palatino Linotype"/>
          <w:snapToGrid/>
          <w:sz w:val="22"/>
          <w:szCs w:val="22"/>
          <w:lang w:val="nl-NL"/>
        </w:rPr>
      </w:pPr>
      <w:r w:rsidRPr="00740B69" w:rsidDel="008B31FA">
        <w:rPr>
          <w:rFonts w:ascii="Palatino Linotype" w:hAnsi="Palatino Linotype"/>
          <w:snapToGrid/>
          <w:sz w:val="22"/>
          <w:szCs w:val="22"/>
          <w:lang w:val="nl-NL"/>
        </w:rPr>
        <w:t xml:space="preserve"> </w:t>
      </w:r>
    </w:p>
    <w:p w:rsidR="00740B69" w:rsidRPr="00740B69" w:rsidRDefault="00740B69" w:rsidP="00740B69">
      <w:pPr>
        <w:widowControl/>
        <w:rPr>
          <w:rFonts w:ascii="Palatino Linotype" w:hAnsi="Palatino Linotype"/>
          <w:snapToGrid/>
          <w:sz w:val="22"/>
          <w:szCs w:val="22"/>
          <w:lang w:val="nl-NL"/>
        </w:rPr>
      </w:pPr>
      <w:r w:rsidRPr="00740B69">
        <w:rPr>
          <w:rFonts w:ascii="Palatino Linotype" w:hAnsi="Palatino Linotype"/>
          <w:snapToGrid/>
          <w:sz w:val="22"/>
          <w:szCs w:val="22"/>
          <w:lang w:val="nl-NL"/>
        </w:rPr>
        <w:t>Heeft, de Raad van Advies gehoord, besloten:</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tabs>
          <w:tab w:val="left" w:pos="3648"/>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ab/>
        <w:t>Artikel 1</w:t>
      </w:r>
    </w:p>
    <w:p w:rsidR="00740B69" w:rsidRPr="00740B69" w:rsidRDefault="00740B69" w:rsidP="00740B69">
      <w:pPr>
        <w:widowControl/>
        <w:jc w:val="center"/>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In dit landsbesluit en de daarop berustende bepalingen wordt verstaan onder: </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ind w:left="2160" w:hanging="2160"/>
        <w:jc w:val="both"/>
        <w:rPr>
          <w:rFonts w:ascii="Palatino Linotype" w:hAnsi="Palatino Linotype"/>
          <w:snapToGrid/>
          <w:sz w:val="22"/>
          <w:szCs w:val="22"/>
          <w:lang w:val="nl-NL"/>
        </w:rPr>
      </w:pPr>
      <w:r w:rsidRPr="00740B69">
        <w:rPr>
          <w:rFonts w:ascii="Palatino Linotype" w:hAnsi="Palatino Linotype"/>
          <w:snapToGrid/>
          <w:sz w:val="22"/>
          <w:szCs w:val="22"/>
          <w:lang w:val="nl-NL"/>
        </w:rPr>
        <w:t>doorvoer</w:t>
      </w:r>
      <w:proofErr w:type="gramStart"/>
      <w:r w:rsidRPr="00740B69">
        <w:rPr>
          <w:rFonts w:ascii="Palatino Linotype" w:hAnsi="Palatino Linotype"/>
          <w:snapToGrid/>
          <w:sz w:val="22"/>
          <w:szCs w:val="22"/>
          <w:lang w:val="nl-NL"/>
        </w:rPr>
        <w:t>:</w:t>
      </w:r>
      <w:r w:rsidRPr="00740B69">
        <w:rPr>
          <w:rFonts w:ascii="Palatino Linotype" w:hAnsi="Palatino Linotype"/>
          <w:snapToGrid/>
          <w:sz w:val="22"/>
          <w:szCs w:val="22"/>
          <w:lang w:val="nl-NL"/>
        </w:rPr>
        <w:tab/>
        <w:t>doorvoer</w:t>
      </w:r>
      <w:proofErr w:type="gramEnd"/>
      <w:r w:rsidRPr="00740B69">
        <w:rPr>
          <w:rFonts w:ascii="Palatino Linotype" w:hAnsi="Palatino Linotype"/>
          <w:snapToGrid/>
          <w:sz w:val="22"/>
          <w:szCs w:val="22"/>
          <w:lang w:val="nl-NL"/>
        </w:rPr>
        <w:t xml:space="preserve"> van goederen </w:t>
      </w:r>
      <w:r w:rsidRPr="00D00DE0">
        <w:rPr>
          <w:rFonts w:ascii="Palatino Linotype" w:hAnsi="Palatino Linotype"/>
          <w:snapToGrid/>
          <w:sz w:val="22"/>
          <w:szCs w:val="22"/>
          <w:lang w:val="nl-NL"/>
        </w:rPr>
        <w:t>z</w:t>
      </w:r>
      <w:r w:rsidRPr="00740B69">
        <w:rPr>
          <w:rFonts w:ascii="Palatino Linotype" w:hAnsi="Palatino Linotype"/>
          <w:snapToGrid/>
          <w:sz w:val="22"/>
          <w:szCs w:val="22"/>
          <w:lang w:val="nl-NL"/>
        </w:rPr>
        <w:t>oals bedoeld in artikel 144 van de Algemene Verordening I.U. en D. 1908;</w:t>
      </w:r>
    </w:p>
    <w:p w:rsidR="00740B69" w:rsidRPr="00740B69" w:rsidRDefault="00740B69" w:rsidP="00740B69">
      <w:pPr>
        <w:widowControl/>
        <w:ind w:left="2160" w:hanging="2160"/>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goud van </w:t>
      </w:r>
      <w:proofErr w:type="spellStart"/>
      <w:r w:rsidRPr="00740B69">
        <w:rPr>
          <w:rFonts w:ascii="Palatino Linotype" w:hAnsi="Palatino Linotype"/>
          <w:snapToGrid/>
          <w:sz w:val="22"/>
          <w:szCs w:val="22"/>
          <w:lang w:val="nl-NL"/>
        </w:rPr>
        <w:t>Venezo</w:t>
      </w:r>
      <w:proofErr w:type="spellEnd"/>
      <w:r w:rsidRPr="00740B69">
        <w:rPr>
          <w:rFonts w:ascii="Palatino Linotype" w:hAnsi="Palatino Linotype"/>
          <w:snapToGrid/>
          <w:sz w:val="22"/>
          <w:szCs w:val="22"/>
          <w:lang w:val="nl-NL"/>
        </w:rPr>
        <w:t>-</w:t>
      </w:r>
      <w:bookmarkStart w:id="0" w:name="_GoBack"/>
      <w:bookmarkEnd w:id="0"/>
    </w:p>
    <w:p w:rsidR="00740B69" w:rsidRPr="00740B69" w:rsidRDefault="00740B69" w:rsidP="00740B69">
      <w:pPr>
        <w:widowControl/>
        <w:jc w:val="both"/>
        <w:rPr>
          <w:rFonts w:ascii="Palatino Linotype" w:hAnsi="Palatino Linotype"/>
          <w:snapToGrid/>
          <w:sz w:val="22"/>
          <w:szCs w:val="22"/>
          <w:lang w:val="nl-NL"/>
        </w:rPr>
      </w:pPr>
      <w:proofErr w:type="spellStart"/>
      <w:r w:rsidRPr="00740B69">
        <w:rPr>
          <w:rFonts w:ascii="Palatino Linotype" w:hAnsi="Palatino Linotype"/>
          <w:snapToGrid/>
          <w:sz w:val="22"/>
          <w:szCs w:val="22"/>
          <w:lang w:val="nl-NL"/>
        </w:rPr>
        <w:t>laanse</w:t>
      </w:r>
      <w:proofErr w:type="spellEnd"/>
      <w:r w:rsidRPr="00740B69">
        <w:rPr>
          <w:rFonts w:ascii="Palatino Linotype" w:hAnsi="Palatino Linotype"/>
          <w:snapToGrid/>
          <w:sz w:val="22"/>
          <w:szCs w:val="22"/>
          <w:lang w:val="nl-NL"/>
        </w:rPr>
        <w:t xml:space="preserve"> oorsprong, </w:t>
      </w:r>
    </w:p>
    <w:p w:rsidR="00740B69" w:rsidRPr="00740B69" w:rsidRDefault="00740B69" w:rsidP="00740B69">
      <w:pPr>
        <w:widowControl/>
        <w:ind w:left="2160" w:hanging="2160"/>
        <w:jc w:val="both"/>
        <w:rPr>
          <w:rFonts w:ascii="Palatino Linotype" w:hAnsi="Palatino Linotype"/>
          <w:snapToGrid/>
          <w:sz w:val="22"/>
          <w:szCs w:val="22"/>
          <w:lang w:val="nl-NL"/>
        </w:rPr>
      </w:pPr>
      <w:r w:rsidRPr="00740B69">
        <w:rPr>
          <w:rFonts w:ascii="Palatino Linotype" w:hAnsi="Palatino Linotype"/>
          <w:snapToGrid/>
          <w:sz w:val="22"/>
          <w:szCs w:val="22"/>
          <w:lang w:val="nl-NL"/>
        </w:rPr>
        <w:t>herkomst of afkomst</w:t>
      </w:r>
      <w:proofErr w:type="gramStart"/>
      <w:r w:rsidRPr="00740B69">
        <w:rPr>
          <w:rFonts w:ascii="Palatino Linotype" w:hAnsi="Palatino Linotype"/>
          <w:snapToGrid/>
          <w:sz w:val="22"/>
          <w:szCs w:val="22"/>
          <w:lang w:val="nl-NL"/>
        </w:rPr>
        <w:t>:</w:t>
      </w:r>
      <w:r w:rsidRPr="00740B69">
        <w:rPr>
          <w:rFonts w:ascii="Palatino Linotype" w:hAnsi="Palatino Linotype"/>
          <w:snapToGrid/>
          <w:sz w:val="22"/>
          <w:szCs w:val="22"/>
          <w:lang w:val="nl-NL"/>
        </w:rPr>
        <w:tab/>
        <w:t>onbewerkt</w:t>
      </w:r>
      <w:proofErr w:type="gramEnd"/>
      <w:r w:rsidRPr="00740B69">
        <w:rPr>
          <w:rFonts w:ascii="Palatino Linotype" w:hAnsi="Palatino Linotype"/>
          <w:snapToGrid/>
          <w:sz w:val="22"/>
          <w:szCs w:val="22"/>
          <w:lang w:val="nl-NL"/>
        </w:rPr>
        <w:t xml:space="preserve"> of </w:t>
      </w:r>
      <w:proofErr w:type="spellStart"/>
      <w:r w:rsidRPr="00740B69">
        <w:rPr>
          <w:rFonts w:ascii="Palatino Linotype" w:hAnsi="Palatino Linotype"/>
          <w:snapToGrid/>
          <w:sz w:val="22"/>
          <w:szCs w:val="22"/>
          <w:lang w:val="nl-NL"/>
        </w:rPr>
        <w:t>halfbewerkt</w:t>
      </w:r>
      <w:proofErr w:type="spellEnd"/>
      <w:r w:rsidRPr="00740B69">
        <w:rPr>
          <w:rFonts w:ascii="Palatino Linotype" w:hAnsi="Palatino Linotype"/>
          <w:snapToGrid/>
          <w:sz w:val="22"/>
          <w:szCs w:val="22"/>
          <w:lang w:val="nl-NL"/>
        </w:rPr>
        <w:t xml:space="preserve"> goud, in welke verschijningsvorm dan ook, welke gewonnen is op het grondgebied van de </w:t>
      </w:r>
      <w:proofErr w:type="spellStart"/>
      <w:r w:rsidRPr="00740B69">
        <w:rPr>
          <w:rFonts w:ascii="Palatino Linotype" w:hAnsi="Palatino Linotype"/>
          <w:snapToGrid/>
          <w:sz w:val="22"/>
          <w:szCs w:val="22"/>
          <w:lang w:val="nl-NL"/>
        </w:rPr>
        <w:t>Bolivariaanse</w:t>
      </w:r>
      <w:proofErr w:type="spellEnd"/>
      <w:r w:rsidRPr="00740B69">
        <w:rPr>
          <w:rFonts w:ascii="Palatino Linotype" w:hAnsi="Palatino Linotype"/>
          <w:snapToGrid/>
          <w:sz w:val="22"/>
          <w:szCs w:val="22"/>
          <w:lang w:val="nl-NL"/>
        </w:rPr>
        <w:t xml:space="preserve"> Republiek Venezuela of welke vanuit dat grondgebied - al dan niet rechtstreeks - naar Curaçao verscheept is, of welke anderszins afkomstig is uit de </w:t>
      </w:r>
      <w:proofErr w:type="spellStart"/>
      <w:r w:rsidRPr="00740B69">
        <w:rPr>
          <w:rFonts w:ascii="Palatino Linotype" w:hAnsi="Palatino Linotype"/>
          <w:snapToGrid/>
          <w:sz w:val="22"/>
          <w:szCs w:val="22"/>
          <w:lang w:val="nl-NL"/>
        </w:rPr>
        <w:t>Bolivariaanse</w:t>
      </w:r>
      <w:proofErr w:type="spellEnd"/>
      <w:r w:rsidRPr="00740B69">
        <w:rPr>
          <w:rFonts w:ascii="Palatino Linotype" w:hAnsi="Palatino Linotype"/>
          <w:snapToGrid/>
          <w:sz w:val="22"/>
          <w:szCs w:val="22"/>
          <w:lang w:val="nl-NL"/>
        </w:rPr>
        <w:t xml:space="preserve"> Republiek Venezuela;</w:t>
      </w:r>
    </w:p>
    <w:p w:rsidR="00740B69" w:rsidRPr="00740B69" w:rsidRDefault="00740B69" w:rsidP="00740B69">
      <w:pPr>
        <w:widowControl/>
        <w:ind w:left="2160"/>
        <w:jc w:val="both"/>
        <w:rPr>
          <w:rFonts w:ascii="Palatino Linotype" w:hAnsi="Palatino Linotype"/>
          <w:snapToGrid/>
          <w:sz w:val="22"/>
          <w:szCs w:val="22"/>
          <w:lang w:val="nl-NL"/>
        </w:rPr>
      </w:pPr>
    </w:p>
    <w:p w:rsidR="00740B69" w:rsidRPr="00740B69" w:rsidRDefault="00740B69" w:rsidP="00740B69">
      <w:pPr>
        <w:widowControl/>
        <w:ind w:left="2160" w:hanging="2160"/>
        <w:jc w:val="both"/>
        <w:rPr>
          <w:rFonts w:ascii="Palatino Linotype" w:hAnsi="Palatino Linotype"/>
          <w:snapToGrid/>
          <w:sz w:val="22"/>
          <w:szCs w:val="22"/>
          <w:lang w:val="nl-NL"/>
        </w:rPr>
      </w:pPr>
      <w:r w:rsidRPr="00740B69">
        <w:rPr>
          <w:rFonts w:ascii="Palatino Linotype" w:hAnsi="Palatino Linotype"/>
          <w:snapToGrid/>
          <w:sz w:val="22"/>
          <w:szCs w:val="22"/>
          <w:lang w:val="nl-NL"/>
        </w:rPr>
        <w:t>minister</w:t>
      </w:r>
      <w:proofErr w:type="gramStart"/>
      <w:r w:rsidRPr="00740B69">
        <w:rPr>
          <w:rFonts w:ascii="Palatino Linotype" w:hAnsi="Palatino Linotype"/>
          <w:snapToGrid/>
          <w:sz w:val="22"/>
          <w:szCs w:val="22"/>
          <w:lang w:val="nl-NL"/>
        </w:rPr>
        <w:t>:</w:t>
      </w:r>
      <w:r w:rsidRPr="00740B69">
        <w:rPr>
          <w:rFonts w:ascii="Palatino Linotype" w:hAnsi="Palatino Linotype"/>
          <w:snapToGrid/>
          <w:sz w:val="22"/>
          <w:szCs w:val="22"/>
          <w:lang w:val="nl-NL"/>
        </w:rPr>
        <w:tab/>
        <w:t>de</w:t>
      </w:r>
      <w:proofErr w:type="gramEnd"/>
      <w:r w:rsidRPr="00740B69">
        <w:rPr>
          <w:rFonts w:ascii="Palatino Linotype" w:hAnsi="Palatino Linotype"/>
          <w:snapToGrid/>
          <w:sz w:val="22"/>
          <w:szCs w:val="22"/>
          <w:lang w:val="nl-NL"/>
        </w:rPr>
        <w:t xml:space="preserve"> Minister van Economische Ontwikkeling.</w:t>
      </w:r>
    </w:p>
    <w:p w:rsidR="00740B69" w:rsidRPr="00740B69" w:rsidRDefault="00740B69" w:rsidP="00740B69">
      <w:pPr>
        <w:widowControl/>
        <w:ind w:left="2160" w:hanging="2160"/>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 </w:t>
      </w:r>
      <w:r w:rsidRPr="00740B69">
        <w:rPr>
          <w:rFonts w:ascii="Palatino Linotype" w:hAnsi="Palatino Linotype"/>
          <w:snapToGrid/>
          <w:sz w:val="22"/>
          <w:szCs w:val="22"/>
          <w:lang w:val="nl-NL"/>
        </w:rPr>
        <w:tab/>
      </w:r>
    </w:p>
    <w:p w:rsidR="00740B69" w:rsidRPr="00740B69" w:rsidRDefault="00740B69" w:rsidP="00740B69">
      <w:pPr>
        <w:widowControl/>
        <w:ind w:left="2880" w:hanging="2880"/>
        <w:jc w:val="center"/>
        <w:rPr>
          <w:rFonts w:ascii="Palatino Linotype" w:hAnsi="Palatino Linotype"/>
          <w:snapToGrid/>
          <w:sz w:val="22"/>
          <w:szCs w:val="22"/>
          <w:lang w:val="nl-NL"/>
        </w:rPr>
      </w:pPr>
      <w:r w:rsidRPr="00740B69">
        <w:rPr>
          <w:rFonts w:ascii="Palatino Linotype" w:hAnsi="Palatino Linotype"/>
          <w:snapToGrid/>
          <w:sz w:val="22"/>
          <w:szCs w:val="22"/>
          <w:lang w:val="nl-NL"/>
        </w:rPr>
        <w:t>Artikel 2</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0033D2">
      <w:pPr>
        <w:widowControl/>
        <w:numPr>
          <w:ilvl w:val="0"/>
          <w:numId w:val="4"/>
        </w:numPr>
        <w:ind w:left="284" w:hanging="284"/>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Het is verboden goud van Venezolaanse oorsprong, herkomst of afkomst in- of uit te voeren.</w:t>
      </w:r>
    </w:p>
    <w:p w:rsidR="00740B69" w:rsidRPr="00740B69" w:rsidRDefault="00740B69" w:rsidP="000033D2">
      <w:pPr>
        <w:widowControl/>
        <w:numPr>
          <w:ilvl w:val="0"/>
          <w:numId w:val="4"/>
        </w:numPr>
        <w:ind w:left="284" w:hanging="284"/>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De minister kan ontheffing verlenen van het in het eerste lid bedoelde verbod.</w:t>
      </w:r>
    </w:p>
    <w:p w:rsidR="00740B69" w:rsidRPr="00740B69" w:rsidRDefault="00740B69" w:rsidP="000033D2">
      <w:pPr>
        <w:widowControl/>
        <w:numPr>
          <w:ilvl w:val="0"/>
          <w:numId w:val="4"/>
        </w:numPr>
        <w:ind w:left="284" w:hanging="284"/>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De minister kan tevens ontheffing verlenen voor de doorvoer van goud van Venezolaanse oorsprong, herkomst of afkomst, indien hij ontheffing heeft verleend voor de invoer daarvan.</w:t>
      </w:r>
    </w:p>
    <w:p w:rsidR="00740B69" w:rsidRPr="00740B69" w:rsidRDefault="00740B69" w:rsidP="00740B69">
      <w:pPr>
        <w:widowControl/>
        <w:ind w:left="1080"/>
        <w:jc w:val="both"/>
        <w:rPr>
          <w:rFonts w:ascii="Palatino Linotype" w:hAnsi="Palatino Linotype"/>
          <w:snapToGrid/>
          <w:sz w:val="22"/>
          <w:szCs w:val="22"/>
          <w:lang w:val="nl-NL"/>
        </w:rPr>
      </w:pPr>
    </w:p>
    <w:p w:rsidR="00740B69" w:rsidRPr="00740B69" w:rsidRDefault="00740B69" w:rsidP="00740B69">
      <w:pPr>
        <w:widowControl/>
        <w:jc w:val="center"/>
        <w:rPr>
          <w:rFonts w:ascii="Palatino Linotype" w:hAnsi="Palatino Linotype"/>
          <w:snapToGrid/>
          <w:sz w:val="22"/>
          <w:szCs w:val="22"/>
          <w:lang w:val="nl-NL"/>
        </w:rPr>
      </w:pPr>
      <w:r w:rsidRPr="00740B69">
        <w:rPr>
          <w:rFonts w:ascii="Palatino Linotype" w:hAnsi="Palatino Linotype"/>
          <w:snapToGrid/>
          <w:sz w:val="22"/>
          <w:szCs w:val="22"/>
          <w:lang w:val="nl-NL"/>
        </w:rPr>
        <w:t>Artikel 3</w:t>
      </w:r>
    </w:p>
    <w:p w:rsidR="00740B69" w:rsidRPr="00740B69" w:rsidRDefault="00740B69" w:rsidP="00740B69">
      <w:pPr>
        <w:widowControl/>
        <w:jc w:val="both"/>
        <w:rPr>
          <w:rFonts w:ascii="Palatino Linotype" w:hAnsi="Palatino Linotype"/>
          <w:i/>
          <w:snapToGrid/>
          <w:sz w:val="22"/>
          <w:szCs w:val="22"/>
          <w:lang w:val="nl-NL"/>
        </w:rPr>
      </w:pPr>
    </w:p>
    <w:p w:rsidR="00740B69" w:rsidRPr="00740B69" w:rsidRDefault="00740B69" w:rsidP="000033D2">
      <w:pPr>
        <w:widowControl/>
        <w:numPr>
          <w:ilvl w:val="0"/>
          <w:numId w:val="1"/>
        </w:numPr>
        <w:jc w:val="both"/>
        <w:rPr>
          <w:rFonts w:ascii="Palatino Linotype" w:hAnsi="Palatino Linotype"/>
          <w:snapToGrid/>
          <w:sz w:val="22"/>
          <w:szCs w:val="22"/>
          <w:lang w:val="nl-NL"/>
        </w:rPr>
      </w:pPr>
      <w:r w:rsidRPr="00740B69">
        <w:rPr>
          <w:rFonts w:ascii="Palatino Linotype" w:hAnsi="Palatino Linotype"/>
          <w:snapToGrid/>
          <w:sz w:val="22"/>
          <w:szCs w:val="22"/>
          <w:lang w:val="nl-NL"/>
        </w:rPr>
        <w:t>Ontheffing voor de invoer, uitvoer of doorvoer van goud van Venezolaanse oorsprong, herkomst of afkomst, wordt schriftelijk bij de minister aangevraagd.</w:t>
      </w:r>
    </w:p>
    <w:p w:rsidR="00740B69" w:rsidRPr="00740B69" w:rsidRDefault="00740B69" w:rsidP="000033D2">
      <w:pPr>
        <w:widowControl/>
        <w:numPr>
          <w:ilvl w:val="0"/>
          <w:numId w:val="1"/>
        </w:numPr>
        <w:jc w:val="both"/>
        <w:rPr>
          <w:rFonts w:ascii="Palatino Linotype" w:hAnsi="Palatino Linotype"/>
          <w:snapToGrid/>
          <w:sz w:val="22"/>
          <w:szCs w:val="22"/>
          <w:lang w:val="nl-NL"/>
        </w:rPr>
      </w:pPr>
      <w:r w:rsidRPr="00740B69">
        <w:rPr>
          <w:rFonts w:ascii="Palatino Linotype" w:hAnsi="Palatino Linotype"/>
          <w:snapToGrid/>
          <w:sz w:val="22"/>
          <w:szCs w:val="22"/>
          <w:lang w:val="nl-NL"/>
        </w:rPr>
        <w:t>Voor de behandeling van een aanvraag tot ontheffing is een tarief verschuldigd. Dat tarief wordt bij landsbesluit, houdende algemene maatregelen, vastgesteld.</w:t>
      </w:r>
    </w:p>
    <w:p w:rsidR="00740B69" w:rsidRPr="00740B69" w:rsidRDefault="00740B69" w:rsidP="000033D2">
      <w:pPr>
        <w:widowControl/>
        <w:numPr>
          <w:ilvl w:val="0"/>
          <w:numId w:val="1"/>
        </w:numPr>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aanvraag tot ontheffing bevat </w:t>
      </w:r>
      <w:proofErr w:type="gramStart"/>
      <w:r w:rsidRPr="00740B69">
        <w:rPr>
          <w:rFonts w:ascii="Palatino Linotype" w:hAnsi="Palatino Linotype"/>
          <w:snapToGrid/>
          <w:sz w:val="22"/>
          <w:szCs w:val="22"/>
          <w:lang w:val="nl-NL"/>
        </w:rPr>
        <w:t>tenminste</w:t>
      </w:r>
      <w:proofErr w:type="gramEnd"/>
      <w:r w:rsidRPr="00740B69">
        <w:rPr>
          <w:rFonts w:ascii="Palatino Linotype" w:hAnsi="Palatino Linotype"/>
          <w:snapToGrid/>
          <w:sz w:val="22"/>
          <w:szCs w:val="22"/>
          <w:lang w:val="nl-NL"/>
        </w:rPr>
        <w:t xml:space="preserve"> de volgende informatie en bescheiden:</w:t>
      </w:r>
    </w:p>
    <w:p w:rsidR="00740B69" w:rsidRPr="00740B69" w:rsidRDefault="00740B69" w:rsidP="000033D2">
      <w:pPr>
        <w:widowControl/>
        <w:numPr>
          <w:ilvl w:val="0"/>
          <w:numId w:val="2"/>
        </w:numPr>
        <w:tabs>
          <w:tab w:val="left" w:pos="709"/>
        </w:tabs>
        <w:ind w:left="709"/>
        <w:jc w:val="both"/>
        <w:rPr>
          <w:rFonts w:ascii="Palatino Linotype" w:hAnsi="Palatino Linotype"/>
          <w:snapToGrid/>
          <w:sz w:val="22"/>
          <w:szCs w:val="22"/>
          <w:lang w:val="nl-NL"/>
        </w:rPr>
      </w:pPr>
      <w:r w:rsidRPr="00740B69">
        <w:rPr>
          <w:rFonts w:ascii="Palatino Linotype" w:hAnsi="Palatino Linotype"/>
          <w:snapToGrid/>
          <w:sz w:val="22"/>
          <w:szCs w:val="22"/>
          <w:lang w:val="nl-NL"/>
        </w:rPr>
        <w:t>de oorsprong, herkomst of afkomst, de geschatte hoeveelheid en de</w:t>
      </w:r>
    </w:p>
    <w:p w:rsidR="00740B69" w:rsidRPr="00740B69" w:rsidRDefault="00740B69" w:rsidP="00740B69">
      <w:pPr>
        <w:widowControl/>
        <w:tabs>
          <w:tab w:val="left" w:pos="709"/>
        </w:tabs>
        <w:ind w:left="709"/>
        <w:jc w:val="both"/>
        <w:rPr>
          <w:rFonts w:ascii="Palatino Linotype" w:hAnsi="Palatino Linotype"/>
          <w:snapToGrid/>
          <w:sz w:val="22"/>
          <w:szCs w:val="22"/>
          <w:lang w:val="nl-NL"/>
        </w:rPr>
      </w:pPr>
      <w:r w:rsidRPr="00740B69">
        <w:rPr>
          <w:rFonts w:ascii="Palatino Linotype" w:hAnsi="Palatino Linotype"/>
          <w:snapToGrid/>
          <w:sz w:val="22"/>
          <w:szCs w:val="22"/>
          <w:lang w:val="nl-NL"/>
        </w:rPr>
        <w:lastRenderedPageBreak/>
        <w:t>hoedanigheid van het in-, uit, of door te voeren goud;</w:t>
      </w:r>
    </w:p>
    <w:p w:rsidR="00740B69" w:rsidRPr="00740B69" w:rsidRDefault="00740B69" w:rsidP="000033D2">
      <w:pPr>
        <w:widowControl/>
        <w:numPr>
          <w:ilvl w:val="0"/>
          <w:numId w:val="2"/>
        </w:numPr>
        <w:tabs>
          <w:tab w:val="left" w:pos="709"/>
        </w:tabs>
        <w:ind w:left="709"/>
        <w:jc w:val="both"/>
        <w:rPr>
          <w:rFonts w:ascii="Palatino Linotype" w:hAnsi="Palatino Linotype"/>
          <w:snapToGrid/>
          <w:sz w:val="22"/>
          <w:szCs w:val="22"/>
          <w:lang w:val="nl-NL"/>
        </w:rPr>
      </w:pPr>
      <w:r w:rsidRPr="00740B69">
        <w:rPr>
          <w:rFonts w:ascii="Palatino Linotype" w:hAnsi="Palatino Linotype"/>
          <w:snapToGrid/>
          <w:sz w:val="22"/>
          <w:szCs w:val="22"/>
          <w:lang w:val="nl-NL"/>
        </w:rPr>
        <w:t>het doel van de invoer, uitvoer, dan wel doorvoer van het goud;</w:t>
      </w:r>
    </w:p>
    <w:p w:rsidR="00740B69" w:rsidRPr="00740B69" w:rsidRDefault="00740B69" w:rsidP="000033D2">
      <w:pPr>
        <w:widowControl/>
        <w:numPr>
          <w:ilvl w:val="0"/>
          <w:numId w:val="2"/>
        </w:numPr>
        <w:tabs>
          <w:tab w:val="left" w:pos="709"/>
        </w:tabs>
        <w:ind w:left="709"/>
        <w:jc w:val="both"/>
        <w:rPr>
          <w:rFonts w:ascii="Palatino Linotype" w:hAnsi="Palatino Linotype"/>
          <w:snapToGrid/>
          <w:sz w:val="22"/>
          <w:szCs w:val="22"/>
          <w:lang w:val="nl-NL"/>
        </w:rPr>
      </w:pPr>
      <w:r w:rsidRPr="00740B69">
        <w:rPr>
          <w:rFonts w:ascii="Palatino Linotype" w:hAnsi="Palatino Linotype"/>
          <w:snapToGrid/>
          <w:sz w:val="22"/>
          <w:szCs w:val="22"/>
          <w:lang w:val="nl-NL"/>
        </w:rPr>
        <w:t>de bestemming van het uit- of door te voeren goud;</w:t>
      </w:r>
    </w:p>
    <w:p w:rsidR="00740B69" w:rsidRPr="00740B69" w:rsidRDefault="00740B69" w:rsidP="000033D2">
      <w:pPr>
        <w:widowControl/>
        <w:numPr>
          <w:ilvl w:val="0"/>
          <w:numId w:val="2"/>
        </w:numPr>
        <w:tabs>
          <w:tab w:val="left" w:pos="709"/>
        </w:tabs>
        <w:ind w:left="709"/>
        <w:jc w:val="both"/>
        <w:rPr>
          <w:rFonts w:ascii="Palatino Linotype" w:hAnsi="Palatino Linotype"/>
          <w:snapToGrid/>
          <w:sz w:val="22"/>
          <w:szCs w:val="22"/>
          <w:lang w:val="nl-NL"/>
        </w:rPr>
      </w:pPr>
      <w:r w:rsidRPr="00740B69">
        <w:rPr>
          <w:rFonts w:ascii="Palatino Linotype" w:hAnsi="Palatino Linotype"/>
          <w:snapToGrid/>
          <w:sz w:val="22"/>
          <w:szCs w:val="22"/>
          <w:lang w:val="nl-NL"/>
        </w:rPr>
        <w:t>de verwachte periode en daarin de verwachte frequentie van de invoer, uitvoer dan wel doorvoer van goud;</w:t>
      </w:r>
    </w:p>
    <w:p w:rsidR="00740B69" w:rsidRPr="00740B69" w:rsidRDefault="00740B69" w:rsidP="000033D2">
      <w:pPr>
        <w:widowControl/>
        <w:numPr>
          <w:ilvl w:val="0"/>
          <w:numId w:val="2"/>
        </w:numPr>
        <w:tabs>
          <w:tab w:val="left" w:pos="709"/>
        </w:tabs>
        <w:ind w:left="709"/>
        <w:jc w:val="both"/>
        <w:rPr>
          <w:rFonts w:ascii="Palatino Linotype" w:hAnsi="Palatino Linotype"/>
          <w:snapToGrid/>
          <w:sz w:val="22"/>
          <w:szCs w:val="22"/>
          <w:lang w:val="nl-NL"/>
        </w:rPr>
      </w:pPr>
      <w:r w:rsidRPr="00740B69">
        <w:rPr>
          <w:rFonts w:ascii="Palatino Linotype" w:hAnsi="Palatino Linotype"/>
          <w:snapToGrid/>
          <w:sz w:val="22"/>
          <w:szCs w:val="22"/>
          <w:lang w:val="nl-NL"/>
        </w:rPr>
        <w:t>een betalingsbewijs van het tarief voor de behandeling van de aanvraag.</w:t>
      </w:r>
    </w:p>
    <w:p w:rsidR="00740B69" w:rsidRPr="00740B69" w:rsidRDefault="00740B69" w:rsidP="000033D2">
      <w:pPr>
        <w:widowControl/>
        <w:numPr>
          <w:ilvl w:val="0"/>
          <w:numId w:val="1"/>
        </w:numPr>
        <w:tabs>
          <w:tab w:val="left" w:pos="709"/>
        </w:tabs>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Bij ministeriële regeling met algemene werking kan de minister, handelende in overeenstemming met de Minister van Financiën, bepalen dat bij de aanvraag tevens informatie verstrekt en bescheiden overgelegd worden, ten behoeve van een beoordeling conform internationaal erkende ‘</w:t>
      </w:r>
      <w:proofErr w:type="spellStart"/>
      <w:r w:rsidRPr="00740B69">
        <w:rPr>
          <w:rFonts w:ascii="Palatino Linotype" w:hAnsi="Palatino Linotype"/>
          <w:snapToGrid/>
          <w:sz w:val="22"/>
          <w:szCs w:val="22"/>
          <w:lang w:val="nl-NL"/>
        </w:rPr>
        <w:t>due</w:t>
      </w:r>
      <w:proofErr w:type="spellEnd"/>
      <w:r w:rsidRPr="00740B69">
        <w:rPr>
          <w:rFonts w:ascii="Palatino Linotype" w:hAnsi="Palatino Linotype"/>
          <w:snapToGrid/>
          <w:sz w:val="22"/>
          <w:szCs w:val="22"/>
          <w:lang w:val="nl-NL"/>
        </w:rPr>
        <w:t xml:space="preserve"> diligence’-richtlijnen voor een verantwoorde goudketen.</w:t>
      </w:r>
    </w:p>
    <w:p w:rsidR="00740B69" w:rsidRPr="00740B69" w:rsidRDefault="00740B69" w:rsidP="000033D2">
      <w:pPr>
        <w:widowControl/>
        <w:numPr>
          <w:ilvl w:val="0"/>
          <w:numId w:val="1"/>
        </w:numPr>
        <w:tabs>
          <w:tab w:val="left" w:pos="709"/>
        </w:tabs>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aanvrager is desgevraagd verplicht alle nadere informatie en </w:t>
      </w:r>
      <w:proofErr w:type="gramStart"/>
      <w:r w:rsidRPr="00740B69">
        <w:rPr>
          <w:rFonts w:ascii="Palatino Linotype" w:hAnsi="Palatino Linotype"/>
          <w:snapToGrid/>
          <w:sz w:val="22"/>
          <w:szCs w:val="22"/>
          <w:lang w:val="nl-NL"/>
        </w:rPr>
        <w:t>bescheiden</w:t>
      </w:r>
      <w:proofErr w:type="gramEnd"/>
      <w:r w:rsidRPr="00740B69">
        <w:rPr>
          <w:rFonts w:ascii="Palatino Linotype" w:hAnsi="Palatino Linotype"/>
          <w:snapToGrid/>
          <w:sz w:val="22"/>
          <w:szCs w:val="22"/>
          <w:lang w:val="nl-NL"/>
        </w:rPr>
        <w:t>, die relevant kunnen zijn voor de behandeling van de aanvraag en waarover hij redelijkerwijs kan beschikken, te verstrekken onderscheidenlijk over te leggen.</w:t>
      </w:r>
    </w:p>
    <w:p w:rsidR="00740B69" w:rsidRPr="00740B69" w:rsidRDefault="00740B69" w:rsidP="00740B69">
      <w:pPr>
        <w:widowControl/>
        <w:tabs>
          <w:tab w:val="left" w:pos="284"/>
        </w:tabs>
        <w:ind w:left="284" w:hanging="284"/>
        <w:jc w:val="both"/>
        <w:rPr>
          <w:rFonts w:ascii="Palatino Linotype" w:hAnsi="Palatino Linotype"/>
          <w:snapToGrid/>
          <w:sz w:val="22"/>
          <w:szCs w:val="22"/>
          <w:lang w:val="nl-NL"/>
        </w:rPr>
      </w:pPr>
      <w:r w:rsidRPr="00740B69">
        <w:rPr>
          <w:rFonts w:ascii="Palatino Linotype" w:hAnsi="Palatino Linotype"/>
          <w:snapToGrid/>
          <w:sz w:val="22"/>
          <w:szCs w:val="22"/>
          <w:lang w:val="nl-NL"/>
        </w:rPr>
        <w:t>6.</w:t>
      </w:r>
      <w:r w:rsidRPr="00740B69">
        <w:rPr>
          <w:rFonts w:ascii="Palatino Linotype" w:hAnsi="Palatino Linotype"/>
          <w:snapToGrid/>
          <w:sz w:val="22"/>
          <w:szCs w:val="22"/>
          <w:lang w:val="nl-NL"/>
        </w:rPr>
        <w:tab/>
        <w:t xml:space="preserve">De aanvraag wordt niet in behandeling genomen zolang de volgens het derde, vierde en vijfde lid vereiste informatie en </w:t>
      </w:r>
      <w:proofErr w:type="gramStart"/>
      <w:r w:rsidRPr="00740B69">
        <w:rPr>
          <w:rFonts w:ascii="Palatino Linotype" w:hAnsi="Palatino Linotype"/>
          <w:snapToGrid/>
          <w:sz w:val="22"/>
          <w:szCs w:val="22"/>
          <w:lang w:val="nl-NL"/>
        </w:rPr>
        <w:t>bescheiden</w:t>
      </w:r>
      <w:proofErr w:type="gramEnd"/>
      <w:r w:rsidRPr="00740B69">
        <w:rPr>
          <w:rFonts w:ascii="Palatino Linotype" w:hAnsi="Palatino Linotype"/>
          <w:snapToGrid/>
          <w:sz w:val="22"/>
          <w:szCs w:val="22"/>
          <w:lang w:val="nl-NL"/>
        </w:rPr>
        <w:t xml:space="preserve"> niet of niet volledig zijn verstrekt onderscheidenlijk overgelegd.</w:t>
      </w:r>
    </w:p>
    <w:p w:rsidR="00740B69" w:rsidRPr="00740B69" w:rsidRDefault="00740B69" w:rsidP="00740B69">
      <w:pPr>
        <w:widowControl/>
        <w:tabs>
          <w:tab w:val="left" w:pos="284"/>
        </w:tabs>
        <w:ind w:left="284" w:hanging="284"/>
        <w:jc w:val="both"/>
        <w:rPr>
          <w:rFonts w:ascii="Palatino Linotype" w:hAnsi="Palatino Linotype"/>
          <w:snapToGrid/>
          <w:sz w:val="22"/>
          <w:szCs w:val="22"/>
          <w:lang w:val="nl-NL"/>
        </w:rPr>
      </w:pPr>
      <w:r w:rsidRPr="00740B69">
        <w:rPr>
          <w:rFonts w:ascii="Palatino Linotype" w:hAnsi="Palatino Linotype"/>
          <w:snapToGrid/>
          <w:sz w:val="22"/>
          <w:szCs w:val="22"/>
          <w:lang w:val="nl-NL"/>
        </w:rPr>
        <w:t>7.</w:t>
      </w:r>
      <w:r w:rsidRPr="00740B69">
        <w:rPr>
          <w:rFonts w:ascii="Palatino Linotype" w:hAnsi="Palatino Linotype"/>
          <w:snapToGrid/>
          <w:sz w:val="22"/>
          <w:szCs w:val="22"/>
          <w:lang w:val="nl-NL"/>
        </w:rPr>
        <w:tab/>
        <w:t xml:space="preserve">Indien het vorige lid van toepassing is, wordt de aanvraag met de daarbij verstrekte informatie en overgelegde </w:t>
      </w:r>
      <w:proofErr w:type="gramStart"/>
      <w:r w:rsidRPr="00740B69">
        <w:rPr>
          <w:rFonts w:ascii="Palatino Linotype" w:hAnsi="Palatino Linotype"/>
          <w:snapToGrid/>
          <w:sz w:val="22"/>
          <w:szCs w:val="22"/>
          <w:lang w:val="nl-NL"/>
        </w:rPr>
        <w:t>bescheiden</w:t>
      </w:r>
      <w:proofErr w:type="gramEnd"/>
      <w:r w:rsidRPr="00740B69">
        <w:rPr>
          <w:rFonts w:ascii="Palatino Linotype" w:hAnsi="Palatino Linotype"/>
          <w:snapToGrid/>
          <w:sz w:val="22"/>
          <w:szCs w:val="22"/>
          <w:lang w:val="nl-NL"/>
        </w:rPr>
        <w:t xml:space="preserve"> aan de aanvrager teruggezonden, binnen een termijn van twee weken na ontvangst van de aanvraag, onder schriftelijke mededeling van de reden waarom de aanvraag niet in behandeling is genomen.</w:t>
      </w:r>
    </w:p>
    <w:p w:rsidR="00740B69" w:rsidRPr="00740B69" w:rsidRDefault="00740B69" w:rsidP="00740B69">
      <w:pPr>
        <w:widowControl/>
        <w:tabs>
          <w:tab w:val="left" w:pos="284"/>
        </w:tabs>
        <w:ind w:left="284" w:hanging="284"/>
        <w:jc w:val="both"/>
        <w:rPr>
          <w:rFonts w:ascii="Palatino Linotype" w:hAnsi="Palatino Linotype"/>
          <w:snapToGrid/>
          <w:sz w:val="22"/>
          <w:szCs w:val="22"/>
          <w:lang w:val="nl-NL"/>
        </w:rPr>
      </w:pPr>
      <w:r w:rsidRPr="00740B69">
        <w:rPr>
          <w:rFonts w:ascii="Palatino Linotype" w:hAnsi="Palatino Linotype"/>
          <w:snapToGrid/>
          <w:sz w:val="22"/>
          <w:szCs w:val="22"/>
          <w:lang w:val="nl-NL"/>
        </w:rPr>
        <w:t>8.</w:t>
      </w:r>
      <w:r w:rsidRPr="00740B69">
        <w:rPr>
          <w:rFonts w:ascii="Palatino Linotype" w:hAnsi="Palatino Linotype"/>
          <w:snapToGrid/>
          <w:sz w:val="22"/>
          <w:szCs w:val="22"/>
          <w:lang w:val="nl-NL"/>
        </w:rPr>
        <w:tab/>
        <w:t xml:space="preserve">Op de dag waarop de aanvraag volledig is, vangt de beslistermijn van de minister aan. De aanvrager krijgt een schriftelijke ontvangstbevestiging met vermelding van de datum waarop de aanvraag volledig is. </w:t>
      </w:r>
    </w:p>
    <w:p w:rsidR="00740B69" w:rsidRPr="00740B69" w:rsidRDefault="00740B69" w:rsidP="00740B69">
      <w:pPr>
        <w:widowContro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right" w:pos="8505"/>
        </w:tabs>
        <w:ind w:left="284" w:hanging="284"/>
        <w:jc w:val="both"/>
        <w:rPr>
          <w:rFonts w:ascii="Palatino Linotype" w:hAnsi="Palatino Linotype"/>
          <w:snapToGrid/>
          <w:sz w:val="22"/>
          <w:szCs w:val="22"/>
          <w:lang w:val="nl-NL"/>
        </w:rPr>
      </w:pPr>
      <w:r w:rsidRPr="00740B69">
        <w:rPr>
          <w:rFonts w:ascii="Palatino Linotype" w:hAnsi="Palatino Linotype"/>
          <w:snapToGrid/>
          <w:sz w:val="22"/>
          <w:szCs w:val="22"/>
          <w:lang w:val="nl-NL"/>
        </w:rPr>
        <w:t>9.</w:t>
      </w:r>
      <w:r w:rsidRPr="00740B69">
        <w:rPr>
          <w:rFonts w:ascii="Palatino Linotype" w:hAnsi="Palatino Linotype"/>
          <w:snapToGrid/>
          <w:sz w:val="22"/>
          <w:szCs w:val="22"/>
          <w:lang w:val="nl-NL"/>
        </w:rPr>
        <w:tab/>
        <w:t>De beslistermijn, bedoeld in het vorige lid, bedraagt maximaal zes weken.</w:t>
      </w:r>
    </w:p>
    <w:p w:rsidR="00740B69" w:rsidRPr="00740B69" w:rsidRDefault="00740B69" w:rsidP="00740B6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505"/>
        </w:tabs>
        <w:jc w:val="both"/>
        <w:rPr>
          <w:rFonts w:ascii="Palatino Linotype" w:hAnsi="Palatino Linotype"/>
          <w:snapToGrid/>
          <w:sz w:val="22"/>
          <w:szCs w:val="22"/>
          <w:lang w:val="nl-NL"/>
        </w:rPr>
      </w:pPr>
    </w:p>
    <w:p w:rsidR="00740B69" w:rsidRPr="00740B69" w:rsidRDefault="00740B69" w:rsidP="00740B69">
      <w:pPr>
        <w:widowControl/>
        <w:jc w:val="center"/>
        <w:rPr>
          <w:rFonts w:ascii="Palatino Linotype" w:hAnsi="Palatino Linotype"/>
          <w:snapToGrid/>
          <w:sz w:val="22"/>
          <w:szCs w:val="22"/>
          <w:lang w:val="nl-NL"/>
        </w:rPr>
      </w:pPr>
      <w:r w:rsidRPr="00740B69">
        <w:rPr>
          <w:rFonts w:ascii="Palatino Linotype" w:hAnsi="Palatino Linotype"/>
          <w:snapToGrid/>
          <w:sz w:val="22"/>
          <w:szCs w:val="22"/>
          <w:lang w:val="nl-NL"/>
        </w:rPr>
        <w:t>Artikel 4</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tabs>
          <w:tab w:val="left" w:pos="1440"/>
          <w:tab w:val="left" w:pos="2160"/>
          <w:tab w:val="left" w:pos="2880"/>
          <w:tab w:val="left" w:pos="3600"/>
          <w:tab w:val="left" w:pos="4320"/>
          <w:tab w:val="left" w:pos="5040"/>
          <w:tab w:val="left" w:pos="5760"/>
          <w:tab w:val="left" w:pos="6480"/>
          <w:tab w:val="left" w:pos="7200"/>
          <w:tab w:val="left" w:pos="7920"/>
          <w:tab w:val="right" w:pos="8505"/>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w:t>
      </w:r>
      <w:proofErr w:type="spellStart"/>
      <w:r w:rsidRPr="00740B69">
        <w:rPr>
          <w:rFonts w:ascii="Palatino Linotype" w:hAnsi="Palatino Linotype"/>
          <w:snapToGrid/>
          <w:sz w:val="22"/>
          <w:szCs w:val="22"/>
          <w:lang w:val="nl-NL"/>
        </w:rPr>
        <w:t>ontheffinghouder</w:t>
      </w:r>
      <w:proofErr w:type="spellEnd"/>
      <w:r w:rsidRPr="00740B69">
        <w:rPr>
          <w:rFonts w:ascii="Palatino Linotype" w:hAnsi="Palatino Linotype"/>
          <w:snapToGrid/>
          <w:sz w:val="22"/>
          <w:szCs w:val="22"/>
          <w:lang w:val="nl-NL"/>
        </w:rPr>
        <w:t xml:space="preserve"> legt ten aanzien van ieder transport, betreffende de in-, uit- of doorvoer van goud, als onderdeel van of in aanvulling op de gebruikelijke douaneformaliteiten, in elk geval de volgende </w:t>
      </w:r>
      <w:proofErr w:type="gramStart"/>
      <w:r w:rsidRPr="00740B69">
        <w:rPr>
          <w:rFonts w:ascii="Palatino Linotype" w:hAnsi="Palatino Linotype"/>
          <w:snapToGrid/>
          <w:sz w:val="22"/>
          <w:szCs w:val="22"/>
          <w:lang w:val="nl-NL"/>
        </w:rPr>
        <w:t>bescheiden</w:t>
      </w:r>
      <w:proofErr w:type="gramEnd"/>
      <w:r w:rsidRPr="00740B69">
        <w:rPr>
          <w:rFonts w:ascii="Palatino Linotype" w:hAnsi="Palatino Linotype"/>
          <w:snapToGrid/>
          <w:sz w:val="22"/>
          <w:szCs w:val="22"/>
          <w:lang w:val="nl-NL"/>
        </w:rPr>
        <w:t xml:space="preserve"> ter beoordeling aan de douaneautoriteiten over: </w:t>
      </w:r>
    </w:p>
    <w:p w:rsidR="00740B69" w:rsidRPr="00740B69" w:rsidRDefault="00740B69" w:rsidP="00740B69">
      <w:pPr>
        <w:widowControl/>
        <w:tabs>
          <w:tab w:val="left" w:pos="284"/>
        </w:tabs>
        <w:ind w:left="284" w:hanging="284"/>
        <w:jc w:val="both"/>
        <w:rPr>
          <w:rFonts w:ascii="Palatino Linotype" w:hAnsi="Palatino Linotype"/>
          <w:snapToGrid/>
          <w:sz w:val="22"/>
          <w:szCs w:val="22"/>
          <w:lang w:val="nl-NL"/>
        </w:rPr>
      </w:pPr>
      <w:r w:rsidRPr="00740B69">
        <w:rPr>
          <w:rFonts w:ascii="Palatino Linotype" w:hAnsi="Palatino Linotype"/>
          <w:snapToGrid/>
          <w:sz w:val="22"/>
          <w:szCs w:val="22"/>
          <w:lang w:val="nl-NL"/>
        </w:rPr>
        <w:t>a.</w:t>
      </w:r>
      <w:r w:rsidRPr="00740B69">
        <w:rPr>
          <w:rFonts w:ascii="Palatino Linotype" w:hAnsi="Palatino Linotype"/>
          <w:snapToGrid/>
          <w:sz w:val="22"/>
          <w:szCs w:val="22"/>
          <w:lang w:val="nl-NL"/>
        </w:rPr>
        <w:tab/>
        <w:t xml:space="preserve">een authentiek </w:t>
      </w:r>
      <w:proofErr w:type="spellStart"/>
      <w:r w:rsidRPr="00740B69">
        <w:rPr>
          <w:rFonts w:ascii="Palatino Linotype" w:hAnsi="Palatino Linotype"/>
          <w:snapToGrid/>
          <w:sz w:val="22"/>
          <w:szCs w:val="22"/>
          <w:lang w:val="nl-NL"/>
        </w:rPr>
        <w:t>oorsprongcertificaat</w:t>
      </w:r>
      <w:proofErr w:type="spellEnd"/>
      <w:r w:rsidRPr="00740B69">
        <w:rPr>
          <w:rFonts w:ascii="Palatino Linotype" w:hAnsi="Palatino Linotype"/>
          <w:snapToGrid/>
          <w:sz w:val="22"/>
          <w:szCs w:val="22"/>
          <w:lang w:val="nl-NL"/>
        </w:rPr>
        <w:t xml:space="preserve"> behorende tot het in-, uit- of door te voeren goud, afgegeven door de bevoegde Venezolaanse autoriteiten;</w:t>
      </w:r>
    </w:p>
    <w:p w:rsidR="00740B69" w:rsidRPr="00740B69" w:rsidRDefault="00740B69" w:rsidP="00740B69">
      <w:pPr>
        <w:widowControl/>
        <w:tabs>
          <w:tab w:val="left" w:pos="284"/>
          <w:tab w:val="left" w:pos="1440"/>
          <w:tab w:val="left" w:pos="2160"/>
          <w:tab w:val="left" w:pos="2880"/>
          <w:tab w:val="left" w:pos="3600"/>
          <w:tab w:val="left" w:pos="4320"/>
          <w:tab w:val="left" w:pos="5040"/>
          <w:tab w:val="left" w:pos="5760"/>
          <w:tab w:val="left" w:pos="6480"/>
          <w:tab w:val="left" w:pos="7200"/>
          <w:tab w:val="left" w:pos="7920"/>
          <w:tab w:val="right" w:pos="8505"/>
        </w:tabs>
        <w:ind w:left="284" w:hanging="284"/>
        <w:jc w:val="both"/>
        <w:rPr>
          <w:rFonts w:ascii="Palatino Linotype" w:hAnsi="Palatino Linotype"/>
          <w:snapToGrid/>
          <w:sz w:val="22"/>
          <w:szCs w:val="22"/>
          <w:lang w:val="nl-NL"/>
        </w:rPr>
      </w:pPr>
      <w:r w:rsidRPr="00740B69">
        <w:rPr>
          <w:rFonts w:ascii="Palatino Linotype" w:hAnsi="Palatino Linotype"/>
          <w:snapToGrid/>
          <w:sz w:val="22"/>
          <w:szCs w:val="22"/>
          <w:lang w:val="nl-NL"/>
        </w:rPr>
        <w:t>b.</w:t>
      </w:r>
      <w:r w:rsidRPr="00740B69">
        <w:rPr>
          <w:rFonts w:ascii="Palatino Linotype" w:hAnsi="Palatino Linotype"/>
          <w:snapToGrid/>
          <w:sz w:val="22"/>
          <w:szCs w:val="22"/>
          <w:lang w:val="nl-NL"/>
        </w:rPr>
        <w:tab/>
        <w:t>voor zover sprake is van een verkooptransactie, een factuur die daarop betrekking heeft;</w:t>
      </w:r>
    </w:p>
    <w:p w:rsidR="00740B69" w:rsidRPr="00740B69" w:rsidRDefault="00740B69" w:rsidP="00740B69">
      <w:pPr>
        <w:widowControl/>
        <w:tabs>
          <w:tab w:val="left" w:pos="284"/>
          <w:tab w:val="left" w:pos="1440"/>
          <w:tab w:val="left" w:pos="2160"/>
          <w:tab w:val="left" w:pos="2880"/>
          <w:tab w:val="left" w:pos="3600"/>
          <w:tab w:val="left" w:pos="4320"/>
          <w:tab w:val="left" w:pos="5040"/>
          <w:tab w:val="left" w:pos="5760"/>
          <w:tab w:val="left" w:pos="6480"/>
          <w:tab w:val="left" w:pos="7200"/>
          <w:tab w:val="left" w:pos="7920"/>
          <w:tab w:val="right" w:pos="8505"/>
        </w:tabs>
        <w:ind w:left="284" w:hanging="284"/>
        <w:jc w:val="both"/>
        <w:rPr>
          <w:rFonts w:ascii="Palatino Linotype" w:hAnsi="Palatino Linotype"/>
          <w:snapToGrid/>
          <w:sz w:val="22"/>
          <w:szCs w:val="22"/>
          <w:lang w:val="nl-NL"/>
        </w:rPr>
      </w:pPr>
      <w:r w:rsidRPr="00740B69">
        <w:rPr>
          <w:rFonts w:ascii="Palatino Linotype" w:hAnsi="Palatino Linotype"/>
          <w:snapToGrid/>
          <w:sz w:val="22"/>
          <w:szCs w:val="22"/>
          <w:lang w:val="nl-NL"/>
        </w:rPr>
        <w:t>c.</w:t>
      </w:r>
      <w:r w:rsidRPr="00740B69">
        <w:rPr>
          <w:rFonts w:ascii="Palatino Linotype" w:hAnsi="Palatino Linotype"/>
          <w:snapToGrid/>
          <w:sz w:val="22"/>
          <w:szCs w:val="22"/>
          <w:lang w:val="nl-NL"/>
        </w:rPr>
        <w:tab/>
      </w:r>
      <w:proofErr w:type="spellStart"/>
      <w:r w:rsidRPr="00740B69">
        <w:rPr>
          <w:rFonts w:ascii="Palatino Linotype" w:hAnsi="Palatino Linotype"/>
          <w:snapToGrid/>
          <w:sz w:val="22"/>
          <w:szCs w:val="22"/>
          <w:lang w:val="nl-NL"/>
        </w:rPr>
        <w:t>zonodig</w:t>
      </w:r>
      <w:proofErr w:type="spellEnd"/>
      <w:r w:rsidRPr="00740B69">
        <w:rPr>
          <w:rFonts w:ascii="Palatino Linotype" w:hAnsi="Palatino Linotype"/>
          <w:snapToGrid/>
          <w:sz w:val="22"/>
          <w:szCs w:val="22"/>
          <w:lang w:val="nl-NL"/>
        </w:rPr>
        <w:t xml:space="preserve"> andere documentatie ten aanzien van de oorsprong, herkomst of afkomst van het goud.</w:t>
      </w:r>
    </w:p>
    <w:p w:rsidR="00740B69" w:rsidRPr="00740B69" w:rsidRDefault="00740B69" w:rsidP="00740B69">
      <w:pPr>
        <w:widowControl/>
        <w:tabs>
          <w:tab w:val="left" w:pos="720"/>
          <w:tab w:val="center" w:pos="4252"/>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ab/>
        <w:t xml:space="preserve"> </w:t>
      </w:r>
      <w:r w:rsidRPr="00740B69">
        <w:rPr>
          <w:rFonts w:ascii="Palatino Linotype" w:hAnsi="Palatino Linotype"/>
          <w:snapToGrid/>
          <w:sz w:val="22"/>
          <w:szCs w:val="22"/>
          <w:lang w:val="nl-NL"/>
        </w:rPr>
        <w:tab/>
      </w:r>
    </w:p>
    <w:p w:rsidR="00740B69" w:rsidRPr="00740B69" w:rsidRDefault="00740B69" w:rsidP="00740B69">
      <w:pPr>
        <w:widowControl/>
        <w:tabs>
          <w:tab w:val="left" w:pos="3776"/>
        </w:tabs>
        <w:jc w:val="center"/>
        <w:rPr>
          <w:rFonts w:ascii="Palatino Linotype" w:hAnsi="Palatino Linotype"/>
          <w:snapToGrid/>
          <w:sz w:val="22"/>
          <w:szCs w:val="22"/>
          <w:lang w:val="nl-NL"/>
        </w:rPr>
      </w:pPr>
      <w:r w:rsidRPr="00740B69">
        <w:rPr>
          <w:rFonts w:ascii="Palatino Linotype" w:hAnsi="Palatino Linotype"/>
          <w:snapToGrid/>
          <w:sz w:val="22"/>
          <w:szCs w:val="22"/>
          <w:lang w:val="nl-NL"/>
        </w:rPr>
        <w:t>Artikel 5</w:t>
      </w:r>
    </w:p>
    <w:p w:rsidR="00740B69" w:rsidRPr="00740B69" w:rsidRDefault="00740B69" w:rsidP="00740B69">
      <w:pPr>
        <w:widowControl/>
        <w:tabs>
          <w:tab w:val="left" w:pos="3776"/>
        </w:tabs>
        <w:jc w:val="both"/>
        <w:rPr>
          <w:rFonts w:ascii="Palatino Linotype" w:hAnsi="Palatino Linotype"/>
          <w:snapToGrid/>
          <w:sz w:val="22"/>
          <w:szCs w:val="22"/>
          <w:lang w:val="nl-NL"/>
        </w:rPr>
      </w:pPr>
    </w:p>
    <w:p w:rsidR="00740B69" w:rsidRPr="00740B69" w:rsidRDefault="00740B69" w:rsidP="000033D2">
      <w:pPr>
        <w:widowControl/>
        <w:numPr>
          <w:ilvl w:val="0"/>
          <w:numId w:val="3"/>
        </w:numPr>
        <w:tabs>
          <w:tab w:val="left" w:pos="284"/>
          <w:tab w:val="left" w:pos="3776"/>
        </w:tabs>
        <w:ind w:left="284" w:hanging="284"/>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Een ontheffing heeft een duur van maximaal zes maanden. </w:t>
      </w:r>
    </w:p>
    <w:p w:rsidR="00740B69" w:rsidRPr="00740B69" w:rsidRDefault="00740B69" w:rsidP="000033D2">
      <w:pPr>
        <w:widowControl/>
        <w:numPr>
          <w:ilvl w:val="0"/>
          <w:numId w:val="3"/>
        </w:numPr>
        <w:tabs>
          <w:tab w:val="left" w:pos="284"/>
          <w:tab w:val="left" w:pos="3776"/>
        </w:tabs>
        <w:ind w:left="284" w:hanging="284"/>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minister kan de ontheffing op aanvraag telkens voor de duur van maximaal zes maanden verlengen. Op de verlengingsaanvraag is artikel 3 van overeenkomstige toepassing. </w:t>
      </w:r>
    </w:p>
    <w:p w:rsidR="00740B69" w:rsidRPr="00740B69" w:rsidRDefault="00740B69" w:rsidP="000033D2">
      <w:pPr>
        <w:widowControl/>
        <w:numPr>
          <w:ilvl w:val="0"/>
          <w:numId w:val="3"/>
        </w:numPr>
        <w:tabs>
          <w:tab w:val="left" w:pos="284"/>
          <w:tab w:val="left" w:pos="3776"/>
        </w:tabs>
        <w:ind w:left="284" w:hanging="284"/>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Een ontheffing of een verlenging daarvan kan onder nadere beperkingen worden verleend en aan een ontheffing of een verlenging daarvan kunnen voorschriften worden verbonden. </w:t>
      </w:r>
    </w:p>
    <w:p w:rsidR="00740B69" w:rsidRPr="00740B69" w:rsidRDefault="00740B69" w:rsidP="000033D2">
      <w:pPr>
        <w:widowControl/>
        <w:numPr>
          <w:ilvl w:val="0"/>
          <w:numId w:val="3"/>
        </w:numPr>
        <w:tabs>
          <w:tab w:val="left" w:pos="284"/>
          <w:tab w:val="left" w:pos="3776"/>
        </w:tabs>
        <w:ind w:left="284" w:hanging="284"/>
        <w:contextualSpacing/>
        <w:jc w:val="both"/>
        <w:rPr>
          <w:rFonts w:ascii="Palatino Linotype" w:hAnsi="Palatino Linotype"/>
          <w:strike/>
          <w:snapToGrid/>
          <w:sz w:val="22"/>
          <w:szCs w:val="22"/>
          <w:lang w:val="nl-NL"/>
        </w:rPr>
      </w:pPr>
      <w:r w:rsidRPr="00740B69">
        <w:rPr>
          <w:rFonts w:ascii="Palatino Linotype" w:hAnsi="Palatino Linotype"/>
          <w:snapToGrid/>
          <w:sz w:val="22"/>
          <w:szCs w:val="22"/>
          <w:lang w:val="nl-NL"/>
        </w:rPr>
        <w:t xml:space="preserve">De in het vorige lid bedoelde beperkingen en voorschriften evenals nadere regels ten aanzien van de in artikel 3 beschreven aanvraagprocedure voor een ontheffing of verlenging daarvan, </w:t>
      </w:r>
      <w:r w:rsidRPr="00740B69">
        <w:rPr>
          <w:rFonts w:ascii="Palatino Linotype" w:hAnsi="Palatino Linotype"/>
          <w:snapToGrid/>
          <w:sz w:val="22"/>
          <w:szCs w:val="22"/>
          <w:lang w:val="nl-NL"/>
        </w:rPr>
        <w:lastRenderedPageBreak/>
        <w:t xml:space="preserve">worden door de minister, handelende in overeenstemming met de Minister van Financiën, bij ministeriële regeling met algemene werking vastgesteld. </w:t>
      </w:r>
    </w:p>
    <w:p w:rsidR="00740B69" w:rsidRPr="00740B69" w:rsidRDefault="00740B69" w:rsidP="000033D2">
      <w:pPr>
        <w:widowControl/>
        <w:numPr>
          <w:ilvl w:val="0"/>
          <w:numId w:val="3"/>
        </w:numPr>
        <w:tabs>
          <w:tab w:val="left" w:pos="284"/>
          <w:tab w:val="left" w:pos="3776"/>
        </w:tabs>
        <w:ind w:left="284" w:hanging="284"/>
        <w:contextualSpacing/>
        <w:jc w:val="both"/>
        <w:rPr>
          <w:rFonts w:ascii="Palatino Linotype" w:hAnsi="Palatino Linotype"/>
          <w:snapToGrid/>
          <w:sz w:val="22"/>
          <w:szCs w:val="22"/>
          <w:lang w:val="nl-NL"/>
        </w:rPr>
      </w:pPr>
      <w:r w:rsidRPr="00740B69">
        <w:rPr>
          <w:rFonts w:ascii="Palatino Linotype" w:hAnsi="Palatino Linotype"/>
          <w:snapToGrid/>
          <w:sz w:val="22"/>
          <w:szCs w:val="22"/>
          <w:lang w:val="nl-NL"/>
        </w:rPr>
        <w:t>In de Landscourant en op de website van de Douane Curaçao wordt een ontheffingenbeleid bekendgemaakt.</w:t>
      </w:r>
    </w:p>
    <w:p w:rsidR="00740B69" w:rsidRPr="00740B69" w:rsidRDefault="00740B69" w:rsidP="00740B69">
      <w:pPr>
        <w:widowControl/>
        <w:tabs>
          <w:tab w:val="left" w:pos="720"/>
          <w:tab w:val="center" w:pos="4252"/>
        </w:tabs>
        <w:jc w:val="both"/>
        <w:rPr>
          <w:rFonts w:ascii="Palatino Linotype" w:hAnsi="Palatino Linotype"/>
          <w:snapToGrid/>
          <w:sz w:val="22"/>
          <w:szCs w:val="22"/>
          <w:lang w:val="nl-NL"/>
        </w:rPr>
      </w:pPr>
    </w:p>
    <w:p w:rsidR="00740B69" w:rsidRPr="00740B69" w:rsidRDefault="00740B69" w:rsidP="00740B69">
      <w:pPr>
        <w:widowControl/>
        <w:tabs>
          <w:tab w:val="left" w:pos="3736"/>
        </w:tabs>
        <w:jc w:val="center"/>
        <w:rPr>
          <w:rFonts w:ascii="Palatino Linotype" w:hAnsi="Palatino Linotype"/>
          <w:snapToGrid/>
          <w:sz w:val="22"/>
          <w:szCs w:val="22"/>
          <w:lang w:val="nl-NL"/>
        </w:rPr>
      </w:pPr>
      <w:r w:rsidRPr="00740B69">
        <w:rPr>
          <w:rFonts w:ascii="Palatino Linotype" w:hAnsi="Palatino Linotype"/>
          <w:snapToGrid/>
          <w:sz w:val="22"/>
          <w:szCs w:val="22"/>
          <w:lang w:val="nl-NL"/>
        </w:rPr>
        <w:t>Artikel 6</w:t>
      </w:r>
    </w:p>
    <w:p w:rsidR="00740B69" w:rsidRPr="00740B69" w:rsidRDefault="00740B69" w:rsidP="00740B69">
      <w:pPr>
        <w:widowControl/>
        <w:tabs>
          <w:tab w:val="left" w:pos="1440"/>
        </w:tabs>
        <w:ind w:left="720" w:hanging="720"/>
        <w:jc w:val="both"/>
        <w:rPr>
          <w:rFonts w:ascii="Palatino Linotype" w:hAnsi="Palatino Linotype"/>
          <w:snapToGrid/>
          <w:sz w:val="22"/>
          <w:szCs w:val="22"/>
          <w:lang w:val="nl-NL"/>
        </w:rPr>
      </w:pPr>
    </w:p>
    <w:p w:rsidR="00740B69" w:rsidRPr="00740B69" w:rsidRDefault="00740B69" w:rsidP="00740B69">
      <w:pPr>
        <w:widowControl/>
        <w:tabs>
          <w:tab w:val="left" w:pos="1440"/>
        </w:tabs>
        <w:ind w:left="720" w:hanging="720"/>
        <w:jc w:val="both"/>
        <w:rPr>
          <w:rFonts w:ascii="Palatino Linotype" w:hAnsi="Palatino Linotype"/>
          <w:snapToGrid/>
          <w:sz w:val="22"/>
          <w:szCs w:val="22"/>
          <w:lang w:val="nl-NL"/>
        </w:rPr>
      </w:pPr>
      <w:r w:rsidRPr="00740B69">
        <w:rPr>
          <w:rFonts w:ascii="Palatino Linotype" w:hAnsi="Palatino Linotype"/>
          <w:snapToGrid/>
          <w:sz w:val="22"/>
          <w:szCs w:val="22"/>
          <w:lang w:val="nl-NL"/>
        </w:rPr>
        <w:t>De Tijdelijke regeling in-, uit- en doorvoerverbod Venezolaans goud</w:t>
      </w:r>
      <w:r w:rsidRPr="00740B69">
        <w:rPr>
          <w:rFonts w:ascii="Palatino Linotype" w:hAnsi="Palatino Linotype"/>
          <w:snapToGrid/>
          <w:sz w:val="22"/>
          <w:szCs w:val="22"/>
          <w:vertAlign w:val="superscript"/>
          <w:lang w:val="nl-NL"/>
        </w:rPr>
        <w:footnoteReference w:id="3"/>
      </w:r>
      <w:r w:rsidRPr="00740B69">
        <w:rPr>
          <w:rFonts w:ascii="Palatino Linotype" w:hAnsi="Palatino Linotype"/>
          <w:snapToGrid/>
          <w:sz w:val="22"/>
          <w:szCs w:val="22"/>
          <w:lang w:val="nl-NL"/>
        </w:rPr>
        <w:t xml:space="preserve"> wordt</w:t>
      </w:r>
    </w:p>
    <w:p w:rsidR="00740B69" w:rsidRPr="00740B69" w:rsidRDefault="00740B69" w:rsidP="00740B69">
      <w:pPr>
        <w:widowControl/>
        <w:tabs>
          <w:tab w:val="left" w:pos="1440"/>
        </w:tabs>
        <w:ind w:left="720" w:hanging="720"/>
        <w:jc w:val="both"/>
        <w:rPr>
          <w:rFonts w:ascii="Palatino Linotype" w:hAnsi="Palatino Linotype"/>
          <w:snapToGrid/>
          <w:sz w:val="22"/>
          <w:szCs w:val="22"/>
          <w:lang w:val="nl-NL"/>
        </w:rPr>
      </w:pPr>
      <w:r w:rsidRPr="00740B69">
        <w:rPr>
          <w:rFonts w:ascii="Palatino Linotype" w:hAnsi="Palatino Linotype"/>
          <w:snapToGrid/>
          <w:sz w:val="22"/>
          <w:szCs w:val="22"/>
          <w:lang w:val="nl-NL"/>
        </w:rPr>
        <w:t>ingetrokken.</w:t>
      </w:r>
    </w:p>
    <w:p w:rsidR="00740B69" w:rsidRPr="00740B69" w:rsidRDefault="00740B69" w:rsidP="00740B69">
      <w:pPr>
        <w:widowControl/>
        <w:tabs>
          <w:tab w:val="left" w:pos="1440"/>
        </w:tabs>
        <w:ind w:left="720" w:hanging="720"/>
        <w:jc w:val="both"/>
        <w:rPr>
          <w:rFonts w:ascii="Palatino Linotype" w:hAnsi="Palatino Linotype"/>
          <w:snapToGrid/>
          <w:sz w:val="22"/>
          <w:szCs w:val="22"/>
          <w:lang w:val="nl-NL"/>
        </w:rPr>
      </w:pPr>
    </w:p>
    <w:p w:rsidR="00740B69" w:rsidRPr="00740B69" w:rsidRDefault="00740B69" w:rsidP="00740B69">
      <w:pPr>
        <w:widowControl/>
        <w:jc w:val="center"/>
        <w:rPr>
          <w:rFonts w:ascii="Palatino Linotype" w:hAnsi="Palatino Linotype"/>
          <w:snapToGrid/>
          <w:sz w:val="22"/>
          <w:szCs w:val="22"/>
          <w:lang w:val="nl-NL"/>
        </w:rPr>
      </w:pPr>
      <w:r w:rsidRPr="00740B69">
        <w:rPr>
          <w:rFonts w:ascii="Palatino Linotype" w:hAnsi="Palatino Linotype"/>
          <w:snapToGrid/>
          <w:sz w:val="22"/>
          <w:szCs w:val="22"/>
          <w:lang w:val="nl-NL"/>
        </w:rPr>
        <w:t>Artikel 7</w:t>
      </w:r>
    </w:p>
    <w:p w:rsidR="00740B69" w:rsidRPr="00740B69" w:rsidRDefault="00740B69" w:rsidP="00740B69">
      <w:pPr>
        <w:widowControl/>
        <w:tabs>
          <w:tab w:val="left" w:pos="4830"/>
        </w:tabs>
        <w:rPr>
          <w:rFonts w:ascii="Palatino Linotype" w:hAnsi="Palatino Linotype"/>
          <w:snapToGrid/>
          <w:sz w:val="22"/>
          <w:szCs w:val="22"/>
          <w:lang w:val="nl-NL"/>
        </w:rPr>
      </w:pPr>
      <w:r w:rsidRPr="00740B69">
        <w:rPr>
          <w:rFonts w:ascii="Palatino Linotype" w:hAnsi="Palatino Linotype"/>
          <w:snapToGrid/>
          <w:sz w:val="22"/>
          <w:szCs w:val="22"/>
          <w:lang w:val="nl-NL"/>
        </w:rPr>
        <w:tab/>
      </w: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Dit landsbesluit treedt in werking met ingang van de datum van bekendmaking, met dien verstande dat artikel 2, tweede en derde lid, alsmede de artikelen 3, 4 en 5 in werking treden met ingang van een bij landsbesluit te bepalen tijdstip. </w:t>
      </w:r>
    </w:p>
    <w:p w:rsidR="00740B69" w:rsidRPr="00740B69" w:rsidRDefault="00740B69" w:rsidP="00740B69">
      <w:pPr>
        <w:widowControl/>
        <w:tabs>
          <w:tab w:val="left" w:pos="284"/>
          <w:tab w:val="right" w:pos="8505"/>
        </w:tabs>
        <w:ind w:left="284" w:hanging="284"/>
        <w:rPr>
          <w:rFonts w:ascii="Palatino Linotype" w:hAnsi="Palatino Linotype"/>
          <w:snapToGrid/>
          <w:sz w:val="22"/>
          <w:szCs w:val="22"/>
          <w:lang w:val="nl-NL"/>
        </w:rPr>
      </w:pPr>
    </w:p>
    <w:p w:rsidR="00740B69" w:rsidRPr="00740B69" w:rsidRDefault="00740B69" w:rsidP="00740B69">
      <w:pPr>
        <w:widowControl/>
        <w:tabs>
          <w:tab w:val="left" w:pos="360"/>
        </w:tabs>
        <w:jc w:val="center"/>
        <w:rPr>
          <w:rFonts w:ascii="Palatino Linotype" w:hAnsi="Palatino Linotype"/>
          <w:snapToGrid/>
          <w:sz w:val="22"/>
          <w:szCs w:val="22"/>
          <w:lang w:val="nl-NL"/>
        </w:rPr>
      </w:pPr>
      <w:r w:rsidRPr="00740B69">
        <w:rPr>
          <w:rFonts w:ascii="Palatino Linotype" w:hAnsi="Palatino Linotype"/>
          <w:snapToGrid/>
          <w:sz w:val="22"/>
          <w:szCs w:val="22"/>
          <w:lang w:val="nl-NL"/>
        </w:rPr>
        <w:t>Artikel 8</w:t>
      </w:r>
    </w:p>
    <w:p w:rsidR="00740B69" w:rsidRPr="00740B69" w:rsidRDefault="00740B69" w:rsidP="00740B69">
      <w:pPr>
        <w:widowControl/>
        <w:tabs>
          <w:tab w:val="left" w:pos="360"/>
        </w:tabs>
        <w:jc w:val="both"/>
        <w:rPr>
          <w:rFonts w:ascii="Palatino Linotype" w:hAnsi="Palatino Linotype"/>
          <w:snapToGrid/>
          <w:sz w:val="22"/>
          <w:szCs w:val="22"/>
          <w:lang w:val="nl-NL"/>
        </w:rPr>
      </w:pPr>
    </w:p>
    <w:p w:rsidR="00740B69" w:rsidRPr="00740B69" w:rsidRDefault="00740B69" w:rsidP="00740B69">
      <w:pPr>
        <w:widowControl/>
        <w:tabs>
          <w:tab w:val="left" w:pos="284"/>
        </w:tabs>
        <w:ind w:left="284" w:hanging="284"/>
        <w:rPr>
          <w:rFonts w:ascii="Palatino Linotype" w:hAnsi="Palatino Linotype"/>
          <w:snapToGrid/>
          <w:sz w:val="22"/>
          <w:szCs w:val="22"/>
          <w:lang w:val="nl-NL"/>
        </w:rPr>
      </w:pPr>
      <w:r w:rsidRPr="00740B69">
        <w:rPr>
          <w:rFonts w:ascii="Palatino Linotype" w:hAnsi="Palatino Linotype"/>
          <w:snapToGrid/>
          <w:sz w:val="22"/>
          <w:szCs w:val="22"/>
          <w:lang w:val="nl-NL"/>
        </w:rPr>
        <w:t>Dit landsbesluit wordt aangehaald als: Landsbesluit in-, uit- en doorvoerverbod</w:t>
      </w:r>
    </w:p>
    <w:p w:rsidR="00740B69" w:rsidRPr="00740B69" w:rsidRDefault="00740B69" w:rsidP="00740B69">
      <w:pPr>
        <w:widowControl/>
        <w:tabs>
          <w:tab w:val="left" w:pos="284"/>
        </w:tabs>
        <w:ind w:left="284" w:hanging="284"/>
        <w:rPr>
          <w:rFonts w:ascii="Palatino Linotype" w:hAnsi="Palatino Linotype"/>
          <w:snapToGrid/>
          <w:sz w:val="22"/>
          <w:szCs w:val="22"/>
          <w:lang w:val="nl-NL"/>
        </w:rPr>
      </w:pPr>
      <w:r w:rsidRPr="00740B69">
        <w:rPr>
          <w:rFonts w:ascii="Palatino Linotype" w:hAnsi="Palatino Linotype"/>
          <w:snapToGrid/>
          <w:sz w:val="22"/>
          <w:szCs w:val="22"/>
          <w:lang w:val="nl-NL"/>
        </w:rPr>
        <w:t xml:space="preserve">Venezolaans goud. </w:t>
      </w:r>
    </w:p>
    <w:p w:rsidR="00740B69" w:rsidRPr="00740B69" w:rsidRDefault="00740B69" w:rsidP="00740B69">
      <w:pPr>
        <w:widowControl/>
        <w:tabs>
          <w:tab w:val="left" w:pos="284"/>
        </w:tabs>
        <w:ind w:left="284" w:hanging="284"/>
        <w:rPr>
          <w:rFonts w:ascii="Palatino Linotype" w:hAnsi="Palatino Linotype"/>
          <w:snapToGrid/>
          <w:sz w:val="22"/>
          <w:szCs w:val="22"/>
          <w:lang w:val="nl-NL"/>
        </w:rPr>
      </w:pPr>
    </w:p>
    <w:p w:rsidR="00740B69" w:rsidRDefault="00740B69" w:rsidP="00740B69">
      <w:pPr>
        <w:widowControl/>
        <w:ind w:left="5103"/>
        <w:rPr>
          <w:rFonts w:ascii="Palatino Linotype" w:hAnsi="Palatino Linotype"/>
          <w:snapToGrid/>
          <w:sz w:val="22"/>
          <w:szCs w:val="22"/>
          <w:lang w:val="nl-NL"/>
        </w:rPr>
      </w:pPr>
      <w:r w:rsidRPr="00740B69">
        <w:rPr>
          <w:rFonts w:ascii="Palatino Linotype" w:hAnsi="Palatino Linotype"/>
          <w:snapToGrid/>
          <w:sz w:val="22"/>
          <w:szCs w:val="22"/>
          <w:lang w:val="nl-NL"/>
        </w:rPr>
        <w:t>Gegeven te Willemstad,</w:t>
      </w:r>
      <w:r w:rsidR="00694B0E">
        <w:rPr>
          <w:rFonts w:ascii="Palatino Linotype" w:hAnsi="Palatino Linotype"/>
          <w:snapToGrid/>
          <w:sz w:val="22"/>
          <w:szCs w:val="22"/>
          <w:lang w:val="nl-NL"/>
        </w:rPr>
        <w:t xml:space="preserve"> 18 december 2019</w:t>
      </w:r>
    </w:p>
    <w:p w:rsidR="00694B0E" w:rsidRPr="00740B69" w:rsidRDefault="002E0181" w:rsidP="002E0181">
      <w:pPr>
        <w:widowControl/>
        <w:ind w:left="5103"/>
        <w:jc w:val="center"/>
        <w:rPr>
          <w:rFonts w:ascii="Palatino Linotype" w:hAnsi="Palatino Linotype"/>
          <w:snapToGrid/>
          <w:sz w:val="22"/>
          <w:szCs w:val="22"/>
          <w:lang w:val="nl-NL"/>
        </w:rPr>
      </w:pPr>
      <w:r>
        <w:rPr>
          <w:rFonts w:ascii="Palatino Linotype" w:hAnsi="Palatino Linotype"/>
          <w:sz w:val="22"/>
          <w:szCs w:val="22"/>
          <w:lang w:val="nl-NL"/>
        </w:rPr>
        <w:t>L.A. GEORGE-WOUT</w:t>
      </w:r>
    </w:p>
    <w:p w:rsidR="00740B69" w:rsidRPr="00740B69" w:rsidRDefault="00740B69" w:rsidP="00740B69">
      <w:pPr>
        <w:widowControl/>
        <w:rPr>
          <w:rFonts w:ascii="Palatino Linotype" w:hAnsi="Palatino Linotype"/>
          <w:snapToGrid/>
          <w:sz w:val="22"/>
          <w:szCs w:val="22"/>
          <w:lang w:val="nl-NL"/>
        </w:rPr>
      </w:pPr>
    </w:p>
    <w:p w:rsidR="00740B69" w:rsidRPr="00740B69" w:rsidRDefault="00740B69" w:rsidP="00740B69">
      <w:pPr>
        <w:widowControl/>
        <w:rPr>
          <w:rFonts w:ascii="Palatino Linotype" w:hAnsi="Palatino Linotype"/>
          <w:snapToGrid/>
          <w:sz w:val="22"/>
          <w:szCs w:val="22"/>
          <w:lang w:val="nl-NL"/>
        </w:rPr>
      </w:pPr>
      <w:r w:rsidRPr="00740B69">
        <w:rPr>
          <w:rFonts w:ascii="Palatino Linotype" w:hAnsi="Palatino Linotype"/>
          <w:snapToGrid/>
          <w:sz w:val="22"/>
          <w:szCs w:val="22"/>
          <w:lang w:val="nl-NL"/>
        </w:rPr>
        <w:t>De Minister van Economische Ontwikkeling,</w:t>
      </w:r>
    </w:p>
    <w:p w:rsidR="00CB0D6C" w:rsidRPr="00BA63EF" w:rsidRDefault="00CB0D6C" w:rsidP="00CB0D6C">
      <w:pPr>
        <w:widowControl/>
        <w:ind w:right="5057"/>
        <w:jc w:val="center"/>
        <w:rPr>
          <w:rFonts w:ascii="Palatino Linotype" w:hAnsi="Palatino Linotype"/>
          <w:snapToGrid/>
          <w:sz w:val="22"/>
          <w:szCs w:val="22"/>
          <w:lang w:val="nl-NL"/>
        </w:rPr>
      </w:pPr>
      <w:r w:rsidRPr="001836E9">
        <w:rPr>
          <w:rFonts w:ascii="Palatino Linotype" w:eastAsia="MS Mincho" w:hAnsi="Palatino Linotype"/>
          <w:snapToGrid/>
          <w:sz w:val="22"/>
          <w:szCs w:val="22"/>
          <w:lang w:val="nl-NL"/>
        </w:rPr>
        <w:t>G.M. Mc. WILLIAM</w:t>
      </w:r>
    </w:p>
    <w:p w:rsidR="00740B69" w:rsidRPr="00740B69" w:rsidRDefault="00740B69" w:rsidP="00740B69">
      <w:pPr>
        <w:widowControl/>
        <w:rPr>
          <w:rFonts w:ascii="Palatino Linotype" w:hAnsi="Palatino Linotype"/>
          <w:snapToGrid/>
          <w:sz w:val="22"/>
          <w:szCs w:val="22"/>
          <w:lang w:val="nl-NL"/>
        </w:rPr>
      </w:pPr>
    </w:p>
    <w:p w:rsidR="00740B69" w:rsidRPr="00740B69" w:rsidRDefault="00740B69" w:rsidP="00740B69">
      <w:pPr>
        <w:widowControl/>
        <w:tabs>
          <w:tab w:val="left" w:pos="1712"/>
        </w:tabs>
        <w:rPr>
          <w:rFonts w:ascii="Palatino Linotype" w:hAnsi="Palatino Linotype"/>
          <w:snapToGrid/>
          <w:sz w:val="22"/>
          <w:szCs w:val="22"/>
          <w:lang w:val="nl-NL"/>
        </w:rPr>
      </w:pPr>
    </w:p>
    <w:p w:rsidR="00740B69" w:rsidRPr="00740B69" w:rsidRDefault="00740B69" w:rsidP="00740B69">
      <w:pPr>
        <w:widowControl/>
        <w:rPr>
          <w:rFonts w:ascii="Palatino Linotype" w:hAnsi="Palatino Linotype"/>
          <w:snapToGrid/>
          <w:sz w:val="22"/>
          <w:szCs w:val="22"/>
          <w:lang w:val="nl-NL"/>
        </w:rPr>
      </w:pPr>
      <w:r w:rsidRPr="00740B69">
        <w:rPr>
          <w:rFonts w:ascii="Palatino Linotype" w:hAnsi="Palatino Linotype"/>
          <w:snapToGrid/>
          <w:sz w:val="22"/>
          <w:szCs w:val="22"/>
          <w:lang w:val="nl-NL"/>
        </w:rPr>
        <w:t>De Minister van Financiën,</w:t>
      </w:r>
    </w:p>
    <w:p w:rsidR="002E0181" w:rsidRDefault="002E0181" w:rsidP="002E0181">
      <w:pPr>
        <w:ind w:right="6758"/>
        <w:jc w:val="center"/>
        <w:rPr>
          <w:rFonts w:ascii="Palatino Linotype" w:hAnsi="Palatino Linotype"/>
          <w:snapToGrid/>
          <w:sz w:val="22"/>
          <w:szCs w:val="22"/>
          <w:lang w:val="nl-NL"/>
        </w:rPr>
      </w:pPr>
      <w:r>
        <w:rPr>
          <w:rFonts w:ascii="Palatino Linotype" w:hAnsi="Palatino Linotype"/>
          <w:sz w:val="22"/>
          <w:szCs w:val="22"/>
          <w:lang w:val="nl-NL"/>
        </w:rPr>
        <w:t>K.A. GIJSBERTHA</w:t>
      </w:r>
    </w:p>
    <w:p w:rsidR="00740B69" w:rsidRPr="00740B69" w:rsidRDefault="00740B69" w:rsidP="00740B69">
      <w:pPr>
        <w:widowControl/>
        <w:rPr>
          <w:rFonts w:ascii="Palatino Linotype" w:hAnsi="Palatino Linotype"/>
          <w:snapToGrid/>
          <w:sz w:val="22"/>
          <w:szCs w:val="22"/>
          <w:lang w:val="nl-NL"/>
        </w:rPr>
      </w:pPr>
    </w:p>
    <w:p w:rsidR="00740B69" w:rsidRPr="00740B69" w:rsidRDefault="00740B69" w:rsidP="00740B69">
      <w:pPr>
        <w:widowControl/>
        <w:rPr>
          <w:rFonts w:ascii="Palatino Linotype" w:hAnsi="Palatino Linotype"/>
          <w:snapToGrid/>
          <w:sz w:val="22"/>
          <w:szCs w:val="22"/>
          <w:lang w:val="nl-NL"/>
        </w:rPr>
      </w:pPr>
    </w:p>
    <w:p w:rsidR="00740B69" w:rsidRPr="00740B69" w:rsidRDefault="00740B69" w:rsidP="00740B69">
      <w:pPr>
        <w:widowControl/>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Minister van Justitie, </w:t>
      </w:r>
    </w:p>
    <w:p w:rsidR="00CB0D6C" w:rsidRPr="00F012BA" w:rsidRDefault="00CB0D6C" w:rsidP="00CB0D6C">
      <w:pPr>
        <w:ind w:right="7042"/>
        <w:jc w:val="center"/>
        <w:rPr>
          <w:rFonts w:ascii="Palatino Linotype" w:hAnsi="Palatino Linotype"/>
          <w:sz w:val="22"/>
          <w:szCs w:val="22"/>
          <w:lang w:val="nl-NL"/>
        </w:rPr>
      </w:pPr>
      <w:r w:rsidRPr="00F012BA">
        <w:rPr>
          <w:rFonts w:ascii="Palatino Linotype" w:hAnsi="Palatino Linotype"/>
          <w:sz w:val="22"/>
          <w:szCs w:val="22"/>
          <w:lang w:val="nl-NL"/>
        </w:rPr>
        <w:t>Q. C. O. GIRIGORIE</w:t>
      </w:r>
    </w:p>
    <w:p w:rsidR="00740B69" w:rsidRPr="00740B69" w:rsidRDefault="00740B69" w:rsidP="00CB0D6C">
      <w:pPr>
        <w:widowControl/>
        <w:ind w:right="6900"/>
        <w:rPr>
          <w:rFonts w:ascii="Palatino Linotype" w:hAnsi="Palatino Linotype"/>
          <w:snapToGrid/>
          <w:sz w:val="22"/>
          <w:szCs w:val="22"/>
          <w:lang w:val="nl-NL"/>
        </w:rPr>
      </w:pPr>
    </w:p>
    <w:p w:rsidR="00740B69" w:rsidRPr="00740B69" w:rsidRDefault="00740B69" w:rsidP="00740B69">
      <w:pPr>
        <w:widowControl/>
        <w:rPr>
          <w:rFonts w:ascii="Palatino Linotype" w:hAnsi="Palatino Linotype"/>
          <w:snapToGrid/>
          <w:sz w:val="22"/>
          <w:szCs w:val="22"/>
          <w:lang w:val="nl-NL"/>
        </w:rPr>
      </w:pPr>
    </w:p>
    <w:p w:rsidR="00740B69" w:rsidRPr="00740B69" w:rsidRDefault="00740B69" w:rsidP="00740B69">
      <w:pPr>
        <w:widowControl/>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Minister van </w:t>
      </w:r>
      <w:r w:rsidRPr="00740B69">
        <w:rPr>
          <w:rFonts w:ascii="Times New Roman" w:hAnsi="Times New Roman"/>
          <w:snapToGrid/>
          <w:szCs w:val="24"/>
          <w:lang w:val="nl-NL"/>
        </w:rPr>
        <w:t>Algemene Zaken</w:t>
      </w:r>
      <w:r w:rsidRPr="00740B69">
        <w:rPr>
          <w:rFonts w:ascii="Palatino Linotype" w:hAnsi="Palatino Linotype"/>
          <w:snapToGrid/>
          <w:sz w:val="22"/>
          <w:szCs w:val="22"/>
          <w:lang w:val="nl-NL"/>
        </w:rPr>
        <w:t>,</w:t>
      </w:r>
    </w:p>
    <w:p w:rsidR="00740B69" w:rsidRPr="00740B69" w:rsidRDefault="002E0181" w:rsidP="002E0181">
      <w:pPr>
        <w:widowControl/>
        <w:ind w:right="6191"/>
        <w:jc w:val="center"/>
        <w:rPr>
          <w:rFonts w:ascii="Palatino Linotype" w:hAnsi="Palatino Linotype"/>
          <w:snapToGrid/>
          <w:sz w:val="22"/>
          <w:szCs w:val="22"/>
          <w:lang w:val="nl-NL"/>
        </w:rPr>
      </w:pPr>
      <w:r>
        <w:rPr>
          <w:rFonts w:ascii="Palatino Linotype" w:hAnsi="Palatino Linotype"/>
          <w:sz w:val="22"/>
          <w:szCs w:val="22"/>
          <w:lang w:val="nl-NL"/>
        </w:rPr>
        <w:t>E. P. RHUGGENAATH</w:t>
      </w:r>
    </w:p>
    <w:p w:rsidR="00740B69" w:rsidRPr="00740B69" w:rsidRDefault="00740B69" w:rsidP="00740B69">
      <w:pPr>
        <w:widowControl/>
        <w:ind w:left="5103" w:firstLine="720"/>
        <w:rPr>
          <w:rFonts w:ascii="Palatino Linotype" w:hAnsi="Palatino Linotype"/>
          <w:snapToGrid/>
          <w:sz w:val="22"/>
          <w:szCs w:val="22"/>
          <w:lang w:val="nl-NL"/>
        </w:rPr>
      </w:pPr>
    </w:p>
    <w:p w:rsidR="00740B69" w:rsidRPr="00740B69" w:rsidRDefault="00740B69" w:rsidP="00740B69">
      <w:pPr>
        <w:widowControl/>
        <w:ind w:left="5103"/>
        <w:rPr>
          <w:rFonts w:ascii="Palatino Linotype" w:hAnsi="Palatino Linotype"/>
          <w:snapToGrid/>
          <w:sz w:val="22"/>
          <w:szCs w:val="22"/>
          <w:lang w:val="nl-NL"/>
        </w:rPr>
      </w:pPr>
      <w:r w:rsidRPr="00740B69">
        <w:rPr>
          <w:rFonts w:ascii="Palatino Linotype" w:hAnsi="Palatino Linotype"/>
          <w:snapToGrid/>
          <w:sz w:val="22"/>
          <w:szCs w:val="22"/>
          <w:lang w:val="nl-NL"/>
        </w:rPr>
        <w:t>Uitgegeven de</w:t>
      </w:r>
      <w:r w:rsidR="002E0181">
        <w:rPr>
          <w:rFonts w:ascii="Palatino Linotype" w:hAnsi="Palatino Linotype"/>
          <w:snapToGrid/>
          <w:sz w:val="22"/>
          <w:szCs w:val="22"/>
          <w:lang w:val="nl-NL"/>
        </w:rPr>
        <w:t xml:space="preserve"> 20</w:t>
      </w:r>
      <w:r w:rsidR="002E0181" w:rsidRPr="002E0181">
        <w:rPr>
          <w:rFonts w:ascii="Palatino Linotype" w:hAnsi="Palatino Linotype"/>
          <w:snapToGrid/>
          <w:sz w:val="22"/>
          <w:szCs w:val="22"/>
          <w:vertAlign w:val="superscript"/>
          <w:lang w:val="nl-NL"/>
        </w:rPr>
        <w:t>ste</w:t>
      </w:r>
      <w:r w:rsidR="002E0181">
        <w:rPr>
          <w:rFonts w:ascii="Palatino Linotype" w:hAnsi="Palatino Linotype"/>
          <w:snapToGrid/>
          <w:sz w:val="22"/>
          <w:szCs w:val="22"/>
          <w:lang w:val="nl-NL"/>
        </w:rPr>
        <w:t xml:space="preserve"> december 2019</w:t>
      </w:r>
    </w:p>
    <w:p w:rsidR="00740B69" w:rsidRPr="00740B69" w:rsidRDefault="00740B69" w:rsidP="00740B69">
      <w:pPr>
        <w:widowControl/>
        <w:ind w:left="5103"/>
        <w:rPr>
          <w:rFonts w:ascii="Palatino Linotype" w:hAnsi="Palatino Linotype"/>
          <w:snapToGrid/>
          <w:sz w:val="22"/>
          <w:szCs w:val="22"/>
          <w:lang w:val="nl-NL"/>
        </w:rPr>
      </w:pPr>
      <w:r w:rsidRPr="00740B69">
        <w:rPr>
          <w:rFonts w:ascii="Palatino Linotype" w:hAnsi="Palatino Linotype"/>
          <w:snapToGrid/>
          <w:sz w:val="22"/>
          <w:szCs w:val="22"/>
          <w:lang w:val="nl-NL"/>
        </w:rPr>
        <w:t>De Minister van Algemene Zaken,</w:t>
      </w:r>
    </w:p>
    <w:p w:rsidR="00740B69" w:rsidRPr="00740B69" w:rsidRDefault="002E0181" w:rsidP="00CB0D6C">
      <w:pPr>
        <w:widowControl/>
        <w:ind w:left="5103" w:right="946"/>
        <w:jc w:val="center"/>
        <w:rPr>
          <w:rFonts w:ascii="Palatino Linotype" w:hAnsi="Palatino Linotype"/>
          <w:snapToGrid/>
          <w:sz w:val="22"/>
          <w:szCs w:val="22"/>
          <w:lang w:val="nl-NL"/>
        </w:rPr>
      </w:pPr>
      <w:r>
        <w:rPr>
          <w:rFonts w:ascii="Palatino Linotype" w:hAnsi="Palatino Linotype"/>
          <w:sz w:val="22"/>
          <w:szCs w:val="22"/>
          <w:lang w:val="nl-NL"/>
        </w:rPr>
        <w:t>E. P. RHUGGENAATH</w:t>
      </w:r>
      <w:r w:rsidR="00740B69" w:rsidRPr="00740B69">
        <w:rPr>
          <w:rFonts w:ascii="Palatino Linotype" w:hAnsi="Palatino Linotype"/>
          <w:snapToGrid/>
          <w:sz w:val="22"/>
          <w:szCs w:val="22"/>
          <w:lang w:val="nl-NL"/>
        </w:rPr>
        <w:br w:type="page"/>
      </w:r>
    </w:p>
    <w:p w:rsidR="00740B69" w:rsidRPr="00740B69" w:rsidRDefault="00740B69" w:rsidP="00740B69">
      <w:pPr>
        <w:widowControl/>
        <w:tabs>
          <w:tab w:val="left" w:pos="1146"/>
        </w:tabs>
        <w:jc w:val="both"/>
        <w:rPr>
          <w:rFonts w:ascii="Palatino Linotype" w:hAnsi="Palatino Linotype"/>
          <w:snapToGrid/>
          <w:sz w:val="22"/>
          <w:szCs w:val="22"/>
          <w:lang w:val="nl-NL"/>
        </w:rPr>
      </w:pPr>
      <w:r w:rsidRPr="00740B69">
        <w:rPr>
          <w:rFonts w:ascii="Palatino Linotype" w:hAnsi="Palatino Linotype"/>
          <w:b/>
          <w:snapToGrid/>
          <w:sz w:val="22"/>
          <w:szCs w:val="22"/>
          <w:lang w:val="nl-NL"/>
        </w:rPr>
        <w:lastRenderedPageBreak/>
        <w:t>Nota van toelichting behorende bij het Landsbesluit in-, uit- en doorvoerverbod Venezolaans goud</w:t>
      </w:r>
      <w:r w:rsidRPr="00740B69">
        <w:rPr>
          <w:rFonts w:ascii="Palatino Linotype" w:hAnsi="Palatino Linotype"/>
          <w:b/>
          <w:snapToGrid/>
          <w:sz w:val="22"/>
          <w:szCs w:val="22"/>
          <w:lang w:val="nl-NL"/>
        </w:rPr>
        <w:tab/>
      </w:r>
    </w:p>
    <w:p w:rsidR="00740B69" w:rsidRPr="00740B69" w:rsidRDefault="00740B69" w:rsidP="00740B69">
      <w:pPr>
        <w:widowControl/>
        <w:tabs>
          <w:tab w:val="left" w:pos="1146"/>
        </w:tabs>
        <w:jc w:val="both"/>
        <w:rPr>
          <w:rFonts w:ascii="Palatino Linotype" w:hAnsi="Palatino Linotype"/>
          <w:snapToGrid/>
          <w:sz w:val="22"/>
          <w:szCs w:val="22"/>
          <w:lang w:val="nl-NL"/>
        </w:rPr>
      </w:pPr>
    </w:p>
    <w:p w:rsidR="00740B69" w:rsidRPr="00740B69" w:rsidRDefault="00740B69" w:rsidP="00740B69">
      <w:pPr>
        <w:widowControl/>
        <w:tabs>
          <w:tab w:val="left" w:pos="1146"/>
        </w:tabs>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b/>
          <w:snapToGrid/>
          <w:sz w:val="22"/>
          <w:szCs w:val="22"/>
          <w:u w:val="single"/>
          <w:lang w:val="nl-NL"/>
        </w:rPr>
      </w:pPr>
      <w:r w:rsidRPr="00740B69">
        <w:rPr>
          <w:rFonts w:ascii="Palatino Linotype" w:hAnsi="Palatino Linotype"/>
          <w:b/>
          <w:snapToGrid/>
          <w:sz w:val="22"/>
          <w:szCs w:val="22"/>
          <w:u w:val="single"/>
          <w:lang w:val="nl-NL"/>
        </w:rPr>
        <w:t>§1. Algemene toelichting</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b/>
          <w:snapToGrid/>
          <w:sz w:val="22"/>
          <w:szCs w:val="22"/>
          <w:lang w:val="nl-NL"/>
        </w:rPr>
        <w:t>§1.1 Achtergrond</w:t>
      </w:r>
      <w:r w:rsidRPr="00740B69">
        <w:rPr>
          <w:rFonts w:ascii="Palatino Linotype" w:hAnsi="Palatino Linotype"/>
          <w:b/>
          <w:snapToGrid/>
          <w:sz w:val="22"/>
          <w:szCs w:val="22"/>
          <w:vertAlign w:val="superscript"/>
          <w:lang w:val="nl-NL"/>
        </w:rPr>
        <w:footnoteReference w:id="4"/>
      </w: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De winning van goud in Venezuela is de afgelopen jaren toegenomen. Dat is deels te verklaren door beperkingen in de olie-industrie vanwege de binnenlandse economische crisis en de opgelegde buitenlandse sancties. Grote hoeveelheden goud van Venezolaanse oorsprong, herkomst of afkomst worden via Curaçao doorgevoerd naar andere delen van de wereld. De Venezolaanse goudwinning lijkt nauw verweven met praktijken als illegale mijnbouw, kapitaalvlucht, onderdrukking en uitbuiting. Strafrechtelijke onderzoeken op de ABC-eilanden hebben het vermoeden bevestigd dat de handel in en het transport van Venezolaans goud en de daaruit voortvloeiende geldstromen gepaard kunnen gaan met diverse vormen van georganiseerde, grensoverschrijdende en ondermijnende criminaliteit, zoals (drugs- of andere) smokkel, valsheid in geschrifte en (gewoonte)witwassen</w:t>
      </w:r>
      <w:r w:rsidRPr="00740B69">
        <w:rPr>
          <w:rFonts w:ascii="Palatino Linotype" w:hAnsi="Palatino Linotype"/>
          <w:snapToGrid/>
          <w:sz w:val="22"/>
          <w:szCs w:val="22"/>
          <w:vertAlign w:val="superscript"/>
          <w:lang w:val="nl-NL"/>
        </w:rPr>
        <w:footnoteReference w:id="5"/>
      </w:r>
      <w:r w:rsidRPr="00740B69">
        <w:rPr>
          <w:rFonts w:ascii="Palatino Linotype" w:hAnsi="Palatino Linotype"/>
          <w:snapToGrid/>
          <w:sz w:val="22"/>
          <w:szCs w:val="22"/>
          <w:lang w:val="nl-NL"/>
        </w:rPr>
        <w:t>. Dit brengt integriteits- en veiligheidsrisico’s met zich mee die zowel lokaal als internationaal grote zorgen baren. De huidige situatie vraagt om urgente bestuurlijke maatregelen (barrières) ter beheersing van de actuele criminaliteits- en reputatierisico’s.</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b/>
          <w:snapToGrid/>
          <w:sz w:val="22"/>
          <w:szCs w:val="22"/>
          <w:lang w:val="nl-NL"/>
        </w:rPr>
        <w:t>§1.2 Bestuurlijke barrière</w:t>
      </w: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De veiligheidssituatie zoals hierboven geschetst, rechtvaardigt de afkondiging van een in- en uitvoerverbod op basis van de bepalingen van de Landsverordening In- en Uitvoer</w:t>
      </w:r>
      <w:r w:rsidRPr="00740B69">
        <w:rPr>
          <w:rFonts w:ascii="Palatino Linotype" w:hAnsi="Palatino Linotype"/>
          <w:snapToGrid/>
          <w:sz w:val="22"/>
          <w:szCs w:val="22"/>
          <w:vertAlign w:val="superscript"/>
          <w:lang w:val="nl-NL"/>
        </w:rPr>
        <w:footnoteReference w:id="6"/>
      </w:r>
      <w:r w:rsidRPr="00740B69">
        <w:rPr>
          <w:rFonts w:ascii="Palatino Linotype" w:hAnsi="Palatino Linotype"/>
          <w:snapToGrid/>
          <w:sz w:val="22"/>
          <w:szCs w:val="22"/>
          <w:lang w:val="nl-NL"/>
        </w:rPr>
        <w:t>. Daarom is sinds 21 juni 2019 de Tijdelijke regeling in-, uit- en doorvoerverbod Venezolaans goud van kracht</w:t>
      </w:r>
      <w:r w:rsidRPr="00740B69">
        <w:rPr>
          <w:rFonts w:ascii="Palatino Linotype" w:hAnsi="Palatino Linotype"/>
          <w:snapToGrid/>
          <w:sz w:val="22"/>
          <w:szCs w:val="22"/>
          <w:vertAlign w:val="superscript"/>
          <w:lang w:val="nl-NL"/>
        </w:rPr>
        <w:footnoteReference w:id="7"/>
      </w:r>
      <w:r w:rsidRPr="00740B69">
        <w:rPr>
          <w:rFonts w:ascii="Palatino Linotype" w:hAnsi="Palatino Linotype"/>
          <w:snapToGrid/>
          <w:sz w:val="22"/>
          <w:szCs w:val="22"/>
          <w:lang w:val="nl-NL"/>
        </w:rPr>
        <w:t>, inhoudende een algeheel verbod op de in-, uit- en doorvoer van goud van Venezolaanse oorsprong, herkomst of afkomst.</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highlight w:val="yellow"/>
          <w:lang w:val="nl-NL"/>
        </w:rPr>
      </w:pPr>
      <w:r w:rsidRPr="00740B69">
        <w:rPr>
          <w:rFonts w:ascii="Palatino Linotype" w:hAnsi="Palatino Linotype"/>
          <w:snapToGrid/>
          <w:sz w:val="22"/>
          <w:szCs w:val="22"/>
          <w:lang w:val="nl-NL"/>
        </w:rPr>
        <w:t xml:space="preserve">De regering is voornemens deze regeling, conform artikel 6, eerste lid, van de Landsverordening In- en Uitvoer binnen zes maanden na de datum van inwerkingtreding, te vervangen door een landsbesluit, houdende algemene maatregelen. De regering wil het mogelijk maken om binnen het kader van dit landsbesluit, houdende algemene maatregelen, bonafide handel in goud afkomstig uit Venezuela op verantwoorde en duurzame wijze in stand te houden </w:t>
      </w:r>
      <w:proofErr w:type="spellStart"/>
      <w:r w:rsidRPr="00740B69">
        <w:rPr>
          <w:rFonts w:ascii="Palatino Linotype" w:hAnsi="Palatino Linotype"/>
          <w:snapToGrid/>
          <w:sz w:val="22"/>
          <w:szCs w:val="22"/>
          <w:lang w:val="nl-NL"/>
        </w:rPr>
        <w:t>cq</w:t>
      </w:r>
      <w:proofErr w:type="spellEnd"/>
      <w:r w:rsidRPr="00740B69">
        <w:rPr>
          <w:rFonts w:ascii="Palatino Linotype" w:hAnsi="Palatino Linotype"/>
          <w:snapToGrid/>
          <w:sz w:val="22"/>
          <w:szCs w:val="22"/>
          <w:lang w:val="nl-NL"/>
        </w:rPr>
        <w:t xml:space="preserve"> te bevorderen. Er zijn immers financieel-economische redenen om dit handelsverkeer te faciliteren, maar dan wel onder strenge controle. In het landsbesluit is daarom een ontheffingsmogelijkheid op het verbod opgenomen. Goudbedrijven die op Curaçao opereren - al dan niet in de economische zone – kunnen daarvoor in aanmerking komen.</w:t>
      </w:r>
    </w:p>
    <w:p w:rsidR="00740B69" w:rsidRPr="00740B69" w:rsidRDefault="00740B69" w:rsidP="00740B69">
      <w:pPr>
        <w:widowControl/>
        <w:jc w:val="both"/>
        <w:rPr>
          <w:rFonts w:ascii="Palatino Linotype" w:hAnsi="Palatino Linotype"/>
          <w:snapToGrid/>
          <w:sz w:val="22"/>
          <w:szCs w:val="22"/>
          <w:highlight w:val="yellow"/>
          <w:lang w:val="nl-NL"/>
        </w:rPr>
      </w:pPr>
    </w:p>
    <w:p w:rsidR="00740B69" w:rsidRPr="00740B69" w:rsidRDefault="00740B69" w:rsidP="00740B69">
      <w:pPr>
        <w:widowControl/>
        <w:tabs>
          <w:tab w:val="left" w:pos="4880"/>
        </w:tabs>
        <w:jc w:val="both"/>
        <w:rPr>
          <w:rFonts w:ascii="Palatino Linotype" w:hAnsi="Palatino Linotype"/>
          <w:b/>
          <w:snapToGrid/>
          <w:sz w:val="22"/>
          <w:szCs w:val="22"/>
          <w:lang w:val="nl-NL"/>
        </w:rPr>
      </w:pPr>
      <w:r w:rsidRPr="00740B69">
        <w:rPr>
          <w:rFonts w:ascii="Palatino Linotype" w:hAnsi="Palatino Linotype"/>
          <w:b/>
          <w:snapToGrid/>
          <w:sz w:val="22"/>
          <w:szCs w:val="22"/>
          <w:lang w:val="nl-NL"/>
        </w:rPr>
        <w:t>§1.3 Ontheffingenbeleid</w:t>
      </w:r>
    </w:p>
    <w:p w:rsidR="00740B69" w:rsidRPr="00740B69" w:rsidRDefault="00740B69" w:rsidP="00740B69">
      <w:pPr>
        <w:widowControl/>
        <w:tabs>
          <w:tab w:val="left" w:pos="4880"/>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De behandeling van ontheffingsaanvragen en de verificatie van binnenkomend goud aan de grens, moeten enerzijds gestoeld zijn op wettelijk vastgestelde regels, nader uitgewerkt in een gepubliceerd ontheffingenbeleid ten aanzien van de handel in goud van Venezolaanse oorsprong, herkomst of afkomst, en anderzijds op werkbare afspraken met Venezuela over gegevensuitwisseling en de erkenning van documenten.</w:t>
      </w:r>
    </w:p>
    <w:p w:rsidR="00740B69" w:rsidRPr="00740B69" w:rsidRDefault="00740B69" w:rsidP="00740B69">
      <w:pPr>
        <w:widowControl/>
        <w:tabs>
          <w:tab w:val="left" w:pos="4880"/>
        </w:tabs>
        <w:jc w:val="both"/>
        <w:rPr>
          <w:rFonts w:ascii="Palatino Linotype" w:hAnsi="Palatino Linotype"/>
          <w:snapToGrid/>
          <w:sz w:val="22"/>
          <w:szCs w:val="22"/>
          <w:lang w:val="nl-NL"/>
        </w:rPr>
      </w:pPr>
    </w:p>
    <w:p w:rsidR="00740B69" w:rsidRPr="00740B69" w:rsidRDefault="00740B69" w:rsidP="00740B69">
      <w:pPr>
        <w:widowControl/>
        <w:tabs>
          <w:tab w:val="left" w:pos="4880"/>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Minister van Economische Ontwikkeling zal het ontheffingenbeleid vaststellen. In dat beleid zullen, vanuit de gedachte van internationaal maatschappelijk verantwoord ondernemen, de </w:t>
      </w:r>
      <w:proofErr w:type="spellStart"/>
      <w:r w:rsidRPr="00740B69">
        <w:rPr>
          <w:rFonts w:ascii="Palatino Linotype" w:hAnsi="Palatino Linotype"/>
          <w:i/>
          <w:snapToGrid/>
          <w:sz w:val="22"/>
          <w:szCs w:val="22"/>
          <w:lang w:val="nl-NL"/>
        </w:rPr>
        <w:t>due</w:t>
      </w:r>
      <w:proofErr w:type="spellEnd"/>
      <w:r w:rsidRPr="00740B69">
        <w:rPr>
          <w:rFonts w:ascii="Palatino Linotype" w:hAnsi="Palatino Linotype"/>
          <w:i/>
          <w:snapToGrid/>
          <w:sz w:val="22"/>
          <w:szCs w:val="22"/>
          <w:lang w:val="nl-NL"/>
        </w:rPr>
        <w:t xml:space="preserve"> diligence</w:t>
      </w:r>
      <w:r w:rsidRPr="00740B69">
        <w:rPr>
          <w:rFonts w:ascii="Palatino Linotype" w:hAnsi="Palatino Linotype"/>
          <w:snapToGrid/>
          <w:sz w:val="22"/>
          <w:szCs w:val="22"/>
          <w:lang w:val="nl-NL"/>
        </w:rPr>
        <w:t xml:space="preserve">-richtlijnen met betrekking tot de bron van het goud, bedoeld in artikel 3, vierde lid, nader worden uitgewerkt. Dit, gebaseerd op internationale richtlijnen van organisaties als de OESO en in navolging van het beleid en </w:t>
      </w:r>
      <w:r w:rsidRPr="00740B69">
        <w:rPr>
          <w:rFonts w:ascii="Palatino Linotype" w:hAnsi="Palatino Linotype"/>
          <w:i/>
          <w:snapToGrid/>
          <w:sz w:val="22"/>
          <w:szCs w:val="22"/>
          <w:lang w:val="nl-NL"/>
        </w:rPr>
        <w:t xml:space="preserve">best </w:t>
      </w:r>
      <w:proofErr w:type="spellStart"/>
      <w:r w:rsidRPr="00740B69">
        <w:rPr>
          <w:rFonts w:ascii="Palatino Linotype" w:hAnsi="Palatino Linotype"/>
          <w:i/>
          <w:snapToGrid/>
          <w:sz w:val="22"/>
          <w:szCs w:val="22"/>
          <w:lang w:val="nl-NL"/>
        </w:rPr>
        <w:t>practices</w:t>
      </w:r>
      <w:proofErr w:type="spellEnd"/>
      <w:r w:rsidRPr="00740B69">
        <w:rPr>
          <w:rFonts w:ascii="Palatino Linotype" w:hAnsi="Palatino Linotype"/>
          <w:snapToGrid/>
          <w:sz w:val="22"/>
          <w:szCs w:val="22"/>
          <w:lang w:val="nl-NL"/>
        </w:rPr>
        <w:t xml:space="preserve"> van de lidstaten van de Europese Unie. De kern van het ontheffingenbeleid is dat de betreffende bedrijven en het door hen in-, uit of doorgevoerde goud niet betrokken zijn (geweest) bij mensenrechtenschendingen in risicovolle of conflictgebieden. De richtlijnen zullen in ieder geval betrekking hebben op het aangaan van contracten met derden, het bijhouden van traceerbare informatie over de goudleveranciers en de oorsprong van het goud, het toepassen van risicobeheermethoden en het rapporteren daarover en het toestaan van audits van onafhankelijke derden en het openbaar maken van de in dat verband opgemaakte auditrapporten. Het ontheffingenbeleid betreft een nadere uitwerking van de in het landsbesluit vastgelegde aanvraagprocedure en van de beoordelingscriteria (</w:t>
      </w:r>
      <w:proofErr w:type="spellStart"/>
      <w:r w:rsidRPr="00740B69">
        <w:rPr>
          <w:rFonts w:ascii="Palatino Linotype" w:hAnsi="Palatino Linotype"/>
          <w:snapToGrid/>
          <w:sz w:val="22"/>
          <w:szCs w:val="22"/>
          <w:lang w:val="nl-NL"/>
        </w:rPr>
        <w:t>due</w:t>
      </w:r>
      <w:proofErr w:type="spellEnd"/>
      <w:r w:rsidRPr="00740B69">
        <w:rPr>
          <w:rFonts w:ascii="Palatino Linotype" w:hAnsi="Palatino Linotype"/>
          <w:snapToGrid/>
          <w:sz w:val="22"/>
          <w:szCs w:val="22"/>
          <w:lang w:val="nl-NL"/>
        </w:rPr>
        <w:t xml:space="preserve"> diligence) die bij ministeriële regeling met algemene werking worden vastgesteld. Ten aanzien van dit beleid vindt overleg plaats met de Minister van Financiën. De douane adviseert hierover.</w:t>
      </w:r>
    </w:p>
    <w:p w:rsidR="00740B69" w:rsidRPr="00740B69" w:rsidRDefault="00740B69" w:rsidP="00740B69">
      <w:pPr>
        <w:widowControl/>
        <w:tabs>
          <w:tab w:val="left" w:pos="4880"/>
        </w:tabs>
        <w:jc w:val="both"/>
        <w:rPr>
          <w:rFonts w:ascii="Palatino Linotype" w:hAnsi="Palatino Linotype"/>
          <w:snapToGrid/>
          <w:sz w:val="22"/>
          <w:szCs w:val="22"/>
          <w:lang w:val="nl-NL"/>
        </w:rPr>
      </w:pPr>
    </w:p>
    <w:p w:rsidR="00740B69" w:rsidRPr="00740B69" w:rsidRDefault="00740B69" w:rsidP="00740B69">
      <w:pPr>
        <w:widowControl/>
        <w:tabs>
          <w:tab w:val="left" w:pos="456"/>
        </w:tabs>
        <w:jc w:val="both"/>
        <w:rPr>
          <w:rFonts w:ascii="Palatino Linotype" w:hAnsi="Palatino Linotype"/>
          <w:strike/>
          <w:snapToGrid/>
          <w:sz w:val="22"/>
          <w:szCs w:val="22"/>
          <w:lang w:val="nl-NL"/>
        </w:rPr>
      </w:pPr>
      <w:r w:rsidRPr="00740B69">
        <w:rPr>
          <w:rFonts w:ascii="Palatino Linotype" w:hAnsi="Palatino Linotype"/>
          <w:snapToGrid/>
          <w:sz w:val="22"/>
          <w:szCs w:val="22"/>
          <w:lang w:val="nl-NL"/>
        </w:rPr>
        <w:t>Onderhavig landsbesluit regelt de bevoegdheid van de Minister van Economische Ontwikkeling om ontheffing te verlenen van het verbod op de invoer en de uitvoer en om ontheffing te verlenen voor de doorvoer van goud van Venezolaanse oorsprong, herkomst of afkomst. Het systeem van aanvragen, beoordelen, verlenen, verlengen, weigeren of intrekken van een ontheffing, zoals dat is neergelegd in de artikelen 3, 4 en 5, en in nog vast te stellen uitvoeringsregelingen, kan in een ontheffingenbeleid nader verfijnd worden.</w:t>
      </w:r>
      <w:r w:rsidRPr="00740B69">
        <w:rPr>
          <w:rFonts w:ascii="Times New Roman" w:hAnsi="Times New Roman"/>
          <w:snapToGrid/>
          <w:sz w:val="20"/>
          <w:lang w:val="nl-NL"/>
        </w:rPr>
        <w:t xml:space="preserve"> </w:t>
      </w:r>
    </w:p>
    <w:p w:rsidR="00740B69" w:rsidRPr="00740B69" w:rsidRDefault="00740B69" w:rsidP="00740B69">
      <w:pPr>
        <w:widowControl/>
        <w:tabs>
          <w:tab w:val="left" w:pos="45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ab/>
      </w:r>
    </w:p>
    <w:p w:rsidR="00740B69" w:rsidRPr="00740B69" w:rsidRDefault="00740B69" w:rsidP="00740B69">
      <w:pPr>
        <w:widowControl/>
        <w:tabs>
          <w:tab w:val="left" w:pos="45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Een ontheffing kan conform artikel 9 van de Landsverordening In- en Uitvoer, door de Minister van Economische Ontwikkeling worden ingetrokken als de gegevens verstrekt ter verkrijging van de ontheffing zodanig onjuist of onvolledig blijken te zijn, dat op de aanvraag een andere beslissing zou zijn genomen, indien bij de beoordeling daarvan de juiste of volledige gegevens bekend waren geweest. Voorts kan intrekking plaatsvinden als de aan de ontheffing verbonden beperkingen en voorschriften niet worden of niet zijn nageleefd. </w:t>
      </w:r>
    </w:p>
    <w:p w:rsidR="00740B69" w:rsidRPr="00740B69" w:rsidRDefault="00740B69" w:rsidP="00740B69">
      <w:pPr>
        <w:widowControl/>
        <w:tabs>
          <w:tab w:val="left" w:pos="45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Artikel 14 van de Landsverordening In- en Uitvoer bevat bepalingen over het instellen en behandelen van beroep tegen een beslissing aangaande ontheffing.</w:t>
      </w:r>
    </w:p>
    <w:p w:rsidR="00740B69" w:rsidRPr="00740B69" w:rsidRDefault="00740B69" w:rsidP="00740B69">
      <w:pPr>
        <w:widowControl/>
        <w:tabs>
          <w:tab w:val="left" w:pos="4880"/>
        </w:tabs>
        <w:jc w:val="both"/>
        <w:rPr>
          <w:rFonts w:ascii="Palatino Linotype" w:hAnsi="Palatino Linotype"/>
          <w:snapToGrid/>
          <w:sz w:val="22"/>
          <w:szCs w:val="22"/>
          <w:lang w:val="nl-NL"/>
        </w:rPr>
      </w:pPr>
    </w:p>
    <w:p w:rsidR="00740B69" w:rsidRPr="00740B69" w:rsidRDefault="00740B69" w:rsidP="00740B69">
      <w:pPr>
        <w:widowControl/>
        <w:tabs>
          <w:tab w:val="left" w:pos="4880"/>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Met het ontbreken van een bilateraal douaneverdrag met Venezuela mist Douane Curaçao een basis voor de erkenning van </w:t>
      </w:r>
      <w:proofErr w:type="spellStart"/>
      <w:r w:rsidRPr="00740B69">
        <w:rPr>
          <w:rFonts w:ascii="Palatino Linotype" w:hAnsi="Palatino Linotype"/>
          <w:snapToGrid/>
          <w:sz w:val="22"/>
          <w:szCs w:val="22"/>
          <w:lang w:val="nl-NL"/>
        </w:rPr>
        <w:t>oorsprongcertificaten</w:t>
      </w:r>
      <w:proofErr w:type="spellEnd"/>
      <w:r w:rsidRPr="00740B69">
        <w:rPr>
          <w:rFonts w:ascii="Palatino Linotype" w:hAnsi="Palatino Linotype"/>
          <w:snapToGrid/>
          <w:sz w:val="22"/>
          <w:szCs w:val="22"/>
          <w:lang w:val="nl-NL"/>
        </w:rPr>
        <w:t xml:space="preserve">, de controle van handelsdocumenten en de uitwisseling van douanegegevens. Dit belemmert vooralsnog de noodzakelijke verificatie van de herkomst en de bestemming van het Venezolaanse goud en daarmee toezicht en handhaving aan de grens. Het streven is om op termijn te komen tot verdragsrechtelijke overeenkomsten of anderszins praktische werkafspraken die zullen voorzien in betrouwbare verificatieprocessen. </w:t>
      </w:r>
    </w:p>
    <w:p w:rsidR="00740B69" w:rsidRPr="00740B69" w:rsidRDefault="00740B69" w:rsidP="00740B69">
      <w:pPr>
        <w:widowControl/>
        <w:tabs>
          <w:tab w:val="left" w:pos="4880"/>
        </w:tabs>
        <w:jc w:val="both"/>
        <w:rPr>
          <w:rFonts w:ascii="Palatino Linotype" w:hAnsi="Palatino Linotype"/>
          <w:snapToGrid/>
          <w:sz w:val="22"/>
          <w:szCs w:val="22"/>
          <w:highlight w:val="yellow"/>
          <w:lang w:val="nl-NL"/>
        </w:rPr>
      </w:pPr>
    </w:p>
    <w:p w:rsidR="00740B69" w:rsidRPr="00740B69" w:rsidRDefault="00740B69" w:rsidP="00740B69">
      <w:pPr>
        <w:widowControl/>
        <w:tabs>
          <w:tab w:val="left" w:pos="4880"/>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bepalingen omtrent ontheffingen zullen op een later moment in werking treden dan de rest van dit landsbesluit. Ontheffingen kunnen immers pas effectief worden verleend en gehandhaafd, wanneer de wettelijk vastgelegde uitgangspunten en procedures, ook in een ontheffingenbeleid nader zijn beschreven en uitgewerkt. En voorts geldt, dat ontheffingen pas kunnen worden gehandhaafd als, bij hervatting van het handelsverkeer met Venezuela, bilaterale douane-afspraken zijn gemaakt. </w:t>
      </w:r>
    </w:p>
    <w:p w:rsidR="00740B69" w:rsidRPr="00740B69" w:rsidRDefault="00740B69" w:rsidP="00740B69">
      <w:pPr>
        <w:widowControl/>
        <w:tabs>
          <w:tab w:val="left" w:pos="4880"/>
        </w:tabs>
        <w:jc w:val="both"/>
        <w:rPr>
          <w:rFonts w:ascii="Palatino Linotype" w:hAnsi="Palatino Linotype"/>
          <w:snapToGrid/>
          <w:sz w:val="22"/>
          <w:szCs w:val="22"/>
          <w:lang w:val="nl-NL"/>
        </w:rPr>
      </w:pPr>
    </w:p>
    <w:p w:rsidR="00740B69" w:rsidRPr="00740B69" w:rsidRDefault="00740B69" w:rsidP="00740B69">
      <w:pPr>
        <w:widowControl/>
        <w:rPr>
          <w:rFonts w:ascii="Palatino Linotype" w:hAnsi="Palatino Linotype"/>
          <w:snapToGrid/>
          <w:sz w:val="22"/>
          <w:szCs w:val="22"/>
          <w:lang w:val="nl-NL"/>
        </w:rPr>
      </w:pPr>
      <w:r w:rsidRPr="00740B69">
        <w:rPr>
          <w:rFonts w:ascii="Palatino Linotype" w:hAnsi="Palatino Linotype"/>
          <w:b/>
          <w:snapToGrid/>
          <w:sz w:val="22"/>
          <w:szCs w:val="22"/>
          <w:lang w:val="nl-NL"/>
        </w:rPr>
        <w:t>§1.4 Toezicht, handhaving en voorlichting</w:t>
      </w: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Landsverordening In- en Uitvoer regelt in artikel 14 </w:t>
      </w:r>
      <w:proofErr w:type="spellStart"/>
      <w:r w:rsidRPr="00740B69">
        <w:rPr>
          <w:rFonts w:ascii="Palatino Linotype" w:hAnsi="Palatino Linotype"/>
          <w:snapToGrid/>
          <w:sz w:val="22"/>
          <w:szCs w:val="22"/>
          <w:lang w:val="nl-NL"/>
        </w:rPr>
        <w:t>ondermeer</w:t>
      </w:r>
      <w:proofErr w:type="spellEnd"/>
      <w:r w:rsidRPr="00740B69">
        <w:rPr>
          <w:rFonts w:ascii="Palatino Linotype" w:hAnsi="Palatino Linotype"/>
          <w:snapToGrid/>
          <w:sz w:val="22"/>
          <w:szCs w:val="22"/>
          <w:lang w:val="nl-NL"/>
        </w:rPr>
        <w:t xml:space="preserve"> dat handelen in strijd met de </w:t>
      </w:r>
      <w:proofErr w:type="gramStart"/>
      <w:r w:rsidRPr="00740B69">
        <w:rPr>
          <w:rFonts w:ascii="Palatino Linotype" w:hAnsi="Palatino Linotype"/>
          <w:snapToGrid/>
          <w:sz w:val="22"/>
          <w:szCs w:val="22"/>
          <w:lang w:val="nl-NL"/>
        </w:rPr>
        <w:t>krachtens</w:t>
      </w:r>
      <w:proofErr w:type="gramEnd"/>
      <w:r w:rsidRPr="00740B69">
        <w:rPr>
          <w:rFonts w:ascii="Palatino Linotype" w:hAnsi="Palatino Linotype"/>
          <w:snapToGrid/>
          <w:sz w:val="22"/>
          <w:szCs w:val="22"/>
          <w:lang w:val="nl-NL"/>
        </w:rPr>
        <w:t xml:space="preserve"> die landsverordening gestelde regels omtrent in- en uitvoer van goederen, in </w:t>
      </w:r>
      <w:proofErr w:type="spellStart"/>
      <w:r w:rsidRPr="00740B69">
        <w:rPr>
          <w:rFonts w:ascii="Palatino Linotype" w:hAnsi="Palatino Linotype"/>
          <w:snapToGrid/>
          <w:sz w:val="22"/>
          <w:szCs w:val="22"/>
          <w:lang w:val="nl-NL"/>
        </w:rPr>
        <w:t>casu</w:t>
      </w:r>
      <w:proofErr w:type="spellEnd"/>
      <w:r w:rsidRPr="00740B69">
        <w:rPr>
          <w:rFonts w:ascii="Palatino Linotype" w:hAnsi="Palatino Linotype"/>
          <w:snapToGrid/>
          <w:sz w:val="22"/>
          <w:szCs w:val="22"/>
          <w:lang w:val="nl-NL"/>
        </w:rPr>
        <w:t xml:space="preserve"> Venezolaans goud, strafbaar is. Het kan een misdrijf opleveren, bedreigd met een gevangenisstraf van ten hoogste een jaar of geldboete van de derde categorie zoals bedoeld in artikel 1:54 van het Wetboek van Strafrecht (ten hoogste </w:t>
      </w:r>
      <w:proofErr w:type="spellStart"/>
      <w:r w:rsidRPr="00740B69">
        <w:rPr>
          <w:rFonts w:ascii="Palatino Linotype" w:hAnsi="Palatino Linotype"/>
          <w:snapToGrid/>
          <w:sz w:val="22"/>
          <w:szCs w:val="22"/>
          <w:lang w:val="nl-NL"/>
        </w:rPr>
        <w:t>NAf</w:t>
      </w:r>
      <w:proofErr w:type="spellEnd"/>
      <w:r w:rsidRPr="00740B69">
        <w:rPr>
          <w:rFonts w:ascii="Palatino Linotype" w:hAnsi="Palatino Linotype"/>
          <w:snapToGrid/>
          <w:sz w:val="22"/>
          <w:szCs w:val="22"/>
          <w:lang w:val="nl-NL"/>
        </w:rPr>
        <w:t xml:space="preserve"> 10.000). Betreft het strafbare feit een overtreding, dan staat daar hechtenis van ten hoogste vier weken op of geldboete van de tweede categorie (ten hoogste </w:t>
      </w:r>
      <w:proofErr w:type="spellStart"/>
      <w:r w:rsidRPr="00740B69">
        <w:rPr>
          <w:rFonts w:ascii="Palatino Linotype" w:hAnsi="Palatino Linotype"/>
          <w:snapToGrid/>
          <w:sz w:val="22"/>
          <w:szCs w:val="22"/>
          <w:lang w:val="nl-NL"/>
        </w:rPr>
        <w:t>NAf</w:t>
      </w:r>
      <w:proofErr w:type="spellEnd"/>
      <w:r w:rsidRPr="00740B69">
        <w:rPr>
          <w:rFonts w:ascii="Palatino Linotype" w:hAnsi="Palatino Linotype"/>
          <w:snapToGrid/>
          <w:sz w:val="22"/>
          <w:szCs w:val="22"/>
          <w:lang w:val="nl-NL"/>
        </w:rPr>
        <w:t xml:space="preserve"> 5.000)</w:t>
      </w:r>
      <w:r w:rsidRPr="00740B69">
        <w:rPr>
          <w:rFonts w:ascii="Palatino Linotype" w:hAnsi="Palatino Linotype"/>
          <w:snapToGrid/>
          <w:sz w:val="22"/>
          <w:szCs w:val="22"/>
          <w:vertAlign w:val="superscript"/>
          <w:lang w:val="nl-NL"/>
        </w:rPr>
        <w:footnoteReference w:id="8"/>
      </w:r>
      <w:r w:rsidRPr="00740B69">
        <w:rPr>
          <w:rFonts w:ascii="Palatino Linotype" w:hAnsi="Palatino Linotype"/>
          <w:snapToGrid/>
          <w:sz w:val="22"/>
          <w:szCs w:val="22"/>
          <w:lang w:val="nl-NL"/>
        </w:rPr>
        <w:t>. Voor wat betreft de doorvoer van goederen is de overtreding van het verbod daarop, zolang niet anders is geregeld, strafbaar op grond van artikel 257 van de Algemene Verordening I.U. en D. 1908</w:t>
      </w:r>
      <w:r w:rsidRPr="00740B69">
        <w:rPr>
          <w:rFonts w:ascii="Palatino Linotype" w:hAnsi="Palatino Linotype"/>
          <w:snapToGrid/>
          <w:sz w:val="22"/>
          <w:szCs w:val="22"/>
          <w:vertAlign w:val="superscript"/>
          <w:lang w:val="nl-NL"/>
        </w:rPr>
        <w:footnoteReference w:id="9"/>
      </w:r>
      <w:r w:rsidRPr="00740B69">
        <w:rPr>
          <w:rFonts w:ascii="Palatino Linotype" w:hAnsi="Palatino Linotype"/>
          <w:snapToGrid/>
          <w:sz w:val="22"/>
          <w:szCs w:val="22"/>
          <w:lang w:val="nl-NL"/>
        </w:rPr>
        <w:t>, met een boete van de tweede categorie. In de Landsverordening In- en Uitvoer is niet uitdrukkelijk voorzien in de sanctionering van doorvoer. Daarom is de strafbaarstelling en strafdreiging van artikel 257 van de Algemene Verordening I.U. en D van toepassing is op de overtreding van het verbod op doorvoer van Venezolaans goud.</w:t>
      </w: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w:t>
      </w:r>
      <w:proofErr w:type="spellStart"/>
      <w:r w:rsidRPr="00740B69">
        <w:rPr>
          <w:rFonts w:ascii="Palatino Linotype" w:hAnsi="Palatino Linotype"/>
          <w:snapToGrid/>
          <w:sz w:val="22"/>
          <w:szCs w:val="22"/>
          <w:lang w:val="nl-NL"/>
        </w:rPr>
        <w:t>douane-ambtenaren</w:t>
      </w:r>
      <w:proofErr w:type="spellEnd"/>
      <w:r w:rsidRPr="00740B69">
        <w:rPr>
          <w:rFonts w:ascii="Palatino Linotype" w:hAnsi="Palatino Linotype"/>
          <w:snapToGrid/>
          <w:sz w:val="22"/>
          <w:szCs w:val="22"/>
          <w:lang w:val="nl-NL"/>
        </w:rPr>
        <w:t xml:space="preserve"> zijn wettelijk belast met het toezicht op de naleving van de bepalingen van dit landsbesluit en met de opsporing van het desbetreffende strafbare feit.</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bekendmaking van het verbod van artikel 2, eerste lid, van onderhavig landsbesluit, geschiedt behalve op formeel wettelijke wijze en via de media, tevens door het plaatsen van fysieke borden of digitale berichtgeving bij de grens en het zo mogelijk rechtstreeks informeren van reizigers, transport- en goudbedrijven. Het verbod zal ook langs diplomatieke kanalen uitgedragen worden richting het publiek en bedrijven, en naar Venezuela en andere betrokken landen.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u w:val="single"/>
          <w:lang w:val="nl-NL"/>
        </w:rPr>
      </w:pPr>
      <w:r w:rsidRPr="00740B69">
        <w:rPr>
          <w:rFonts w:ascii="Palatino Linotype" w:hAnsi="Palatino Linotype"/>
          <w:b/>
          <w:snapToGrid/>
          <w:sz w:val="22"/>
          <w:szCs w:val="22"/>
          <w:u w:val="single"/>
          <w:lang w:val="nl-NL"/>
        </w:rPr>
        <w:t xml:space="preserve">§2. Financieel-economische gevolgen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De hoge exportcijfers inzake goud zijn een weergave van zowel transitvervoer, als van de door Douane Curaçao geregistreerde waarde van het goud van Venezolaanse oorsprong, herkomst of afkomst dat tijdelijk in onze economische zone wordt opgeslagen, met het doel te worden uitgevoerd naar het buitenland.</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Meer dan 90% van het via de economische zone doorgevoerde goud is afkomstig uit Venezuela. Goederen die bestemd zijn voor de doorvoer, zijn niet onderhevig aan invoerrechten</w:t>
      </w:r>
      <w:r w:rsidRPr="00740B69">
        <w:rPr>
          <w:rFonts w:ascii="Palatino Linotype" w:hAnsi="Palatino Linotype"/>
          <w:snapToGrid/>
          <w:sz w:val="22"/>
          <w:szCs w:val="22"/>
          <w:vertAlign w:val="superscript"/>
          <w:lang w:val="nl-NL"/>
        </w:rPr>
        <w:footnoteReference w:id="10"/>
      </w:r>
      <w:r w:rsidRPr="00740B69">
        <w:rPr>
          <w:rFonts w:ascii="Palatino Linotype" w:hAnsi="Palatino Linotype"/>
          <w:snapToGrid/>
          <w:sz w:val="22"/>
          <w:szCs w:val="22"/>
          <w:lang w:val="nl-NL"/>
        </w:rPr>
        <w:t>. Onderhavig verbod, evenals een toekomstige ontheffing daarop, heeft in het kader van invoerrechten geen fiscale voor- of nadelen voor de landskas</w:t>
      </w:r>
      <w:r w:rsidRPr="00740B69">
        <w:rPr>
          <w:rFonts w:ascii="Palatino Linotype" w:hAnsi="Palatino Linotype"/>
          <w:snapToGrid/>
          <w:sz w:val="22"/>
          <w:szCs w:val="22"/>
          <w:vertAlign w:val="superscript"/>
          <w:lang w:val="nl-NL"/>
        </w:rPr>
        <w:footnoteReference w:id="11"/>
      </w:r>
      <w:r w:rsidRPr="00740B69">
        <w:rPr>
          <w:rFonts w:ascii="Palatino Linotype" w:hAnsi="Palatino Linotype"/>
          <w:snapToGrid/>
          <w:sz w:val="22"/>
          <w:szCs w:val="22"/>
          <w:lang w:val="nl-NL"/>
        </w:rPr>
        <w:t xml:space="preserve">.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Bedrijven gevestigd in de economische zone komen vooralsnog in aanmerking voor een bijzonder winstbelastingtarief van 2%</w:t>
      </w:r>
      <w:r w:rsidRPr="00740B69">
        <w:rPr>
          <w:rFonts w:ascii="Palatino Linotype" w:hAnsi="Palatino Linotype"/>
          <w:snapToGrid/>
          <w:sz w:val="22"/>
          <w:szCs w:val="22"/>
          <w:vertAlign w:val="superscript"/>
          <w:lang w:val="nl-NL"/>
        </w:rPr>
        <w:footnoteReference w:id="12"/>
      </w:r>
      <w:r w:rsidRPr="00740B69">
        <w:rPr>
          <w:rFonts w:ascii="Palatino Linotype" w:hAnsi="Palatino Linotype"/>
          <w:snapToGrid/>
          <w:sz w:val="22"/>
          <w:szCs w:val="22"/>
          <w:lang w:val="nl-NL"/>
        </w:rPr>
        <w:t xml:space="preserve">. Om de fiscale gevolgen van het verbod en de ontheffing voor de landskas te kunnen inschatten, is inzicht nodig in de door deze sector afgedragen winstbelasting. Het is hierbij zeer relevant om te onderzoeken in welke mate deze bedrijven compliant zijn op fiscaal gebied. De kernvraag is, of de financiële verslaggeving en de administratieve organisatie een volledig en getrouw beeld geven van het vermogen en het resultaat van de onderneming.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Hoewel de goudbedrijven in de economische zone doorgaans nauwelijks lokaal personeel hebben, brengen hun activiteiten mogelijk wel enige economische spin off-effecten teweeg. Vliegbewegingen, opslag, geldtransacties en de vestiging op het eiland van deze bedrijven dragen waarschijnlijk voor een klein deel bij aan de bedrijvigheid in de sectoren transport, logistiek en overige (financiële) dienstverlening. Verder is een klein aantal bedrijven buiten de economische zone actief, dat lokaal via verpanding verkregen goud tot goudstaven smelt en vervolgens uitvoert.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Er is thans onvoldoende zicht op de impact van het verbod en van het ontheffingenbeleid op de werkbelasting bij de toezichthoudende en handhavende diensten, zoals Douane Curaçao. Bij heropening van de grenzen met Venezuela is een intensivering van de controle nodig. Het handhaven van het verbod en de </w:t>
      </w:r>
      <w:proofErr w:type="spellStart"/>
      <w:r w:rsidRPr="00740B69">
        <w:rPr>
          <w:rFonts w:ascii="Palatino Linotype" w:hAnsi="Palatino Linotype"/>
          <w:snapToGrid/>
          <w:sz w:val="22"/>
          <w:szCs w:val="22"/>
          <w:lang w:val="nl-NL"/>
        </w:rPr>
        <w:t>ontheffingverlening</w:t>
      </w:r>
      <w:proofErr w:type="spellEnd"/>
      <w:r w:rsidRPr="00740B69">
        <w:rPr>
          <w:rFonts w:ascii="Palatino Linotype" w:hAnsi="Palatino Linotype"/>
          <w:snapToGrid/>
          <w:sz w:val="22"/>
          <w:szCs w:val="22"/>
          <w:lang w:val="nl-NL"/>
        </w:rPr>
        <w:t xml:space="preserve"> kosten extra tijd en mankracht en zullen erop gericht zijn om de Venezolaanse herkomst, afkomst of oorsprong van in-, uit of doorgevoerd goud vast te stellen of, zoveel als redelijkerwijs mogelijk is, uit te sluiten. Ook vergt de procedure rond de </w:t>
      </w:r>
      <w:proofErr w:type="spellStart"/>
      <w:r w:rsidRPr="00740B69">
        <w:rPr>
          <w:rFonts w:ascii="Palatino Linotype" w:hAnsi="Palatino Linotype"/>
          <w:snapToGrid/>
          <w:sz w:val="22"/>
          <w:szCs w:val="22"/>
          <w:lang w:val="nl-NL"/>
        </w:rPr>
        <w:t>ontheffingverlening</w:t>
      </w:r>
      <w:proofErr w:type="spellEnd"/>
      <w:r w:rsidRPr="00740B69">
        <w:rPr>
          <w:rFonts w:ascii="Palatino Linotype" w:hAnsi="Palatino Linotype"/>
          <w:snapToGrid/>
          <w:sz w:val="22"/>
          <w:szCs w:val="22"/>
          <w:lang w:val="nl-NL"/>
        </w:rPr>
        <w:t xml:space="preserve"> additionele werkzaamheden bij het Ministerie van Economische Ontwikkeling. Aan het systeem van </w:t>
      </w:r>
      <w:proofErr w:type="spellStart"/>
      <w:r w:rsidRPr="00740B69">
        <w:rPr>
          <w:rFonts w:ascii="Palatino Linotype" w:hAnsi="Palatino Linotype"/>
          <w:snapToGrid/>
          <w:sz w:val="22"/>
          <w:szCs w:val="22"/>
          <w:lang w:val="nl-NL"/>
        </w:rPr>
        <w:t>ontheffingverlening</w:t>
      </w:r>
      <w:proofErr w:type="spellEnd"/>
      <w:r w:rsidRPr="00740B69">
        <w:rPr>
          <w:rFonts w:ascii="Palatino Linotype" w:hAnsi="Palatino Linotype"/>
          <w:snapToGrid/>
          <w:sz w:val="22"/>
          <w:szCs w:val="22"/>
          <w:lang w:val="nl-NL"/>
        </w:rPr>
        <w:t xml:space="preserve"> hangt aldus een prijskaartje, bestaande uit extra personeelskosten.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bookmarkStart w:id="1" w:name="_Hlk26934983"/>
      <w:r w:rsidRPr="00740B69">
        <w:rPr>
          <w:rFonts w:ascii="Palatino Linotype" w:hAnsi="Palatino Linotype"/>
          <w:snapToGrid/>
          <w:sz w:val="22"/>
          <w:szCs w:val="22"/>
          <w:lang w:val="nl-NL"/>
        </w:rPr>
        <w:t>Op grond van artikel 5 van de Algemene Verordening I.U. en D. 1908</w:t>
      </w:r>
      <w:bookmarkEnd w:id="1"/>
      <w:r w:rsidRPr="00740B69">
        <w:rPr>
          <w:rFonts w:ascii="Palatino Linotype" w:hAnsi="Palatino Linotype"/>
          <w:snapToGrid/>
          <w:sz w:val="22"/>
          <w:szCs w:val="22"/>
          <w:lang w:val="nl-NL"/>
        </w:rPr>
        <w:t xml:space="preserve">, kunnen de kosten van dienstverlening door ambtenaren die zich bezig houden met wettelijke regelingen op de in-, uit- en doorvoer, en die verrichtingen doen op verzoek en </w:t>
      </w:r>
      <w:proofErr w:type="gramStart"/>
      <w:r w:rsidRPr="00740B69">
        <w:rPr>
          <w:rFonts w:ascii="Palatino Linotype" w:hAnsi="Palatino Linotype"/>
          <w:snapToGrid/>
          <w:sz w:val="22"/>
          <w:szCs w:val="22"/>
          <w:lang w:val="nl-NL"/>
        </w:rPr>
        <w:t>ten gerieve van</w:t>
      </w:r>
      <w:proofErr w:type="gramEnd"/>
      <w:r w:rsidRPr="00740B69">
        <w:rPr>
          <w:rFonts w:ascii="Palatino Linotype" w:hAnsi="Palatino Linotype"/>
          <w:snapToGrid/>
          <w:sz w:val="22"/>
          <w:szCs w:val="22"/>
          <w:lang w:val="nl-NL"/>
        </w:rPr>
        <w:t xml:space="preserve"> belanghebbenden, ten laste komen van die belanghebbenden. Dat artikel schrijft voor dat die kosten berekend worden naar een tarief dat bij landsbesluit, houdende algemene maatregelen, wordt vastgesteld. </w:t>
      </w:r>
    </w:p>
    <w:p w:rsidR="00740B69" w:rsidRPr="00740B69" w:rsidRDefault="00740B69" w:rsidP="00740B69">
      <w:pPr>
        <w:widowControl/>
        <w:tabs>
          <w:tab w:val="left" w:pos="916"/>
        </w:tabs>
        <w:jc w:val="both"/>
        <w:rPr>
          <w:rFonts w:ascii="Palatino Linotype" w:hAnsi="Palatino Linotype"/>
          <w:snapToGrid/>
          <w:sz w:val="22"/>
          <w:szCs w:val="22"/>
          <w:lang w:val="nl-NL"/>
        </w:rPr>
      </w:pPr>
      <w:bookmarkStart w:id="2" w:name="_Hlk26934263"/>
      <w:r w:rsidRPr="00740B69">
        <w:rPr>
          <w:rFonts w:ascii="Palatino Linotype" w:hAnsi="Palatino Linotype"/>
          <w:snapToGrid/>
          <w:sz w:val="22"/>
          <w:szCs w:val="22"/>
          <w:lang w:val="nl-NL"/>
        </w:rPr>
        <w:t>Op een later moment zal bij bedoeld landsbesluit, houdende algemene maatregelen, een tarief worden vastgesteld, dat aan de aanvrager van de ontheffing in rekening wordt gebracht, ter dekking van de kosten van de ambtelijke dienstverlening. Deze betalingen komen ten goede aan de landskas.</w:t>
      </w:r>
    </w:p>
    <w:bookmarkEnd w:id="2"/>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Mocht het verbod leiden tot een verschuiving van doorvoerroutes van het goud van Venezolaanse oorsprong, herkomst of afkomst naar andere (doorvoer)havens in de regio (het </w:t>
      </w:r>
      <w:proofErr w:type="spellStart"/>
      <w:r w:rsidRPr="00740B69">
        <w:rPr>
          <w:rFonts w:ascii="Palatino Linotype" w:hAnsi="Palatino Linotype"/>
          <w:snapToGrid/>
          <w:sz w:val="22"/>
          <w:szCs w:val="22"/>
          <w:lang w:val="nl-NL"/>
        </w:rPr>
        <w:t>zg</w:t>
      </w:r>
      <w:proofErr w:type="spellEnd"/>
      <w:r w:rsidRPr="00740B69">
        <w:rPr>
          <w:rFonts w:ascii="Palatino Linotype" w:hAnsi="Palatino Linotype"/>
          <w:snapToGrid/>
          <w:sz w:val="22"/>
          <w:szCs w:val="22"/>
          <w:lang w:val="nl-NL"/>
        </w:rPr>
        <w:t>. waterbedeffect), dan valt te verwachten dat ambtelijke diensten, zoals Douane Curaçao dat als verlichtend zullen ervaren voor wat betreft hun werkzaamheden.</w:t>
      </w:r>
    </w:p>
    <w:p w:rsidR="002E0181" w:rsidRDefault="002E0181" w:rsidP="00740B69">
      <w:pPr>
        <w:widowControl/>
        <w:tabs>
          <w:tab w:val="left" w:pos="916"/>
        </w:tabs>
        <w:jc w:val="both"/>
        <w:rPr>
          <w:rFonts w:ascii="Palatino Linotype" w:hAnsi="Palatino Linotype"/>
          <w:snapToGrid/>
          <w:sz w:val="22"/>
          <w:szCs w:val="22"/>
          <w:lang w:val="nl-NL"/>
        </w:rPr>
      </w:pPr>
    </w:p>
    <w:p w:rsidR="002E0181" w:rsidRDefault="002E0181" w:rsidP="00740B69">
      <w:pPr>
        <w:widowControl/>
        <w:tabs>
          <w:tab w:val="left" w:pos="916"/>
        </w:tabs>
        <w:jc w:val="both"/>
        <w:rPr>
          <w:rFonts w:ascii="Palatino Linotype" w:hAnsi="Palatino Linotype"/>
          <w:snapToGrid/>
          <w:sz w:val="22"/>
          <w:szCs w:val="22"/>
          <w:lang w:val="nl-NL"/>
        </w:rPr>
      </w:pPr>
    </w:p>
    <w:p w:rsidR="002E0181" w:rsidRDefault="002E0181" w:rsidP="00740B69">
      <w:pPr>
        <w:widowControl/>
        <w:tabs>
          <w:tab w:val="left" w:pos="916"/>
        </w:tabs>
        <w:jc w:val="both"/>
        <w:rPr>
          <w:rFonts w:ascii="Palatino Linotype" w:hAnsi="Palatino Linotype"/>
          <w:snapToGrid/>
          <w:sz w:val="22"/>
          <w:szCs w:val="22"/>
          <w:lang w:val="nl-NL"/>
        </w:rPr>
      </w:pPr>
    </w:p>
    <w:p w:rsidR="002E0181" w:rsidRPr="00740B69" w:rsidRDefault="002E0181"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b/>
          <w:snapToGrid/>
          <w:sz w:val="22"/>
          <w:szCs w:val="22"/>
          <w:u w:val="single"/>
          <w:lang w:val="nl-NL"/>
        </w:rPr>
      </w:pPr>
      <w:r w:rsidRPr="00740B69">
        <w:rPr>
          <w:rFonts w:ascii="Palatino Linotype" w:hAnsi="Palatino Linotype"/>
          <w:b/>
          <w:snapToGrid/>
          <w:sz w:val="22"/>
          <w:szCs w:val="22"/>
          <w:u w:val="single"/>
          <w:lang w:val="nl-NL"/>
        </w:rPr>
        <w:t xml:space="preserve">§ 3. Advies </w:t>
      </w:r>
      <w:proofErr w:type="spellStart"/>
      <w:r w:rsidRPr="00740B69">
        <w:rPr>
          <w:rFonts w:ascii="Palatino Linotype" w:hAnsi="Palatino Linotype"/>
          <w:b/>
          <w:snapToGrid/>
          <w:sz w:val="22"/>
          <w:szCs w:val="22"/>
          <w:u w:val="single"/>
          <w:lang w:val="nl-NL"/>
        </w:rPr>
        <w:t>Sociaal-Economische</w:t>
      </w:r>
      <w:proofErr w:type="spellEnd"/>
      <w:r w:rsidRPr="00740B69">
        <w:rPr>
          <w:rFonts w:ascii="Palatino Linotype" w:hAnsi="Palatino Linotype"/>
          <w:b/>
          <w:snapToGrid/>
          <w:sz w:val="22"/>
          <w:szCs w:val="22"/>
          <w:u w:val="single"/>
          <w:lang w:val="nl-NL"/>
        </w:rPr>
        <w:t xml:space="preserve"> Raad</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Bij schrijven van 6 november 2019, kenmerk 121/2019-SER, bracht de </w:t>
      </w:r>
      <w:proofErr w:type="spellStart"/>
      <w:r w:rsidRPr="00740B69">
        <w:rPr>
          <w:rFonts w:ascii="Palatino Linotype" w:hAnsi="Palatino Linotype"/>
          <w:snapToGrid/>
          <w:sz w:val="22"/>
          <w:szCs w:val="22"/>
          <w:lang w:val="nl-NL"/>
        </w:rPr>
        <w:t>Sociaal-Economische</w:t>
      </w:r>
      <w:proofErr w:type="spellEnd"/>
      <w:r w:rsidRPr="00740B69">
        <w:rPr>
          <w:rFonts w:ascii="Palatino Linotype" w:hAnsi="Palatino Linotype"/>
          <w:snapToGrid/>
          <w:sz w:val="22"/>
          <w:szCs w:val="22"/>
          <w:lang w:val="nl-NL"/>
        </w:rPr>
        <w:t xml:space="preserve"> Raad (SER) spoedadvies uit inzake onderhavig landsbesluit.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Gelet op de grote criminaliteitsrisico's en de mogelijke internationale reputatieschade voor Curaçao, die volgens de SER niet in verhouding staan tot het geringe financieel-economische belang van de goudhandel voor Curaçao, pleit de SER voor een meer omvattend en strenger verbod, dan de regering thans voorstelt.</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SER is sceptisch ten aanzien van het voornemen van de regering om bonafide goudhandel te stimuleren door middel van ontheffingen en op OESO-richtlijnen gebaseerde voorwaarden en raadt dat af. Een </w:t>
      </w:r>
      <w:proofErr w:type="spellStart"/>
      <w:r w:rsidRPr="00740B69">
        <w:rPr>
          <w:rFonts w:ascii="Palatino Linotype" w:hAnsi="Palatino Linotype"/>
          <w:snapToGrid/>
          <w:sz w:val="22"/>
          <w:szCs w:val="22"/>
          <w:lang w:val="nl-NL"/>
        </w:rPr>
        <w:t>ontheffingenstelsel</w:t>
      </w:r>
      <w:proofErr w:type="spellEnd"/>
      <w:r w:rsidRPr="00740B69">
        <w:rPr>
          <w:rFonts w:ascii="Palatino Linotype" w:hAnsi="Palatino Linotype"/>
          <w:snapToGrid/>
          <w:sz w:val="22"/>
          <w:szCs w:val="22"/>
          <w:lang w:val="nl-NL"/>
        </w:rPr>
        <w:t xml:space="preserve"> is volgens de SER, wegens het ontbreken van douaneafspraken met Venezuela onuitvoerbaar, praktisch niet te handhaven en zal bovendien omgeven zijn door veiligheidsrisico's.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regering onderschrijft het standpunt van de SER voor wat betreft de complexiteit en de onzekerheden rondom het uitvoeren en handhaven van een ontheffingenbeleid. </w:t>
      </w: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bepalingen omtrent </w:t>
      </w:r>
      <w:proofErr w:type="spellStart"/>
      <w:r w:rsidRPr="00740B69">
        <w:rPr>
          <w:rFonts w:ascii="Palatino Linotype" w:hAnsi="Palatino Linotype"/>
          <w:snapToGrid/>
          <w:sz w:val="22"/>
          <w:szCs w:val="22"/>
          <w:lang w:val="nl-NL"/>
        </w:rPr>
        <w:t>ontheffingverlening</w:t>
      </w:r>
      <w:proofErr w:type="spellEnd"/>
      <w:r w:rsidRPr="00740B69">
        <w:rPr>
          <w:rFonts w:ascii="Palatino Linotype" w:hAnsi="Palatino Linotype"/>
          <w:snapToGrid/>
          <w:sz w:val="22"/>
          <w:szCs w:val="22"/>
          <w:lang w:val="nl-NL"/>
        </w:rPr>
        <w:t xml:space="preserve"> zijn echter niet uit het conceptlandsbesluit geschrapt. Door de inwerkingtreding van deze bepalingen uit te stellen, laat de regering ruimte voor nadere analyse en definitieve besluitvorming. De bevindingen en het advies van de SER zullen daarbij worden meegenomen, </w:t>
      </w:r>
      <w:proofErr w:type="gramStart"/>
      <w:r w:rsidRPr="00740B69">
        <w:rPr>
          <w:rFonts w:ascii="Palatino Linotype" w:hAnsi="Palatino Linotype"/>
          <w:snapToGrid/>
          <w:sz w:val="22"/>
          <w:szCs w:val="22"/>
          <w:lang w:val="nl-NL"/>
        </w:rPr>
        <w:t>met name</w:t>
      </w:r>
      <w:proofErr w:type="gramEnd"/>
      <w:r w:rsidRPr="00740B69">
        <w:rPr>
          <w:rFonts w:ascii="Palatino Linotype" w:hAnsi="Palatino Linotype"/>
          <w:snapToGrid/>
          <w:sz w:val="22"/>
          <w:szCs w:val="22"/>
          <w:lang w:val="nl-NL"/>
        </w:rPr>
        <w:t xml:space="preserve"> daar waar de SER verwacht dat “(…) gegeven de huidige omstandigheden in Venezuela, (…) de benodigde processen en capaciteit waarover de douane dan zou moeten beschikken om de authenticiteit van documenten en daarmee de oorsprong van het goud te kunnen verifiëren dusdanig groot moeten zijn dat deze ver boven de huidige capaciteit komen te liggen”. De regering wijst erop dat een douaneverdrag met Venezuela alsmede praktische werkafspraken insteek blijven voor de onderhandelingen met betrekking tot de heropening van de grens. In Koninkrijksverband is thans afstemming gaande om op korte termijn technische werkoverleggen met Venezuela te kunnen starten over de randvoorwaarden voor de grensheropening. Het volledige traject om te komen tot een douaneverdrag, mocht Venezuela daar mee instemmen, zal volgens de regering minimaal een jaar in beslag nemen.</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trike/>
          <w:snapToGrid/>
          <w:sz w:val="22"/>
          <w:szCs w:val="22"/>
          <w:lang w:val="nl-NL"/>
        </w:rPr>
      </w:pPr>
      <w:r w:rsidRPr="00740B69">
        <w:rPr>
          <w:rFonts w:ascii="Palatino Linotype" w:hAnsi="Palatino Linotype"/>
          <w:snapToGrid/>
          <w:sz w:val="22"/>
          <w:szCs w:val="22"/>
          <w:lang w:val="nl-NL"/>
        </w:rPr>
        <w:t xml:space="preserve">De SER raadt een ontheffingenbeleid voorts ook af, om de reden dat de fiscale en economische voordelen van de goudhandel volgens het onderzoek van de SER zeer gering zijn voor Curaçao. Volgens de SER is in financieel-economische zin verdergaande cijfermatige onderbouwing nodig om te kunnen overgaan tot het stimuleren van de goudhandel door middel van ontheffingen. Uit informatie </w:t>
      </w:r>
      <w:proofErr w:type="gramStart"/>
      <w:r w:rsidRPr="00740B69">
        <w:rPr>
          <w:rFonts w:ascii="Palatino Linotype" w:hAnsi="Palatino Linotype"/>
          <w:snapToGrid/>
          <w:sz w:val="22"/>
          <w:szCs w:val="22"/>
          <w:lang w:val="nl-NL"/>
        </w:rPr>
        <w:t>bekomen</w:t>
      </w:r>
      <w:proofErr w:type="gramEnd"/>
      <w:r w:rsidRPr="00740B69">
        <w:rPr>
          <w:rFonts w:ascii="Palatino Linotype" w:hAnsi="Palatino Linotype"/>
          <w:snapToGrid/>
          <w:sz w:val="22"/>
          <w:szCs w:val="22"/>
          <w:lang w:val="nl-NL"/>
        </w:rPr>
        <w:t xml:space="preserve"> van opsporingsdiensten naar aanleiding van een lokaal strafrechtelijk onderzoek, constateert de SER voorts dat voor bepaalde goudbedrijven binnen de Economische Zone, niet zozeer de goudhandel zelf maar de vraag naar buitenlandse valuta, als drijfveer lijkt te gelden.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Een meer omvattend verbod, betekent volgens de SER dat behalve de in-, uit- en doorvoer van goud ook de in-, uit- en doorvoer van andere mineralen uit Venezuela, zoals diamant, verboden moet worden, omdat daar vergelijkbare risico's aan kleven. Uitbreiding van het algemene verbod </w:t>
      </w:r>
      <w:r w:rsidRPr="00740B69">
        <w:rPr>
          <w:rFonts w:ascii="Palatino Linotype" w:hAnsi="Palatino Linotype"/>
          <w:snapToGrid/>
          <w:sz w:val="22"/>
          <w:szCs w:val="22"/>
          <w:lang w:val="nl-NL"/>
        </w:rPr>
        <w:lastRenderedPageBreak/>
        <w:t xml:space="preserve">is conform het SER-advies voorts raadzaam naar andere, aan Venezuela grenzende landen, omdat Venezolaans goud via die routes alsnog op grote schaal ons eiland binnen kan komen.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vraag of uitbreiding van het in-, uit en doorvoerverbod naar andere landen en andere mineralen, om de effectiviteit van het verbod te verhogen - bijvoorbeeld bij latere wijziging of separate regeling - wenselijk is, kan volgens de regering beantwoord worden, als een actuele analyse beschikbaar komt van de in-, uit- en doorvoer van goud sinds het verbod op Venezolaanse goudhandel. Daarmee ontstaat ook inzicht in nieuwe tendensen en verschuivingen in betrokken landen en type mineralen. </w:t>
      </w: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Daarnaast acht de regering ook de handhavingsresultaten van de </w:t>
      </w:r>
      <w:r w:rsidRPr="00BA63EF">
        <w:rPr>
          <w:rFonts w:ascii="Palatino Linotype" w:hAnsi="Palatino Linotype"/>
          <w:snapToGrid/>
          <w:sz w:val="22"/>
          <w:szCs w:val="22"/>
          <w:lang w:val="nl-NL"/>
        </w:rPr>
        <w:t>Landsverordening aanmeldingsplicht van grensoverschrijdende geldtransporten</w:t>
      </w:r>
      <w:r w:rsidRPr="00740B69">
        <w:rPr>
          <w:rFonts w:ascii="Palatino Linotype" w:hAnsi="Palatino Linotype"/>
          <w:snapToGrid/>
          <w:sz w:val="22"/>
          <w:szCs w:val="22"/>
          <w:vertAlign w:val="superscript"/>
        </w:rPr>
        <w:footnoteReference w:id="13"/>
      </w:r>
      <w:r w:rsidRPr="00BA63EF">
        <w:rPr>
          <w:rFonts w:ascii="Palatino Linotype" w:hAnsi="Palatino Linotype"/>
          <w:snapToGrid/>
          <w:sz w:val="22"/>
          <w:szCs w:val="22"/>
          <w:lang w:val="nl-NL"/>
        </w:rPr>
        <w:t xml:space="preserve"> </w:t>
      </w:r>
      <w:r w:rsidRPr="00740B69">
        <w:rPr>
          <w:rFonts w:ascii="Palatino Linotype" w:hAnsi="Palatino Linotype"/>
          <w:snapToGrid/>
          <w:sz w:val="22"/>
          <w:szCs w:val="22"/>
          <w:lang w:val="nl-NL"/>
        </w:rPr>
        <w:t>mogelijk indicatief, nu die bepalingen ook van toepassing zijn op de doorvoer van edele metalen, sieraden en andere voorwerpen. De regering heeft voorts opdracht gegeven tot nader onderzoek naar achterliggende financiële stromen en mogelijke integriteitsrisico’s gerelateerd aan de goudhandel op het eiland, en verwacht dat de resultaten daarvan aanleiding kunnen zijn voor eventueel aanvullende bestuurlijke maatregelen.</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Volgens de SER is het te verwachten dat Venezolaans goud uiteindelijk minder aantrekkelijk wordt, gelet op de mogelijke effecten op lange termijn van de EU-conflictmineralenverordening die op 1 januari 2021 in de Europese Unie van kracht zal worden. Met het oog daarop is de regering voornemens een en ander in koninkrijksverband aan de orde te stellen nu in </w:t>
      </w:r>
      <w:proofErr w:type="spellStart"/>
      <w:r w:rsidRPr="00740B69">
        <w:rPr>
          <w:rFonts w:ascii="Palatino Linotype" w:hAnsi="Palatino Linotype"/>
          <w:snapToGrid/>
          <w:sz w:val="22"/>
          <w:szCs w:val="22"/>
          <w:lang w:val="nl-NL"/>
        </w:rPr>
        <w:t>Caribisch</w:t>
      </w:r>
      <w:proofErr w:type="spellEnd"/>
      <w:r w:rsidRPr="00740B69">
        <w:rPr>
          <w:rFonts w:ascii="Palatino Linotype" w:hAnsi="Palatino Linotype"/>
          <w:snapToGrid/>
          <w:sz w:val="22"/>
          <w:szCs w:val="22"/>
          <w:lang w:val="nl-NL"/>
        </w:rPr>
        <w:t xml:space="preserve"> en Europees Nederland, zoals de SER aangeeft, geen in-, uit en doorvoerverbod op Venezolaans goud is uitgevaardigd.</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b/>
          <w:snapToGrid/>
          <w:sz w:val="22"/>
          <w:szCs w:val="22"/>
          <w:u w:val="single"/>
          <w:lang w:val="nl-NL"/>
        </w:rPr>
      </w:pPr>
      <w:r w:rsidRPr="00740B69">
        <w:rPr>
          <w:rFonts w:ascii="Palatino Linotype" w:hAnsi="Palatino Linotype"/>
          <w:b/>
          <w:snapToGrid/>
          <w:sz w:val="22"/>
          <w:szCs w:val="22"/>
          <w:u w:val="single"/>
          <w:lang w:val="nl-NL"/>
        </w:rPr>
        <w:t>§ 4. Advies Raad van Advies</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Bij schrijven van 5 december 2019, kenmerk RA/37-19-LB, bracht de Raad van Advies spoedadvies uit inzake onderhavig landsbesluit. Daarin geeft de Raad van Advies de Regering in overweging dit landsbesluit vast te stellen nadat rekening is gehouden met de opmerkingen van de Raad. De inhoudelijke opmerkingen en de opmerkingen van wetstechnische en redactionele aard zijn in het landsbesluit en in deze nota van toelichting verwerkt. </w:t>
      </w:r>
    </w:p>
    <w:p w:rsidR="00740B69" w:rsidRPr="00740B69" w:rsidRDefault="00740B69" w:rsidP="00740B69">
      <w:pPr>
        <w:widowControl/>
        <w:tabs>
          <w:tab w:val="left" w:pos="916"/>
        </w:tabs>
        <w:jc w:val="both"/>
        <w:rPr>
          <w:rFonts w:ascii="Palatino Linotype" w:hAnsi="Palatino Linotype"/>
          <w:snapToGrid/>
          <w:sz w:val="22"/>
          <w:szCs w:val="22"/>
          <w:lang w:val="nl-NL"/>
        </w:rPr>
      </w:pPr>
    </w:p>
    <w:p w:rsidR="00740B69" w:rsidRPr="00740B69" w:rsidRDefault="00740B69" w:rsidP="00740B69">
      <w:pPr>
        <w:widowControl/>
        <w:tabs>
          <w:tab w:val="left" w:pos="916"/>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De Raad van Advies benadrukt het belang van het door de regering in paragraaf 2 hierboven, aangekondigde onderzoek naar de door goudbedrijven, gevestigd in de economische zone, afgedragen winstbelasting en hun mate van compliance op fiscaal gebied. Ook bij de budgettaire toets van dit landsbesluit, is de noodzaak voor een dergelijke fiscale exercitie bevestigd. De SER wijst in haar advies met klem naar de behoefte aan inzicht in de bijdrage van de goudhandel aan de overheidsfinanciën, nu uit hun onderzoek een beeld naar voren komt van zeer lage afdrachten aan winstbelasting in deze sector. In dit kader is het tevens vermeldenswaardig dat thans een voorstel aanhangig is voor een versnelde afschaffing van het lage winstbelastingtarief van 2% in de economische zone. De regering zal de betrokken instanties aanschrijven en het hierboven bedoelde onderzoek met voortvarendheid uitvoeren.</w:t>
      </w:r>
    </w:p>
    <w:p w:rsidR="00740B69" w:rsidRPr="00740B69" w:rsidRDefault="00740B69" w:rsidP="00740B69">
      <w:pPr>
        <w:widowControl/>
        <w:tabs>
          <w:tab w:val="left" w:pos="916"/>
        </w:tabs>
        <w:jc w:val="both"/>
        <w:rPr>
          <w:rFonts w:ascii="Palatino Linotype" w:hAnsi="Palatino Linotype"/>
          <w:b/>
          <w:snapToGrid/>
          <w:sz w:val="22"/>
          <w:szCs w:val="22"/>
          <w:u w:val="single"/>
          <w:lang w:val="nl-NL"/>
        </w:rPr>
      </w:pPr>
    </w:p>
    <w:p w:rsidR="00740B69" w:rsidRPr="00740B69" w:rsidRDefault="00740B69" w:rsidP="00740B69">
      <w:pPr>
        <w:widowControl/>
        <w:tabs>
          <w:tab w:val="left" w:pos="916"/>
        </w:tabs>
        <w:jc w:val="both"/>
        <w:rPr>
          <w:rFonts w:ascii="Palatino Linotype" w:hAnsi="Palatino Linotype"/>
          <w:b/>
          <w:snapToGrid/>
          <w:sz w:val="22"/>
          <w:szCs w:val="22"/>
          <w:u w:val="single"/>
          <w:lang w:val="nl-NL"/>
        </w:rPr>
      </w:pPr>
    </w:p>
    <w:p w:rsidR="00740B69" w:rsidRPr="00740B69" w:rsidRDefault="00740B69" w:rsidP="00740B69">
      <w:pPr>
        <w:widowControl/>
        <w:tabs>
          <w:tab w:val="left" w:pos="916"/>
        </w:tabs>
        <w:jc w:val="both"/>
        <w:rPr>
          <w:rFonts w:ascii="Palatino Linotype" w:hAnsi="Palatino Linotype"/>
          <w:b/>
          <w:snapToGrid/>
          <w:sz w:val="22"/>
          <w:szCs w:val="22"/>
          <w:u w:val="single"/>
          <w:lang w:val="nl-NL"/>
        </w:rPr>
      </w:pPr>
    </w:p>
    <w:p w:rsidR="00740B69" w:rsidRPr="00740B69" w:rsidRDefault="00740B69" w:rsidP="00740B69">
      <w:pPr>
        <w:widowControl/>
        <w:tabs>
          <w:tab w:val="left" w:pos="916"/>
        </w:tabs>
        <w:jc w:val="both"/>
        <w:rPr>
          <w:rFonts w:ascii="Palatino Linotype" w:hAnsi="Palatino Linotype"/>
          <w:b/>
          <w:snapToGrid/>
          <w:sz w:val="22"/>
          <w:szCs w:val="22"/>
          <w:u w:val="single"/>
          <w:lang w:val="nl-NL"/>
        </w:rPr>
      </w:pPr>
      <w:r w:rsidRPr="00740B69">
        <w:rPr>
          <w:rFonts w:ascii="Palatino Linotype" w:hAnsi="Palatino Linotype"/>
          <w:b/>
          <w:snapToGrid/>
          <w:sz w:val="22"/>
          <w:szCs w:val="22"/>
          <w:u w:val="single"/>
          <w:lang w:val="nl-NL"/>
        </w:rPr>
        <w:t xml:space="preserve">§5. </w:t>
      </w:r>
      <w:proofErr w:type="spellStart"/>
      <w:r w:rsidRPr="00740B69">
        <w:rPr>
          <w:rFonts w:ascii="Palatino Linotype" w:hAnsi="Palatino Linotype"/>
          <w:b/>
          <w:snapToGrid/>
          <w:sz w:val="22"/>
          <w:szCs w:val="22"/>
          <w:u w:val="single"/>
          <w:lang w:val="nl-NL"/>
        </w:rPr>
        <w:t>Artikelgewijze</w:t>
      </w:r>
      <w:proofErr w:type="spellEnd"/>
      <w:r w:rsidRPr="00740B69">
        <w:rPr>
          <w:rFonts w:ascii="Palatino Linotype" w:hAnsi="Palatino Linotype"/>
          <w:b/>
          <w:snapToGrid/>
          <w:sz w:val="22"/>
          <w:szCs w:val="22"/>
          <w:u w:val="single"/>
          <w:lang w:val="nl-NL"/>
        </w:rPr>
        <w:t xml:space="preserve"> toelichting</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b/>
          <w:snapToGrid/>
          <w:sz w:val="22"/>
          <w:szCs w:val="22"/>
          <w:lang w:val="nl-NL"/>
        </w:rPr>
      </w:pPr>
      <w:r w:rsidRPr="00740B69">
        <w:rPr>
          <w:rFonts w:ascii="Palatino Linotype" w:hAnsi="Palatino Linotype"/>
          <w:b/>
          <w:snapToGrid/>
          <w:sz w:val="22"/>
          <w:szCs w:val="22"/>
          <w:lang w:val="nl-NL"/>
        </w:rPr>
        <w:t>Artikel 1</w:t>
      </w: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Goud komt in verschillende verschijningsvormen voor, bijvoorbeeld in baren, staven, broodjes, klompjes, of als poeder.</w:t>
      </w: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Artikel 1 van de Landsverordening Invoer- en Uitvoer omschrijft de invoer van goederen als het brengen van goederen in het vrije verkeer en de uitvoer als het brengen van goederen buiten het vrije verkeer. Conform artikel 2 van die landsverordening mag onder invoer mede begrepen worden het brengen van goederen binnen de landsgrenzen en onder uitvoer slechts het brengen van goederen buiten de landsgrenzen. Artikel 3 voegt daar vervolgens aan toe dat onder invoer en uitvoer mede verstaan wordt, iedere handeling, die kennelijk rechtstreeks gericht is op het bewerkstelligen van invoer van goederen of uitvoer van goederen. Deze definities zijn van toepassing op onderhavig landsbesluit.</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Conform artikel 146, eerste lid, van de Algemene Verordening I.U. en D. 1908, mag de doorvoer slechts geschieden van goederen waarvan de invoer niet verboden is. Gelet op het in onderhavig landsbesluit opgenomen invoerverbod op Venezolaans goud, biedt voorgaand artikel de grondslag voor het eveneens verbieden van de doorvoer van dat goud. Onder doorvoer wordt in de Algemene Verordening I.U. en D. 1908 verstaan de aanbrenging van goederen in één van de eilandgebieden van de Nederlandse Antillen (lees: Curaçao), gevolgd door uitvoer naar het buitenland, zonder dat zij ten invoer zijn aangegeven. In de meeste gevallen wordt het goud van Venezolaanse oorsprong, herkomst of afkomst na aankomst per (privé-) vliegtuig op de luchthaven van Curaçao tijdelijk opgeslagen in entrepots van de economische zone, tot het moment van uitvoer. Het goud van Venezolaanse oorsprong, herkomst of afkomst passeert Curaçao ook in transito wanneer reizigers, die via lijnvlucht op doorreis zijn, het goud in hun handbagage met zich mee voeren. Curaçao geldt dus formeel als doorvoerhaven en dat is het kader waarbinnen de genoemde veiligheidsrisico’s zich voordoen.</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b/>
          <w:snapToGrid/>
          <w:sz w:val="22"/>
          <w:szCs w:val="22"/>
          <w:lang w:val="nl-NL"/>
        </w:rPr>
      </w:pPr>
      <w:r w:rsidRPr="00740B69">
        <w:rPr>
          <w:rFonts w:ascii="Palatino Linotype" w:hAnsi="Palatino Linotype"/>
          <w:b/>
          <w:snapToGrid/>
          <w:sz w:val="22"/>
          <w:szCs w:val="22"/>
          <w:lang w:val="nl-NL"/>
        </w:rPr>
        <w:t>Artikel 2</w:t>
      </w:r>
    </w:p>
    <w:p w:rsidR="00740B69" w:rsidRPr="00740B69" w:rsidRDefault="00740B69" w:rsidP="00740B69">
      <w:pPr>
        <w:widowControl/>
        <w:tabs>
          <w:tab w:val="left" w:pos="512"/>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Ten aanzien van al het aan te brengen goud, geldt in het algemeen dat conform de geldende douaneprocedure en aan de hand van de gebruikelijke documenten, aangifte moet worden gedaan waarin gegevens omtrent de oorsprong van het goud moeten worden opgegeven. Bij twijfel is de douaneambtenaar (zoals bij alle goederen geldt) bevoegd zelfstandig onderzoek te doen naar de oorsprong van het goud. Bij het ontbreken van een dergelijke aangifte kan geen in-, uit- of doorvoer plaatsvinden.</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Het in-, uit- en doorvoerverbod van goud van Venezolaanse oorsprong, herkomst of afkomst, vervat in artikel 2 van dit landsbesluit, is van toepassing op al het in Venezuela gedolven goud dat, ongeacht de plaats van verscheping of de transportroute, in Curaçao wordt aangebracht. Of Venezuela het uitvoerland is of slechts doorvoerland, is hierbij niet relevant. Voorts geldt het verbod voor al het goud dat, ongeacht de plaats van winning of delving, uit Venezuela naar Curaçao verscheept wordt. Hierbij is evenmin relevant of het goud vergezeld gaat van documenten waarop als land van delving een ander land dan Venezuela staat vermeld.</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lastRenderedPageBreak/>
        <w:t>Het verbod is van toepassing op een ieder, zij het een particulier die individueel, een natuurlijke of rechtspersoon die bedrijfsmatig, of een vervoerder, die beroepsmatig goud in, uit- of doorvoert. Er gelden voorts geen gewichtsvereisten.</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Het is ook personen die Curaçao binnenkomen of uitgaan verboden goud van Venezolaanse oorsprong, herkomst of afkomst met zich mee te voeren. Dit betekent dat ook reizigers in transito dat goud niet in hun (hand)bagage mogen meevoeren. </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Het tweede lid van artikel 2 wijst de Minister van Economische Ontwikkeling aan als degene aan wie de bevoegdheid toekomt om ontheffing te verlenen van het in- en uitvoerverbod en daarmee ook om ontheffing te verlenen voor het doorvoeren van goud van Venezolaanse oorsprong, herkomst of afkomst. Het tweede lid van artikel 2 treedt thans nog niet in werking.</w:t>
      </w:r>
    </w:p>
    <w:p w:rsidR="00740B69" w:rsidRPr="00740B69" w:rsidRDefault="00740B69" w:rsidP="00740B69">
      <w:pPr>
        <w:widowControl/>
        <w:jc w:val="both"/>
        <w:rPr>
          <w:rFonts w:ascii="Palatino Linotype" w:hAnsi="Palatino Linotype"/>
          <w:snapToGrid/>
          <w:sz w:val="22"/>
          <w:szCs w:val="22"/>
          <w:highlight w:val="yellow"/>
          <w:lang w:val="nl-NL"/>
        </w:rPr>
      </w:pPr>
      <w:r w:rsidRPr="00740B69">
        <w:rPr>
          <w:rFonts w:ascii="Palatino Linotype" w:hAnsi="Palatino Linotype"/>
          <w:snapToGrid/>
          <w:sz w:val="22"/>
          <w:szCs w:val="22"/>
          <w:highlight w:val="yellow"/>
          <w:lang w:val="nl-NL"/>
        </w:rPr>
        <w:t xml:space="preserve"> </w:t>
      </w:r>
    </w:p>
    <w:p w:rsidR="00740B69" w:rsidRPr="00740B69" w:rsidRDefault="00740B69" w:rsidP="00740B69">
      <w:pPr>
        <w:widowControl/>
        <w:tabs>
          <w:tab w:val="left" w:pos="1144"/>
        </w:tabs>
        <w:jc w:val="both"/>
        <w:rPr>
          <w:rFonts w:ascii="Palatino Linotype" w:hAnsi="Palatino Linotype"/>
          <w:b/>
          <w:snapToGrid/>
          <w:sz w:val="22"/>
          <w:szCs w:val="22"/>
          <w:lang w:val="nl-NL"/>
        </w:rPr>
      </w:pPr>
      <w:r w:rsidRPr="00740B69">
        <w:rPr>
          <w:rFonts w:ascii="Palatino Linotype" w:hAnsi="Palatino Linotype"/>
          <w:b/>
          <w:snapToGrid/>
          <w:sz w:val="22"/>
          <w:szCs w:val="22"/>
          <w:lang w:val="nl-NL"/>
        </w:rPr>
        <w:t>Artikel 3</w:t>
      </w:r>
    </w:p>
    <w:p w:rsidR="00740B69" w:rsidRPr="00740B69" w:rsidRDefault="00740B69" w:rsidP="00740B69">
      <w:pPr>
        <w:widowControl/>
        <w:tabs>
          <w:tab w:val="left" w:pos="1144"/>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Dit artikel beschrijft de procedure voor het aanvragen van ontheffing en duidt de gegevens en documenten aan die in ieder geval bij de aanvraag gevoegd moeten zijn opdat een beoordeling kan plaatsvinden. Het vierde lid geeft de Minister van Economische Ontwikkeling bovendien de bevoegdheid om op een later moment,</w:t>
      </w:r>
      <w:r w:rsidRPr="00740B69">
        <w:rPr>
          <w:rFonts w:ascii="Times New Roman" w:hAnsi="Times New Roman"/>
          <w:snapToGrid/>
          <w:sz w:val="20"/>
          <w:lang w:val="nl-NL"/>
        </w:rPr>
        <w:t xml:space="preserve"> </w:t>
      </w:r>
      <w:r w:rsidRPr="00740B69">
        <w:rPr>
          <w:rFonts w:ascii="Palatino Linotype" w:hAnsi="Palatino Linotype"/>
          <w:snapToGrid/>
          <w:sz w:val="22"/>
          <w:szCs w:val="22"/>
          <w:lang w:val="nl-NL"/>
        </w:rPr>
        <w:t>bij ministeriële regeling met algemene werking te bepalen welke aanvullende gegevens en documenten noodzakelijk zijn voor een beoordeling conform internationaal erkende ‘</w:t>
      </w:r>
      <w:proofErr w:type="spellStart"/>
      <w:r w:rsidRPr="00740B69">
        <w:rPr>
          <w:rFonts w:ascii="Palatino Linotype" w:hAnsi="Palatino Linotype"/>
          <w:snapToGrid/>
          <w:sz w:val="22"/>
          <w:szCs w:val="22"/>
          <w:lang w:val="nl-NL"/>
        </w:rPr>
        <w:t>due</w:t>
      </w:r>
      <w:proofErr w:type="spellEnd"/>
      <w:r w:rsidRPr="00740B69">
        <w:rPr>
          <w:rFonts w:ascii="Palatino Linotype" w:hAnsi="Palatino Linotype"/>
          <w:snapToGrid/>
          <w:sz w:val="22"/>
          <w:szCs w:val="22"/>
          <w:lang w:val="nl-NL"/>
        </w:rPr>
        <w:t xml:space="preserve"> diligence’-richtlijnen voor een verantwoorde goudketen. </w:t>
      </w:r>
    </w:p>
    <w:p w:rsidR="00740B69" w:rsidRPr="00740B69" w:rsidRDefault="00740B69" w:rsidP="00740B69">
      <w:pPr>
        <w:widowControl/>
        <w:tabs>
          <w:tab w:val="left" w:pos="1144"/>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Het artikel schrijft tevens voor binnen welke termijn de Minister van Economische Ontwikkeling op de aanvraag moet beslissen. De Minister van Economische Ontwikkeling wint voorafgaand aan zijn beslissing, idealiter advies in bij de Minister van Financiën. De hoogte van het bedrag dat in rekening wordt gebracht voor de behandeling van een ontheffingsaanvraag en een verlengingsaanvraag moet worden gecalculeerd en vervolgens bij landsbesluit, houdende algemene maatregelen, vastgesteld. Dit artikel treedt thans nog niet in werking. </w:t>
      </w:r>
      <w:r w:rsidRPr="00740B69">
        <w:rPr>
          <w:rFonts w:ascii="Palatino Linotype" w:hAnsi="Palatino Linotype"/>
          <w:snapToGrid/>
          <w:sz w:val="22"/>
          <w:szCs w:val="22"/>
          <w:lang w:val="nl-NL"/>
        </w:rPr>
        <w:tab/>
      </w:r>
    </w:p>
    <w:p w:rsidR="00740B69" w:rsidRPr="00740B69" w:rsidRDefault="00740B69" w:rsidP="00740B69">
      <w:pPr>
        <w:widowControl/>
        <w:jc w:val="both"/>
        <w:rPr>
          <w:rFonts w:ascii="Palatino Linotype" w:hAnsi="Palatino Linotype"/>
          <w:b/>
          <w:snapToGrid/>
          <w:sz w:val="22"/>
          <w:szCs w:val="22"/>
          <w:lang w:val="nl-NL"/>
        </w:rPr>
      </w:pPr>
    </w:p>
    <w:p w:rsidR="00740B69" w:rsidRPr="00740B69" w:rsidRDefault="00740B69" w:rsidP="00740B69">
      <w:pPr>
        <w:widowControl/>
        <w:jc w:val="both"/>
        <w:rPr>
          <w:rFonts w:ascii="Palatino Linotype" w:hAnsi="Palatino Linotype"/>
          <w:b/>
          <w:snapToGrid/>
          <w:sz w:val="22"/>
          <w:szCs w:val="22"/>
          <w:lang w:val="nl-NL"/>
        </w:rPr>
      </w:pPr>
      <w:r w:rsidRPr="00740B69">
        <w:rPr>
          <w:rFonts w:ascii="Palatino Linotype" w:hAnsi="Palatino Linotype"/>
          <w:b/>
          <w:snapToGrid/>
          <w:sz w:val="22"/>
          <w:szCs w:val="22"/>
          <w:lang w:val="nl-NL"/>
        </w:rPr>
        <w:t>Artikel 4</w:t>
      </w: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Gedurende de periode van ontheffing wordt het door de </w:t>
      </w:r>
      <w:proofErr w:type="spellStart"/>
      <w:r w:rsidRPr="00740B69">
        <w:rPr>
          <w:rFonts w:ascii="Palatino Linotype" w:hAnsi="Palatino Linotype"/>
          <w:snapToGrid/>
          <w:sz w:val="22"/>
          <w:szCs w:val="22"/>
          <w:lang w:val="nl-NL"/>
        </w:rPr>
        <w:t>ontheffinghouder</w:t>
      </w:r>
      <w:proofErr w:type="spellEnd"/>
      <w:r w:rsidRPr="00740B69">
        <w:rPr>
          <w:rFonts w:ascii="Palatino Linotype" w:hAnsi="Palatino Linotype"/>
          <w:snapToGrid/>
          <w:sz w:val="22"/>
          <w:szCs w:val="22"/>
          <w:lang w:val="nl-NL"/>
        </w:rPr>
        <w:t xml:space="preserve"> in-, uit of door te voeren goud van Venezolaanse oorsprong, herkomst of afkomst, bij de grens telkens per transport beoordeeld aan de gebruikelijke vereisten. Dit artikel treedt thans nog niet in werking.</w:t>
      </w:r>
    </w:p>
    <w:p w:rsidR="00740B69" w:rsidRPr="00740B69" w:rsidRDefault="00740B69" w:rsidP="00740B69">
      <w:pPr>
        <w:widowControl/>
        <w:jc w:val="both"/>
        <w:rPr>
          <w:rFonts w:ascii="Palatino Linotype" w:hAnsi="Palatino Linotype"/>
          <w:snapToGrid/>
          <w:sz w:val="22"/>
          <w:szCs w:val="22"/>
          <w:highlight w:val="yellow"/>
          <w:lang w:val="nl-NL"/>
        </w:rPr>
      </w:pPr>
    </w:p>
    <w:p w:rsidR="00740B69" w:rsidRPr="00740B69" w:rsidRDefault="00740B69" w:rsidP="00740B69">
      <w:pPr>
        <w:widowControl/>
        <w:jc w:val="both"/>
        <w:rPr>
          <w:rFonts w:ascii="Times New Roman" w:hAnsi="Times New Roman"/>
          <w:snapToGrid/>
          <w:sz w:val="20"/>
          <w:lang w:val="nl-NL"/>
        </w:rPr>
      </w:pPr>
      <w:r w:rsidRPr="00740B69">
        <w:rPr>
          <w:rFonts w:ascii="Palatino Linotype" w:hAnsi="Palatino Linotype"/>
          <w:b/>
          <w:snapToGrid/>
          <w:sz w:val="22"/>
          <w:szCs w:val="22"/>
          <w:lang w:val="nl-NL"/>
        </w:rPr>
        <w:t>Artikel 5</w:t>
      </w:r>
      <w:r w:rsidRPr="00740B69">
        <w:rPr>
          <w:rFonts w:ascii="Times New Roman" w:hAnsi="Times New Roman"/>
          <w:snapToGrid/>
          <w:sz w:val="20"/>
          <w:lang w:val="nl-NL"/>
        </w:rPr>
        <w:t xml:space="preserve"> </w:t>
      </w:r>
    </w:p>
    <w:p w:rsidR="00740B69" w:rsidRPr="00740B69" w:rsidRDefault="00740B69" w:rsidP="00740B69">
      <w:pPr>
        <w:widowControl/>
        <w:tabs>
          <w:tab w:val="left" w:pos="720"/>
          <w:tab w:val="left" w:pos="1440"/>
          <w:tab w:val="left" w:pos="2160"/>
          <w:tab w:val="left" w:pos="2880"/>
          <w:tab w:val="left" w:pos="3600"/>
          <w:tab w:val="left" w:pos="4320"/>
        </w:tabs>
        <w:jc w:val="both"/>
        <w:rPr>
          <w:rFonts w:ascii="Palatino Linotype" w:hAnsi="Palatino Linotype"/>
          <w:snapToGrid/>
          <w:sz w:val="22"/>
          <w:szCs w:val="22"/>
          <w:lang w:val="nl-NL"/>
        </w:rPr>
      </w:pPr>
      <w:r w:rsidRPr="00740B69">
        <w:rPr>
          <w:rFonts w:ascii="Palatino Linotype" w:hAnsi="Palatino Linotype"/>
          <w:snapToGrid/>
          <w:sz w:val="22"/>
          <w:szCs w:val="22"/>
          <w:lang w:val="nl-NL"/>
        </w:rPr>
        <w:t>De Landsverordening In- en Uitvoer bepaalt in artikel 5, aanhef, onder a, dat voorwaarden gesteld kunnen worden aan een ontheffing. In onderhavig landsbesluit worden hiervoor, gelet op de aanwijzingen voor de regelgeving, de termen ‘voorschriften en beperkingen’ gehanteerd. Zo is de ontheffing voor korte tijd geldig: een half jaar. Een dergelijke periode maakt het mogelijk om effectief toe te zien op de nakoming van regels, snel te handhaven en waar nodig tijdig bij te sturen met het oog op de beleidsdoelen.</w:t>
      </w:r>
      <w:r w:rsidRPr="00740B69">
        <w:rPr>
          <w:rFonts w:ascii="Times New Roman" w:hAnsi="Times New Roman"/>
          <w:snapToGrid/>
          <w:sz w:val="20"/>
          <w:lang w:val="nl-NL"/>
        </w:rPr>
        <w:t xml:space="preserve"> </w:t>
      </w:r>
      <w:r w:rsidRPr="00740B69">
        <w:rPr>
          <w:rFonts w:ascii="Palatino Linotype" w:hAnsi="Palatino Linotype"/>
          <w:snapToGrid/>
          <w:sz w:val="22"/>
          <w:szCs w:val="22"/>
          <w:lang w:val="nl-NL"/>
        </w:rPr>
        <w:t xml:space="preserve">De </w:t>
      </w:r>
      <w:proofErr w:type="spellStart"/>
      <w:r w:rsidRPr="00740B69">
        <w:rPr>
          <w:rFonts w:ascii="Palatino Linotype" w:hAnsi="Palatino Linotype"/>
          <w:snapToGrid/>
          <w:sz w:val="22"/>
          <w:szCs w:val="22"/>
          <w:lang w:val="nl-NL"/>
        </w:rPr>
        <w:t>ontheffinghouder</w:t>
      </w:r>
      <w:proofErr w:type="spellEnd"/>
      <w:r w:rsidRPr="00740B69">
        <w:rPr>
          <w:rFonts w:ascii="Palatino Linotype" w:hAnsi="Palatino Linotype"/>
          <w:snapToGrid/>
          <w:sz w:val="22"/>
          <w:szCs w:val="22"/>
          <w:lang w:val="nl-NL"/>
        </w:rPr>
        <w:t xml:space="preserve"> kan de minister desgewenst steeds om een verlenging vragen van de ontheffing. Daarbij moet aan dezelfde vereisten voldaan zijn als bij de aanvraag van een ontheffing. Die verlenging geldt dan voor ten hoogste zes maanden. Het voornemen om een ontheffingenbeleid vast te stellen en bekend te maken, is in de algemene toelichting hierboven reeds aan de orde gekomen. Dit artikel treedt thans nog niet in werking.</w:t>
      </w:r>
      <w:r w:rsidRPr="00740B69">
        <w:rPr>
          <w:rFonts w:ascii="Palatino Linotype" w:hAnsi="Palatino Linotype"/>
          <w:snapToGrid/>
          <w:sz w:val="22"/>
          <w:szCs w:val="22"/>
          <w:lang w:val="nl-NL"/>
        </w:rPr>
        <w:tab/>
      </w:r>
      <w:r w:rsidRPr="00740B69">
        <w:rPr>
          <w:rFonts w:ascii="Palatino Linotype" w:hAnsi="Palatino Linotype"/>
          <w:snapToGrid/>
          <w:sz w:val="22"/>
          <w:szCs w:val="22"/>
          <w:lang w:val="nl-NL"/>
        </w:rPr>
        <w:tab/>
      </w:r>
    </w:p>
    <w:p w:rsidR="00740B69" w:rsidRDefault="00740B69" w:rsidP="00740B69">
      <w:pPr>
        <w:widowControl/>
        <w:tabs>
          <w:tab w:val="left" w:pos="720"/>
          <w:tab w:val="left" w:pos="1440"/>
          <w:tab w:val="left" w:pos="2160"/>
          <w:tab w:val="left" w:pos="2880"/>
          <w:tab w:val="left" w:pos="3600"/>
          <w:tab w:val="left" w:pos="4320"/>
        </w:tabs>
        <w:jc w:val="both"/>
        <w:rPr>
          <w:rFonts w:ascii="Palatino Linotype" w:hAnsi="Palatino Linotype"/>
          <w:snapToGrid/>
          <w:sz w:val="22"/>
          <w:szCs w:val="22"/>
          <w:lang w:val="nl-NL"/>
        </w:rPr>
      </w:pPr>
    </w:p>
    <w:p w:rsidR="002E0181" w:rsidRPr="00740B69" w:rsidRDefault="002E0181" w:rsidP="00740B69">
      <w:pPr>
        <w:widowControl/>
        <w:tabs>
          <w:tab w:val="left" w:pos="720"/>
          <w:tab w:val="left" w:pos="1440"/>
          <w:tab w:val="left" w:pos="2160"/>
          <w:tab w:val="left" w:pos="2880"/>
          <w:tab w:val="left" w:pos="3600"/>
          <w:tab w:val="left" w:pos="4320"/>
        </w:tabs>
        <w:jc w:val="both"/>
        <w:rPr>
          <w:rFonts w:ascii="Palatino Linotype" w:hAnsi="Palatino Linotype"/>
          <w:snapToGrid/>
          <w:sz w:val="22"/>
          <w:szCs w:val="22"/>
          <w:lang w:val="nl-NL"/>
        </w:rPr>
      </w:pPr>
    </w:p>
    <w:p w:rsidR="00740B69" w:rsidRPr="00740B69" w:rsidRDefault="00740B69" w:rsidP="00740B69">
      <w:pPr>
        <w:widowControl/>
        <w:tabs>
          <w:tab w:val="center" w:pos="4252"/>
        </w:tabs>
        <w:jc w:val="both"/>
        <w:rPr>
          <w:rFonts w:ascii="Palatino Linotype" w:hAnsi="Palatino Linotype"/>
          <w:b/>
          <w:snapToGrid/>
          <w:sz w:val="22"/>
          <w:szCs w:val="22"/>
          <w:lang w:val="nl-NL"/>
        </w:rPr>
      </w:pPr>
      <w:r w:rsidRPr="00740B69">
        <w:rPr>
          <w:rFonts w:ascii="Palatino Linotype" w:hAnsi="Palatino Linotype"/>
          <w:b/>
          <w:snapToGrid/>
          <w:sz w:val="22"/>
          <w:szCs w:val="22"/>
          <w:lang w:val="nl-NL"/>
        </w:rPr>
        <w:lastRenderedPageBreak/>
        <w:t xml:space="preserve">Artikel 6 </w:t>
      </w: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Dit landsbesluit komt in de plaats van de Tijdelijke regeling in-, uit- en doorvoerverbod Venezolaans goud. </w:t>
      </w:r>
    </w:p>
    <w:p w:rsidR="00740B69" w:rsidRPr="00740B69" w:rsidRDefault="00740B69" w:rsidP="00740B69">
      <w:pPr>
        <w:widowControl/>
        <w:tabs>
          <w:tab w:val="center" w:pos="4252"/>
        </w:tabs>
        <w:jc w:val="both"/>
        <w:rPr>
          <w:rFonts w:ascii="Palatino Linotype" w:hAnsi="Palatino Linotype"/>
          <w:snapToGrid/>
          <w:sz w:val="22"/>
          <w:szCs w:val="22"/>
          <w:lang w:val="nl-NL"/>
        </w:rPr>
      </w:pPr>
    </w:p>
    <w:p w:rsidR="00740B69" w:rsidRPr="00740B69" w:rsidRDefault="00740B69" w:rsidP="00740B69">
      <w:pPr>
        <w:widowControl/>
        <w:jc w:val="both"/>
        <w:rPr>
          <w:rFonts w:ascii="Palatino Linotype" w:hAnsi="Palatino Linotype"/>
          <w:b/>
          <w:snapToGrid/>
          <w:sz w:val="22"/>
          <w:szCs w:val="22"/>
          <w:lang w:val="nl-NL"/>
        </w:rPr>
      </w:pPr>
      <w:r w:rsidRPr="00740B69">
        <w:rPr>
          <w:rFonts w:ascii="Palatino Linotype" w:hAnsi="Palatino Linotype"/>
          <w:b/>
          <w:snapToGrid/>
          <w:sz w:val="22"/>
          <w:szCs w:val="22"/>
          <w:lang w:val="nl-NL"/>
        </w:rPr>
        <w:t>Artikel 7</w:t>
      </w:r>
    </w:p>
    <w:p w:rsidR="00740B69" w:rsidRPr="00740B69" w:rsidRDefault="00740B69" w:rsidP="00740B69">
      <w:pPr>
        <w:widowControl/>
        <w:jc w:val="both"/>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Dit landsbesluit treedt in werking met ingang van de dag van bekendmaking. Artikel 2, tweede en derde lid, en de artikelen 3, 4 en 5 van dit landsbesluit, treden in werking op een nader, bij separaat landsbesluit te bepalen tijdstip. </w:t>
      </w:r>
    </w:p>
    <w:p w:rsidR="00740B69" w:rsidRPr="00740B69" w:rsidRDefault="00740B69" w:rsidP="00740B69">
      <w:pPr>
        <w:widowControl/>
        <w:jc w:val="both"/>
        <w:rPr>
          <w:rFonts w:ascii="Palatino Linotype" w:hAnsi="Palatino Linotype"/>
          <w:snapToGrid/>
          <w:sz w:val="22"/>
          <w:szCs w:val="22"/>
          <w:lang w:val="nl-NL"/>
        </w:rPr>
      </w:pPr>
    </w:p>
    <w:p w:rsidR="00740B69" w:rsidRPr="00740B69" w:rsidRDefault="00740B69" w:rsidP="00740B69">
      <w:pPr>
        <w:widowControl/>
        <w:tabs>
          <w:tab w:val="left" w:pos="5248"/>
          <w:tab w:val="left" w:pos="5560"/>
        </w:tabs>
        <w:jc w:val="both"/>
        <w:rPr>
          <w:rFonts w:ascii="Palatino Linotype" w:hAnsi="Palatino Linotype"/>
          <w:snapToGrid/>
          <w:sz w:val="22"/>
          <w:szCs w:val="22"/>
          <w:lang w:val="nl-NL"/>
        </w:rPr>
      </w:pPr>
    </w:p>
    <w:p w:rsidR="00740B69" w:rsidRPr="00740B69" w:rsidRDefault="00740B69" w:rsidP="00740B69">
      <w:pPr>
        <w:widowControl/>
        <w:tabs>
          <w:tab w:val="left" w:pos="5248"/>
          <w:tab w:val="left" w:pos="5560"/>
        </w:tabs>
        <w:jc w:val="both"/>
        <w:rPr>
          <w:rFonts w:ascii="Palatino Linotype" w:hAnsi="Palatino Linotype"/>
          <w:snapToGrid/>
          <w:sz w:val="22"/>
          <w:szCs w:val="22"/>
          <w:lang w:val="nl-NL"/>
        </w:rPr>
      </w:pPr>
    </w:p>
    <w:p w:rsidR="00740B69" w:rsidRPr="00740B69" w:rsidRDefault="00740B69" w:rsidP="00740B69">
      <w:pPr>
        <w:widowControl/>
        <w:ind w:left="5103"/>
        <w:rPr>
          <w:rFonts w:ascii="Palatino Linotype" w:hAnsi="Palatino Linotype"/>
          <w:snapToGrid/>
          <w:sz w:val="22"/>
          <w:szCs w:val="22"/>
          <w:lang w:val="nl-NL"/>
        </w:rPr>
      </w:pPr>
      <w:r w:rsidRPr="00740B69">
        <w:rPr>
          <w:rFonts w:ascii="Palatino Linotype" w:hAnsi="Palatino Linotype"/>
          <w:snapToGrid/>
          <w:sz w:val="22"/>
          <w:szCs w:val="22"/>
          <w:lang w:val="nl-NL"/>
        </w:rPr>
        <w:t xml:space="preserve">De Minister van Economische Ontwikkeling, </w:t>
      </w:r>
    </w:p>
    <w:p w:rsidR="00CB0D6C" w:rsidRPr="00BA63EF" w:rsidRDefault="00CB0D6C" w:rsidP="00CB0D6C">
      <w:pPr>
        <w:widowControl/>
        <w:ind w:left="4962" w:right="1372"/>
        <w:jc w:val="center"/>
        <w:rPr>
          <w:rFonts w:ascii="Palatino Linotype" w:hAnsi="Palatino Linotype"/>
          <w:snapToGrid/>
          <w:sz w:val="22"/>
          <w:szCs w:val="22"/>
          <w:lang w:val="nl-NL"/>
        </w:rPr>
      </w:pPr>
      <w:r w:rsidRPr="001836E9">
        <w:rPr>
          <w:rFonts w:ascii="Palatino Linotype" w:eastAsia="MS Mincho" w:hAnsi="Palatino Linotype"/>
          <w:snapToGrid/>
          <w:sz w:val="22"/>
          <w:szCs w:val="22"/>
          <w:lang w:val="nl-NL"/>
        </w:rPr>
        <w:t>G.M. Mc. WILLIAM</w:t>
      </w:r>
    </w:p>
    <w:p w:rsidR="00740B69" w:rsidRDefault="00740B69" w:rsidP="00740B69">
      <w:pPr>
        <w:widowControl/>
        <w:tabs>
          <w:tab w:val="left" w:pos="6200"/>
        </w:tabs>
        <w:ind w:left="5103"/>
        <w:rPr>
          <w:rFonts w:ascii="Palatino Linotype" w:hAnsi="Palatino Linotype"/>
          <w:snapToGrid/>
          <w:sz w:val="22"/>
          <w:szCs w:val="22"/>
          <w:lang w:val="nl-NL"/>
        </w:rPr>
      </w:pPr>
    </w:p>
    <w:p w:rsidR="00CB0D6C" w:rsidRPr="00740B69" w:rsidRDefault="00CB0D6C" w:rsidP="00CB0D6C">
      <w:pPr>
        <w:widowControl/>
        <w:tabs>
          <w:tab w:val="left" w:pos="6200"/>
        </w:tabs>
        <w:rPr>
          <w:rFonts w:ascii="Palatino Linotype" w:hAnsi="Palatino Linotype"/>
          <w:snapToGrid/>
          <w:sz w:val="22"/>
          <w:szCs w:val="22"/>
          <w:lang w:val="nl-NL"/>
        </w:rPr>
      </w:pPr>
    </w:p>
    <w:p w:rsidR="00740B69" w:rsidRPr="00740B69" w:rsidRDefault="00740B69" w:rsidP="00740B69">
      <w:pPr>
        <w:widowControl/>
        <w:tabs>
          <w:tab w:val="left" w:pos="6200"/>
        </w:tabs>
        <w:ind w:left="5103" w:firstLine="720"/>
        <w:rPr>
          <w:rFonts w:ascii="Palatino Linotype" w:hAnsi="Palatino Linotype"/>
          <w:snapToGrid/>
          <w:sz w:val="22"/>
          <w:szCs w:val="22"/>
          <w:lang w:val="nl-NL"/>
        </w:rPr>
      </w:pPr>
    </w:p>
    <w:p w:rsidR="00740B69" w:rsidRPr="00740B69" w:rsidRDefault="00740B69" w:rsidP="00740B69">
      <w:pPr>
        <w:widowControl/>
        <w:ind w:left="5103"/>
        <w:rPr>
          <w:rFonts w:ascii="Palatino Linotype" w:hAnsi="Palatino Linotype"/>
          <w:snapToGrid/>
          <w:sz w:val="22"/>
          <w:szCs w:val="22"/>
          <w:lang w:val="nl-NL"/>
        </w:rPr>
      </w:pPr>
      <w:r w:rsidRPr="00740B69">
        <w:rPr>
          <w:rFonts w:ascii="Palatino Linotype" w:hAnsi="Palatino Linotype"/>
          <w:snapToGrid/>
          <w:sz w:val="22"/>
          <w:szCs w:val="22"/>
          <w:lang w:val="nl-NL"/>
        </w:rPr>
        <w:t>De Minister van Financiën,</w:t>
      </w:r>
    </w:p>
    <w:p w:rsidR="002E0181" w:rsidRDefault="002E0181" w:rsidP="002E0181">
      <w:pPr>
        <w:ind w:left="5103" w:right="1513"/>
        <w:jc w:val="center"/>
        <w:rPr>
          <w:rFonts w:ascii="Palatino Linotype" w:hAnsi="Palatino Linotype"/>
          <w:snapToGrid/>
          <w:sz w:val="22"/>
          <w:szCs w:val="22"/>
          <w:lang w:val="nl-NL"/>
        </w:rPr>
      </w:pPr>
      <w:r>
        <w:rPr>
          <w:rFonts w:ascii="Palatino Linotype" w:hAnsi="Palatino Linotype"/>
          <w:sz w:val="22"/>
          <w:szCs w:val="22"/>
          <w:lang w:val="nl-NL"/>
        </w:rPr>
        <w:t>K.A. GIJSBERTHA</w:t>
      </w:r>
    </w:p>
    <w:p w:rsidR="00740B69" w:rsidRPr="00740B69" w:rsidRDefault="00740B69" w:rsidP="00740B69">
      <w:pPr>
        <w:widowControl/>
        <w:ind w:left="5103" w:firstLine="720"/>
        <w:rPr>
          <w:rFonts w:ascii="Palatino Linotype" w:hAnsi="Palatino Linotype"/>
          <w:snapToGrid/>
          <w:sz w:val="22"/>
          <w:szCs w:val="22"/>
          <w:lang w:val="nl-NL"/>
        </w:rPr>
      </w:pPr>
    </w:p>
    <w:p w:rsidR="00740B69" w:rsidRPr="00740B69" w:rsidRDefault="00740B69" w:rsidP="00740B69">
      <w:pPr>
        <w:widowControl/>
        <w:ind w:left="5103" w:firstLine="720"/>
        <w:rPr>
          <w:rFonts w:ascii="Palatino Linotype" w:hAnsi="Palatino Linotype"/>
          <w:snapToGrid/>
          <w:sz w:val="22"/>
          <w:szCs w:val="22"/>
          <w:lang w:val="nl-NL"/>
        </w:rPr>
      </w:pPr>
    </w:p>
    <w:p w:rsidR="00740B69" w:rsidRPr="00740B69" w:rsidRDefault="00740B69" w:rsidP="00740B69">
      <w:pPr>
        <w:widowControl/>
        <w:ind w:left="5103" w:firstLine="720"/>
        <w:rPr>
          <w:rFonts w:ascii="Palatino Linotype" w:hAnsi="Palatino Linotype"/>
          <w:snapToGrid/>
          <w:sz w:val="22"/>
          <w:szCs w:val="22"/>
          <w:lang w:val="nl-NL"/>
        </w:rPr>
      </w:pPr>
    </w:p>
    <w:p w:rsidR="00740B69" w:rsidRPr="00740B69" w:rsidRDefault="00740B69" w:rsidP="00740B69">
      <w:pPr>
        <w:widowControl/>
        <w:ind w:left="5103"/>
        <w:rPr>
          <w:rFonts w:ascii="Palatino Linotype" w:hAnsi="Palatino Linotype"/>
          <w:snapToGrid/>
          <w:sz w:val="22"/>
          <w:szCs w:val="22"/>
          <w:lang w:val="nl-NL"/>
        </w:rPr>
      </w:pPr>
      <w:r w:rsidRPr="00740B69">
        <w:rPr>
          <w:rFonts w:ascii="Palatino Linotype" w:hAnsi="Palatino Linotype"/>
          <w:snapToGrid/>
          <w:sz w:val="22"/>
          <w:szCs w:val="22"/>
          <w:lang w:val="nl-NL"/>
        </w:rPr>
        <w:t>De Minister van Justitie,</w:t>
      </w:r>
    </w:p>
    <w:p w:rsidR="00CB0D6C" w:rsidRPr="00F012BA" w:rsidRDefault="00CB0D6C" w:rsidP="00CB0D6C">
      <w:pPr>
        <w:ind w:left="5103" w:right="1939"/>
        <w:jc w:val="center"/>
        <w:rPr>
          <w:rFonts w:ascii="Palatino Linotype" w:hAnsi="Palatino Linotype"/>
          <w:sz w:val="22"/>
          <w:szCs w:val="22"/>
          <w:lang w:val="nl-NL"/>
        </w:rPr>
      </w:pPr>
      <w:r w:rsidRPr="00F012BA">
        <w:rPr>
          <w:rFonts w:ascii="Palatino Linotype" w:hAnsi="Palatino Linotype"/>
          <w:sz w:val="22"/>
          <w:szCs w:val="22"/>
          <w:lang w:val="nl-NL"/>
        </w:rPr>
        <w:t>Q. C. O. GIRIGORIE</w:t>
      </w:r>
    </w:p>
    <w:p w:rsidR="00740B69" w:rsidRPr="00740B69" w:rsidRDefault="00740B69" w:rsidP="00740B69">
      <w:pPr>
        <w:widowControl/>
        <w:ind w:left="5103"/>
        <w:rPr>
          <w:rFonts w:ascii="Palatino Linotype" w:hAnsi="Palatino Linotype"/>
          <w:snapToGrid/>
          <w:sz w:val="22"/>
          <w:szCs w:val="22"/>
          <w:lang w:val="nl-NL"/>
        </w:rPr>
      </w:pPr>
    </w:p>
    <w:p w:rsidR="00740B69" w:rsidRPr="00740B69" w:rsidRDefault="00740B69" w:rsidP="00740B69">
      <w:pPr>
        <w:widowControl/>
        <w:ind w:left="5103"/>
        <w:rPr>
          <w:rFonts w:ascii="Palatino Linotype" w:hAnsi="Palatino Linotype"/>
          <w:snapToGrid/>
          <w:sz w:val="22"/>
          <w:szCs w:val="22"/>
          <w:lang w:val="nl-NL"/>
        </w:rPr>
      </w:pPr>
    </w:p>
    <w:p w:rsidR="00740B69" w:rsidRPr="00740B69" w:rsidRDefault="00740B69" w:rsidP="00740B69">
      <w:pPr>
        <w:widowControl/>
        <w:ind w:left="5103"/>
        <w:rPr>
          <w:rFonts w:ascii="Palatino Linotype" w:hAnsi="Palatino Linotype"/>
          <w:snapToGrid/>
          <w:sz w:val="22"/>
          <w:szCs w:val="22"/>
          <w:lang w:val="nl-NL"/>
        </w:rPr>
      </w:pPr>
    </w:p>
    <w:p w:rsidR="00740B69" w:rsidRPr="00740B69" w:rsidRDefault="00740B69" w:rsidP="00740B69">
      <w:pPr>
        <w:widowControl/>
        <w:ind w:left="5103"/>
        <w:rPr>
          <w:rFonts w:ascii="Palatino Linotype" w:hAnsi="Palatino Linotype"/>
          <w:snapToGrid/>
          <w:sz w:val="22"/>
          <w:szCs w:val="22"/>
          <w:lang w:val="nl-NL"/>
        </w:rPr>
      </w:pPr>
      <w:r w:rsidRPr="00740B69">
        <w:rPr>
          <w:rFonts w:ascii="Palatino Linotype" w:hAnsi="Palatino Linotype"/>
          <w:snapToGrid/>
          <w:sz w:val="22"/>
          <w:szCs w:val="22"/>
          <w:lang w:val="nl-NL"/>
        </w:rPr>
        <w:t>De Minister van Algemene Zaken,</w:t>
      </w:r>
    </w:p>
    <w:p w:rsidR="00740B69" w:rsidRPr="00740B69" w:rsidRDefault="002E0181" w:rsidP="002E0181">
      <w:pPr>
        <w:widowControl/>
        <w:ind w:left="5103" w:right="946"/>
        <w:jc w:val="center"/>
        <w:rPr>
          <w:rFonts w:ascii="Palatino Linotype" w:hAnsi="Palatino Linotype"/>
          <w:snapToGrid/>
          <w:sz w:val="22"/>
          <w:szCs w:val="22"/>
          <w:lang w:val="nl-NL"/>
        </w:rPr>
      </w:pPr>
      <w:r>
        <w:rPr>
          <w:rFonts w:ascii="Palatino Linotype" w:hAnsi="Palatino Linotype"/>
          <w:sz w:val="22"/>
          <w:szCs w:val="22"/>
          <w:lang w:val="nl-NL"/>
        </w:rPr>
        <w:t>E. P. RHUGGENAATH</w:t>
      </w: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B69" w:rsidRDefault="00740B69">
      <w:pPr>
        <w:spacing w:line="20" w:lineRule="exact"/>
      </w:pPr>
    </w:p>
  </w:endnote>
  <w:endnote w:type="continuationSeparator" w:id="0">
    <w:p w:rsidR="00740B69" w:rsidRDefault="00740B69">
      <w:r>
        <w:t xml:space="preserve"> </w:t>
      </w:r>
    </w:p>
  </w:endnote>
  <w:endnote w:type="continuationNotice" w:id="1">
    <w:p w:rsidR="00740B69" w:rsidRDefault="00740B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B69" w:rsidRDefault="00740B69">
      <w:r>
        <w:separator/>
      </w:r>
    </w:p>
  </w:footnote>
  <w:footnote w:type="continuationSeparator" w:id="0">
    <w:p w:rsidR="00740B69" w:rsidRDefault="00740B69">
      <w:r>
        <w:continuationSeparator/>
      </w:r>
    </w:p>
  </w:footnote>
  <w:footnote w:id="1">
    <w:p w:rsidR="00740B69" w:rsidRPr="00BA63EF" w:rsidRDefault="00740B69" w:rsidP="00740B69">
      <w:pPr>
        <w:pStyle w:val="FootnoteText"/>
        <w:rPr>
          <w:rFonts w:ascii="Palatino Linotype" w:hAnsi="Palatino Linotype"/>
          <w:sz w:val="18"/>
          <w:szCs w:val="18"/>
          <w:lang w:val="es-ES"/>
        </w:rPr>
      </w:pPr>
      <w:r w:rsidRPr="00A15DBE">
        <w:rPr>
          <w:rStyle w:val="FootnoteReference"/>
          <w:rFonts w:ascii="Palatino Linotype" w:hAnsi="Palatino Linotype"/>
          <w:sz w:val="18"/>
          <w:szCs w:val="18"/>
        </w:rPr>
        <w:footnoteRef/>
      </w:r>
      <w:r w:rsidRPr="00BA63EF">
        <w:rPr>
          <w:rFonts w:ascii="Palatino Linotype" w:hAnsi="Palatino Linotype"/>
          <w:sz w:val="18"/>
          <w:szCs w:val="18"/>
          <w:lang w:val="es-ES"/>
        </w:rPr>
        <w:t xml:space="preserve"> P.B. 1968, no. 42</w:t>
      </w:r>
    </w:p>
  </w:footnote>
  <w:footnote w:id="2">
    <w:p w:rsidR="00740B69" w:rsidRPr="00BA63EF" w:rsidRDefault="00740B69" w:rsidP="00740B69">
      <w:pPr>
        <w:pStyle w:val="FootnoteText"/>
        <w:rPr>
          <w:rFonts w:ascii="Palatino Linotype" w:hAnsi="Palatino Linotype"/>
          <w:sz w:val="18"/>
          <w:szCs w:val="18"/>
          <w:vertAlign w:val="subscript"/>
          <w:lang w:val="es-ES"/>
        </w:rPr>
      </w:pPr>
      <w:r w:rsidRPr="00A15DBE">
        <w:rPr>
          <w:rStyle w:val="FootnoteReference"/>
          <w:rFonts w:ascii="Palatino Linotype" w:hAnsi="Palatino Linotype"/>
          <w:sz w:val="18"/>
          <w:szCs w:val="18"/>
        </w:rPr>
        <w:footnoteRef/>
      </w:r>
      <w:r w:rsidRPr="00BA63EF">
        <w:rPr>
          <w:rFonts w:ascii="Palatino Linotype" w:hAnsi="Palatino Linotype"/>
          <w:sz w:val="18"/>
          <w:szCs w:val="18"/>
          <w:lang w:val="es-ES"/>
        </w:rPr>
        <w:t xml:space="preserve"> P.B. 1949, no. 62</w:t>
      </w:r>
    </w:p>
  </w:footnote>
  <w:footnote w:id="3">
    <w:p w:rsidR="00740B69" w:rsidRPr="00BA63EF" w:rsidRDefault="00740B69" w:rsidP="00740B69">
      <w:pPr>
        <w:pStyle w:val="FootnoteText"/>
        <w:rPr>
          <w:rFonts w:ascii="Palatino Linotype" w:hAnsi="Palatino Linotype"/>
          <w:sz w:val="18"/>
          <w:szCs w:val="18"/>
          <w:lang w:val="es-ES"/>
        </w:rPr>
      </w:pPr>
      <w:r w:rsidRPr="00A15DBE">
        <w:rPr>
          <w:rStyle w:val="FootnoteReference"/>
          <w:rFonts w:ascii="Palatino Linotype" w:hAnsi="Palatino Linotype"/>
          <w:sz w:val="18"/>
          <w:szCs w:val="18"/>
        </w:rPr>
        <w:footnoteRef/>
      </w:r>
      <w:r w:rsidRPr="00BA63EF">
        <w:rPr>
          <w:rFonts w:ascii="Palatino Linotype" w:hAnsi="Palatino Linotype"/>
          <w:sz w:val="18"/>
          <w:szCs w:val="18"/>
          <w:lang w:val="es-ES"/>
        </w:rPr>
        <w:t xml:space="preserve"> P.B. 2019, no. 25</w:t>
      </w:r>
    </w:p>
  </w:footnote>
  <w:footnote w:id="4">
    <w:p w:rsidR="00740B69" w:rsidRPr="00BA63EF" w:rsidRDefault="00740B69" w:rsidP="00740B69">
      <w:pPr>
        <w:pStyle w:val="FootnoteText"/>
        <w:rPr>
          <w:rFonts w:ascii="Palatino Linotype" w:hAnsi="Palatino Linotype"/>
          <w:sz w:val="18"/>
          <w:szCs w:val="18"/>
          <w:lang w:val="es-ES"/>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es-ES"/>
        </w:rPr>
        <w:t xml:space="preserve"> </w:t>
      </w:r>
      <w:hyperlink r:id="rId1" w:history="1">
        <w:r w:rsidRPr="00BA63EF">
          <w:rPr>
            <w:rStyle w:val="Hyperlink1"/>
            <w:rFonts w:ascii="Palatino Linotype" w:hAnsi="Palatino Linotype"/>
            <w:sz w:val="18"/>
            <w:szCs w:val="18"/>
            <w:lang w:val="es-ES"/>
          </w:rPr>
          <w:t>https://www.crisisgroup.org/latin-america-caribbean/andes/venezuela/073-gold-and-grief-venezuelas-violent-south</w:t>
        </w:r>
      </w:hyperlink>
      <w:r w:rsidRPr="00BA63EF">
        <w:rPr>
          <w:rFonts w:ascii="Palatino Linotype" w:hAnsi="Palatino Linotype"/>
          <w:sz w:val="18"/>
          <w:szCs w:val="18"/>
          <w:lang w:val="es-ES"/>
        </w:rPr>
        <w:t>,</w:t>
      </w:r>
    </w:p>
    <w:p w:rsidR="00740B69" w:rsidRPr="00BA63EF" w:rsidRDefault="00D00DE0" w:rsidP="00740B69">
      <w:pPr>
        <w:pStyle w:val="FootnoteText"/>
        <w:rPr>
          <w:rFonts w:ascii="Palatino Linotype" w:hAnsi="Palatino Linotype"/>
          <w:sz w:val="18"/>
          <w:szCs w:val="18"/>
          <w:lang w:val="es-ES"/>
        </w:rPr>
      </w:pPr>
      <w:hyperlink r:id="rId2" w:history="1">
        <w:r w:rsidR="00740B69" w:rsidRPr="00BA63EF">
          <w:rPr>
            <w:rStyle w:val="Hyperlink1"/>
            <w:rFonts w:ascii="Palatino Linotype" w:hAnsi="Palatino Linotype"/>
            <w:sz w:val="18"/>
            <w:szCs w:val="18"/>
            <w:lang w:val="es-ES"/>
          </w:rPr>
          <w:t>https://decorrespondent.nl/9646/zo-werden-curacao-en-aruba-doorvoerhaven-voor-conflictgoud-uit-venezuela/4364915945390-86e763fd</w:t>
        </w:r>
      </w:hyperlink>
    </w:p>
  </w:footnote>
  <w:footnote w:id="5">
    <w:p w:rsidR="00740B69" w:rsidRPr="00694B0E" w:rsidRDefault="00740B69" w:rsidP="00740B69">
      <w:pPr>
        <w:pStyle w:val="FootnoteText"/>
        <w:rPr>
          <w:rFonts w:ascii="Palatino Linotype" w:hAnsi="Palatino Linotype"/>
          <w:sz w:val="18"/>
          <w:szCs w:val="18"/>
        </w:rPr>
      </w:pPr>
      <w:r w:rsidRPr="00694B0E">
        <w:rPr>
          <w:rStyle w:val="FootnoteReference"/>
          <w:rFonts w:ascii="Palatino Linotype" w:hAnsi="Palatino Linotype"/>
          <w:sz w:val="18"/>
          <w:szCs w:val="18"/>
        </w:rPr>
        <w:footnoteRef/>
      </w:r>
      <w:r w:rsidRPr="00694B0E">
        <w:rPr>
          <w:rFonts w:ascii="Palatino Linotype" w:hAnsi="Palatino Linotype"/>
          <w:sz w:val="18"/>
          <w:szCs w:val="18"/>
        </w:rPr>
        <w:t xml:space="preserve"> </w:t>
      </w:r>
      <w:proofErr w:type="spellStart"/>
      <w:r w:rsidRPr="00694B0E">
        <w:rPr>
          <w:rFonts w:ascii="Palatino Linotype" w:hAnsi="Palatino Linotype"/>
          <w:sz w:val="18"/>
          <w:szCs w:val="18"/>
        </w:rPr>
        <w:t>Zie</w:t>
      </w:r>
      <w:proofErr w:type="spellEnd"/>
      <w:r w:rsidRPr="00694B0E">
        <w:rPr>
          <w:rFonts w:ascii="Palatino Linotype" w:hAnsi="Palatino Linotype"/>
          <w:sz w:val="18"/>
          <w:szCs w:val="18"/>
        </w:rPr>
        <w:t xml:space="preserve"> </w:t>
      </w:r>
      <w:proofErr w:type="spellStart"/>
      <w:r w:rsidRPr="00694B0E">
        <w:rPr>
          <w:rFonts w:ascii="Palatino Linotype" w:hAnsi="Palatino Linotype"/>
          <w:sz w:val="18"/>
          <w:szCs w:val="18"/>
        </w:rPr>
        <w:t>ook</w:t>
      </w:r>
      <w:proofErr w:type="spellEnd"/>
      <w:r w:rsidRPr="00694B0E">
        <w:rPr>
          <w:rFonts w:ascii="Palatino Linotype" w:hAnsi="Palatino Linotype"/>
          <w:sz w:val="18"/>
          <w:szCs w:val="18"/>
        </w:rPr>
        <w:t xml:space="preserve"> FATF-</w:t>
      </w:r>
      <w:proofErr w:type="spellStart"/>
      <w:r w:rsidRPr="00694B0E">
        <w:rPr>
          <w:rFonts w:ascii="Palatino Linotype" w:hAnsi="Palatino Linotype"/>
          <w:sz w:val="18"/>
          <w:szCs w:val="18"/>
        </w:rPr>
        <w:t>rapporten</w:t>
      </w:r>
      <w:proofErr w:type="spellEnd"/>
      <w:r w:rsidRPr="00694B0E">
        <w:rPr>
          <w:rFonts w:ascii="Palatino Linotype" w:hAnsi="Palatino Linotype"/>
          <w:sz w:val="18"/>
          <w:szCs w:val="18"/>
        </w:rPr>
        <w:t xml:space="preserve">: ‘Money laundering and terrorist financing risks and vulnerabilities associated with gold’ (2015), </w:t>
      </w:r>
      <w:hyperlink r:id="rId3" w:history="1">
        <w:r w:rsidRPr="00694B0E">
          <w:rPr>
            <w:rStyle w:val="Hyperlink1"/>
            <w:rFonts w:ascii="Palatino Linotype" w:hAnsi="Palatino Linotype"/>
            <w:sz w:val="18"/>
            <w:szCs w:val="18"/>
          </w:rPr>
          <w:t>http://www.ctif-cfi.be/website/images/EN/typo_fatf/gold.pdf</w:t>
        </w:r>
      </w:hyperlink>
      <w:r w:rsidRPr="00694B0E">
        <w:rPr>
          <w:rFonts w:ascii="Palatino Linotype" w:hAnsi="Palatino Linotype"/>
          <w:sz w:val="18"/>
          <w:szCs w:val="18"/>
        </w:rPr>
        <w:t xml:space="preserve"> en ‘Report on Money Laundering typologies 2002-2003’, pagina19 </w:t>
      </w:r>
      <w:proofErr w:type="spellStart"/>
      <w:r w:rsidRPr="00694B0E">
        <w:rPr>
          <w:rFonts w:ascii="Palatino Linotype" w:hAnsi="Palatino Linotype"/>
          <w:sz w:val="18"/>
          <w:szCs w:val="18"/>
        </w:rPr>
        <w:t>e.v</w:t>
      </w:r>
      <w:proofErr w:type="spellEnd"/>
      <w:r w:rsidRPr="00694B0E">
        <w:rPr>
          <w:rFonts w:ascii="Palatino Linotype" w:hAnsi="Palatino Linotype"/>
          <w:sz w:val="18"/>
          <w:szCs w:val="18"/>
        </w:rPr>
        <w:t xml:space="preserve">., </w:t>
      </w:r>
      <w:hyperlink r:id="rId4" w:history="1"/>
      <w:r w:rsidRPr="00694B0E">
        <w:rPr>
          <w:rFonts w:ascii="Palatino Linotype" w:hAnsi="Palatino Linotype"/>
          <w:sz w:val="18"/>
          <w:szCs w:val="18"/>
        </w:rPr>
        <w:t xml:space="preserve"> </w:t>
      </w:r>
      <w:hyperlink r:id="rId5" w:history="1">
        <w:r w:rsidRPr="00694B0E">
          <w:rPr>
            <w:rStyle w:val="Hyperlink1"/>
            <w:rFonts w:ascii="Palatino Linotype" w:hAnsi="Palatino Linotype"/>
            <w:sz w:val="18"/>
            <w:szCs w:val="18"/>
          </w:rPr>
          <w:t>http://www.fatf-gafi.org/documents/documents/moneylaunderingtypologies2002-2003.html</w:t>
        </w:r>
      </w:hyperlink>
    </w:p>
  </w:footnote>
  <w:footnote w:id="6">
    <w:p w:rsidR="00740B69" w:rsidRPr="00BA63EF" w:rsidRDefault="00740B69" w:rsidP="00740B69">
      <w:pPr>
        <w:pStyle w:val="FootnoteText"/>
        <w:rPr>
          <w:rFonts w:ascii="Palatino Linotype" w:hAnsi="Palatino Linotype"/>
          <w:sz w:val="18"/>
          <w:szCs w:val="18"/>
          <w:lang w:val="es-ES"/>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es-ES"/>
        </w:rPr>
        <w:t xml:space="preserve"> P.B. 1968, no. 42</w:t>
      </w:r>
    </w:p>
  </w:footnote>
  <w:footnote w:id="7">
    <w:p w:rsidR="00740B69" w:rsidRPr="00BA63EF" w:rsidRDefault="00740B69" w:rsidP="00740B69">
      <w:pPr>
        <w:pStyle w:val="FootnoteText"/>
        <w:rPr>
          <w:rFonts w:ascii="Palatino Linotype" w:hAnsi="Palatino Linotype"/>
          <w:sz w:val="18"/>
          <w:szCs w:val="18"/>
          <w:lang w:val="es-ES"/>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es-ES"/>
        </w:rPr>
        <w:t xml:space="preserve"> P.B. 2019, no. 25</w:t>
      </w:r>
    </w:p>
  </w:footnote>
  <w:footnote w:id="8">
    <w:p w:rsidR="00740B69" w:rsidRPr="00BA63EF" w:rsidRDefault="00740B69" w:rsidP="00740B69">
      <w:pPr>
        <w:pStyle w:val="FootnoteText"/>
        <w:rPr>
          <w:rFonts w:ascii="Palatino Linotype" w:hAnsi="Palatino Linotype"/>
          <w:sz w:val="18"/>
          <w:szCs w:val="18"/>
          <w:lang w:val="es-ES"/>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es-ES"/>
        </w:rPr>
        <w:t xml:space="preserve"> P.B. 2011, no. 49</w:t>
      </w:r>
    </w:p>
  </w:footnote>
  <w:footnote w:id="9">
    <w:p w:rsidR="00740B69" w:rsidRPr="00BA63EF" w:rsidRDefault="00740B69" w:rsidP="00740B69">
      <w:pPr>
        <w:pStyle w:val="FootnoteText"/>
        <w:rPr>
          <w:rFonts w:ascii="Palatino Linotype" w:hAnsi="Palatino Linotype"/>
          <w:sz w:val="18"/>
          <w:szCs w:val="18"/>
          <w:lang w:val="nl-NL"/>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nl-NL"/>
        </w:rPr>
        <w:t xml:space="preserve"> P.B. 1949, no. 62</w:t>
      </w:r>
    </w:p>
  </w:footnote>
  <w:footnote w:id="10">
    <w:p w:rsidR="00740B69" w:rsidRPr="00BA63EF" w:rsidRDefault="00740B69" w:rsidP="00740B69">
      <w:pPr>
        <w:pStyle w:val="FootnoteText"/>
        <w:rPr>
          <w:rFonts w:ascii="Palatino Linotype" w:hAnsi="Palatino Linotype"/>
          <w:sz w:val="18"/>
          <w:szCs w:val="18"/>
          <w:lang w:val="nl-NL"/>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nl-NL"/>
        </w:rPr>
        <w:t xml:space="preserve"> Artikel 145 van de Landsverordening I.U. en D. 1908 (P.B. 1949, no. 62)</w:t>
      </w:r>
    </w:p>
  </w:footnote>
  <w:footnote w:id="11">
    <w:p w:rsidR="00740B69" w:rsidRPr="00BA63EF" w:rsidRDefault="00740B69" w:rsidP="00740B69">
      <w:pPr>
        <w:pStyle w:val="FootnoteText"/>
        <w:rPr>
          <w:rFonts w:ascii="Palatino Linotype" w:hAnsi="Palatino Linotype"/>
          <w:sz w:val="18"/>
          <w:szCs w:val="18"/>
          <w:lang w:val="nl-NL"/>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nl-NL"/>
        </w:rPr>
        <w:t xml:space="preserve"> Artikel 9 van de Landsverordening economische zones 2000, P.B. 2011, no. 17 </w:t>
      </w:r>
    </w:p>
  </w:footnote>
  <w:footnote w:id="12">
    <w:p w:rsidR="00740B69" w:rsidRPr="00BA63EF" w:rsidRDefault="00740B69" w:rsidP="00740B69">
      <w:pPr>
        <w:pStyle w:val="FootnoteText"/>
        <w:rPr>
          <w:rFonts w:ascii="Palatino Linotype" w:hAnsi="Palatino Linotype"/>
          <w:sz w:val="18"/>
          <w:szCs w:val="18"/>
          <w:lang w:val="nl-NL"/>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nl-NL"/>
        </w:rPr>
        <w:t xml:space="preserve"> Artikel 11 van de Landsverordening economische zones 2000</w:t>
      </w:r>
    </w:p>
  </w:footnote>
  <w:footnote w:id="13">
    <w:p w:rsidR="00740B69" w:rsidRPr="00BA63EF" w:rsidRDefault="00740B69" w:rsidP="00740B69">
      <w:pPr>
        <w:pStyle w:val="FootnoteText"/>
        <w:rPr>
          <w:rFonts w:ascii="Palatino Linotype" w:hAnsi="Palatino Linotype"/>
          <w:sz w:val="18"/>
          <w:szCs w:val="18"/>
          <w:lang w:val="nl-NL"/>
        </w:rPr>
      </w:pPr>
      <w:r w:rsidRPr="00694B0E">
        <w:rPr>
          <w:rStyle w:val="FootnoteReference"/>
          <w:rFonts w:ascii="Palatino Linotype" w:hAnsi="Palatino Linotype"/>
          <w:sz w:val="18"/>
          <w:szCs w:val="18"/>
        </w:rPr>
        <w:footnoteRef/>
      </w:r>
      <w:r w:rsidRPr="00BA63EF">
        <w:rPr>
          <w:rFonts w:ascii="Palatino Linotype" w:hAnsi="Palatino Linotype"/>
          <w:sz w:val="18"/>
          <w:szCs w:val="18"/>
          <w:lang w:val="nl-NL"/>
        </w:rPr>
        <w:t xml:space="preserve"> G.T. 2012, no. 9, gewijzigd bij P.B. 2014, no. 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00DE0">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00DE0">
                      <w:rPr>
                        <w:rFonts w:ascii="Times New Roman" w:hAnsi="Times New Roman"/>
                        <w:noProof/>
                        <w:spacing w:val="-3"/>
                      </w:rPr>
                      <w:t>12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A15DBE">
      <w:rPr>
        <w:rFonts w:ascii="Times New Roman" w:hAnsi="Times New Roman"/>
        <w:b/>
        <w:spacing w:val="-4"/>
        <w:sz w:val="36"/>
      </w:rPr>
      <w:t>82</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00DE0">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00DE0">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A15DBE">
      <w:rPr>
        <w:rFonts w:ascii="Times New Roman" w:hAnsi="Times New Roman"/>
        <w:b/>
        <w:spacing w:val="-4"/>
        <w:sz w:val="36"/>
      </w:rPr>
      <w:t>82</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6A3C"/>
    <w:multiLevelType w:val="hybridMultilevel"/>
    <w:tmpl w:val="2CC25940"/>
    <w:lvl w:ilvl="0" w:tplc="4B84563C">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7BEF"/>
    <w:multiLevelType w:val="hybridMultilevel"/>
    <w:tmpl w:val="272AD48C"/>
    <w:lvl w:ilvl="0" w:tplc="865E64A0">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8BF5466"/>
    <w:multiLevelType w:val="hybridMultilevel"/>
    <w:tmpl w:val="0D804C3E"/>
    <w:lvl w:ilvl="0" w:tplc="3578B4D0">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1F64E6"/>
    <w:multiLevelType w:val="hybridMultilevel"/>
    <w:tmpl w:val="18EEB694"/>
    <w:lvl w:ilvl="0" w:tplc="00CAC6F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69"/>
    <w:rsid w:val="000033D2"/>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E0181"/>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94B0E"/>
    <w:rsid w:val="006C19FE"/>
    <w:rsid w:val="00740B69"/>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15DBE"/>
    <w:rsid w:val="00AA53B3"/>
    <w:rsid w:val="00AC5F65"/>
    <w:rsid w:val="00B14BB9"/>
    <w:rsid w:val="00B41F4D"/>
    <w:rsid w:val="00B42035"/>
    <w:rsid w:val="00B73573"/>
    <w:rsid w:val="00B747D5"/>
    <w:rsid w:val="00B84E49"/>
    <w:rsid w:val="00B920FE"/>
    <w:rsid w:val="00BA63EF"/>
    <w:rsid w:val="00BE36FD"/>
    <w:rsid w:val="00BF3E97"/>
    <w:rsid w:val="00C00533"/>
    <w:rsid w:val="00CB0D6C"/>
    <w:rsid w:val="00CC6CA3"/>
    <w:rsid w:val="00CE18CE"/>
    <w:rsid w:val="00CE5C4F"/>
    <w:rsid w:val="00D00DE0"/>
    <w:rsid w:val="00D03575"/>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DADE7A-C2A8-4C01-9F44-5C317B0F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numbering" w:customStyle="1" w:styleId="NoList1">
    <w:name w:val="No List1"/>
    <w:next w:val="NoList"/>
    <w:uiPriority w:val="99"/>
    <w:semiHidden/>
    <w:unhideWhenUsed/>
    <w:rsid w:val="00740B69"/>
  </w:style>
  <w:style w:type="character" w:customStyle="1" w:styleId="Heading1Char">
    <w:name w:val="Heading 1 Char"/>
    <w:basedOn w:val="DefaultParagraphFont"/>
    <w:link w:val="Heading1"/>
    <w:rsid w:val="00740B69"/>
    <w:rPr>
      <w:rFonts w:ascii="Arial" w:hAnsi="Arial"/>
      <w:b/>
      <w:sz w:val="40"/>
      <w:u w:val="single"/>
    </w:rPr>
  </w:style>
  <w:style w:type="character" w:customStyle="1" w:styleId="HeaderChar">
    <w:name w:val="Header Char"/>
    <w:basedOn w:val="DefaultParagraphFont"/>
    <w:link w:val="Header"/>
    <w:rsid w:val="00740B69"/>
  </w:style>
  <w:style w:type="character" w:styleId="PageNumber">
    <w:name w:val="page number"/>
    <w:basedOn w:val="DefaultParagraphFont"/>
    <w:rsid w:val="00740B69"/>
  </w:style>
  <w:style w:type="character" w:customStyle="1" w:styleId="FooterChar">
    <w:name w:val="Footer Char"/>
    <w:basedOn w:val="DefaultParagraphFont"/>
    <w:link w:val="Footer"/>
    <w:uiPriority w:val="99"/>
    <w:rsid w:val="00740B69"/>
    <w:rPr>
      <w:rFonts w:ascii="Courier" w:hAnsi="Courier"/>
      <w:snapToGrid w:val="0"/>
      <w:sz w:val="24"/>
    </w:rPr>
  </w:style>
  <w:style w:type="paragraph" w:styleId="BodyText2">
    <w:name w:val="Body Text 2"/>
    <w:basedOn w:val="Normal"/>
    <w:link w:val="BodyText2Char"/>
    <w:rsid w:val="00740B69"/>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lang w:val="nl-NL"/>
    </w:rPr>
  </w:style>
  <w:style w:type="character" w:customStyle="1" w:styleId="BodyText2Char">
    <w:name w:val="Body Text 2 Char"/>
    <w:basedOn w:val="DefaultParagraphFont"/>
    <w:link w:val="BodyText2"/>
    <w:rsid w:val="00740B69"/>
    <w:rPr>
      <w:sz w:val="24"/>
      <w:lang w:val="nl-NL"/>
    </w:rPr>
  </w:style>
  <w:style w:type="paragraph" w:customStyle="1" w:styleId="Geenafstand">
    <w:name w:val="Geen afstand"/>
    <w:qFormat/>
    <w:rsid w:val="00740B69"/>
    <w:rPr>
      <w:lang w:val="nl-NL"/>
    </w:rPr>
  </w:style>
  <w:style w:type="character" w:styleId="CommentReference">
    <w:name w:val="annotation reference"/>
    <w:basedOn w:val="DefaultParagraphFont"/>
    <w:rsid w:val="00740B69"/>
    <w:rPr>
      <w:sz w:val="16"/>
      <w:szCs w:val="16"/>
    </w:rPr>
  </w:style>
  <w:style w:type="paragraph" w:styleId="CommentText">
    <w:name w:val="annotation text"/>
    <w:basedOn w:val="Normal"/>
    <w:link w:val="CommentTextChar"/>
    <w:rsid w:val="00740B69"/>
    <w:pPr>
      <w:widowControl/>
    </w:pPr>
    <w:rPr>
      <w:rFonts w:ascii="Times New Roman" w:hAnsi="Times New Roman"/>
      <w:snapToGrid/>
      <w:sz w:val="20"/>
      <w:lang w:val="nl-NL"/>
    </w:rPr>
  </w:style>
  <w:style w:type="character" w:customStyle="1" w:styleId="CommentTextChar">
    <w:name w:val="Comment Text Char"/>
    <w:basedOn w:val="DefaultParagraphFont"/>
    <w:link w:val="CommentText"/>
    <w:rsid w:val="00740B69"/>
    <w:rPr>
      <w:lang w:val="nl-NL"/>
    </w:rPr>
  </w:style>
  <w:style w:type="paragraph" w:styleId="CommentSubject">
    <w:name w:val="annotation subject"/>
    <w:basedOn w:val="CommentText"/>
    <w:next w:val="CommentText"/>
    <w:link w:val="CommentSubjectChar"/>
    <w:rsid w:val="00740B69"/>
    <w:rPr>
      <w:b/>
      <w:bCs/>
    </w:rPr>
  </w:style>
  <w:style w:type="character" w:customStyle="1" w:styleId="CommentSubjectChar">
    <w:name w:val="Comment Subject Char"/>
    <w:basedOn w:val="CommentTextChar"/>
    <w:link w:val="CommentSubject"/>
    <w:rsid w:val="00740B69"/>
    <w:rPr>
      <w:b/>
      <w:bCs/>
      <w:lang w:val="nl-NL"/>
    </w:rPr>
  </w:style>
  <w:style w:type="paragraph" w:styleId="BalloonText">
    <w:name w:val="Balloon Text"/>
    <w:basedOn w:val="Normal"/>
    <w:link w:val="BalloonTextChar"/>
    <w:rsid w:val="00740B69"/>
    <w:pPr>
      <w:widowControl/>
    </w:pPr>
    <w:rPr>
      <w:rFonts w:ascii="Tahoma" w:hAnsi="Tahoma" w:cs="Tahoma"/>
      <w:snapToGrid/>
      <w:sz w:val="16"/>
      <w:szCs w:val="16"/>
      <w:lang w:val="nl-NL"/>
    </w:rPr>
  </w:style>
  <w:style w:type="character" w:customStyle="1" w:styleId="BalloonTextChar">
    <w:name w:val="Balloon Text Char"/>
    <w:basedOn w:val="DefaultParagraphFont"/>
    <w:link w:val="BalloonText"/>
    <w:rsid w:val="00740B69"/>
    <w:rPr>
      <w:rFonts w:ascii="Tahoma" w:hAnsi="Tahoma" w:cs="Tahoma"/>
      <w:sz w:val="16"/>
      <w:szCs w:val="16"/>
      <w:lang w:val="nl-NL"/>
    </w:rPr>
  </w:style>
  <w:style w:type="character" w:customStyle="1" w:styleId="FootnoteTextChar">
    <w:name w:val="Footnote Text Char"/>
    <w:basedOn w:val="DefaultParagraphFont"/>
    <w:link w:val="FootnoteText"/>
    <w:rsid w:val="00740B69"/>
    <w:rPr>
      <w:rFonts w:ascii="Courier" w:hAnsi="Courier"/>
      <w:snapToGrid w:val="0"/>
      <w:sz w:val="24"/>
    </w:rPr>
  </w:style>
  <w:style w:type="paragraph" w:styleId="ListParagraph">
    <w:name w:val="List Paragraph"/>
    <w:basedOn w:val="Normal"/>
    <w:uiPriority w:val="34"/>
    <w:qFormat/>
    <w:rsid w:val="00740B69"/>
    <w:pPr>
      <w:widowControl/>
      <w:ind w:left="720"/>
      <w:contextualSpacing/>
    </w:pPr>
    <w:rPr>
      <w:rFonts w:ascii="Times New Roman" w:hAnsi="Times New Roman"/>
      <w:snapToGrid/>
      <w:sz w:val="20"/>
      <w:lang w:val="nl-NL"/>
    </w:rPr>
  </w:style>
  <w:style w:type="paragraph" w:styleId="Revision">
    <w:name w:val="Revision"/>
    <w:hidden/>
    <w:uiPriority w:val="99"/>
    <w:semiHidden/>
    <w:rsid w:val="00740B69"/>
    <w:rPr>
      <w:lang w:val="nl-NL"/>
    </w:rPr>
  </w:style>
  <w:style w:type="character" w:customStyle="1" w:styleId="Hyperlink1">
    <w:name w:val="Hyperlink1"/>
    <w:basedOn w:val="DefaultParagraphFont"/>
    <w:rsid w:val="00740B69"/>
    <w:rPr>
      <w:color w:val="0000FF"/>
      <w:u w:val="single"/>
    </w:rPr>
  </w:style>
  <w:style w:type="character" w:customStyle="1" w:styleId="FollowedHyperlink1">
    <w:name w:val="FollowedHyperlink1"/>
    <w:basedOn w:val="DefaultParagraphFont"/>
    <w:uiPriority w:val="99"/>
    <w:semiHidden/>
    <w:unhideWhenUsed/>
    <w:rsid w:val="00740B69"/>
    <w:rPr>
      <w:color w:val="800080"/>
      <w:u w:val="single"/>
    </w:rPr>
  </w:style>
  <w:style w:type="character" w:styleId="Hyperlink">
    <w:name w:val="Hyperlink"/>
    <w:basedOn w:val="DefaultParagraphFont"/>
    <w:rsid w:val="00740B69"/>
    <w:rPr>
      <w:color w:val="0563C1" w:themeColor="hyperlink"/>
      <w:u w:val="single"/>
    </w:rPr>
  </w:style>
  <w:style w:type="character" w:styleId="FollowedHyperlink">
    <w:name w:val="FollowedHyperlink"/>
    <w:basedOn w:val="DefaultParagraphFont"/>
    <w:rsid w:val="00740B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121732246">
      <w:bodyDiv w:val="1"/>
      <w:marLeft w:val="0"/>
      <w:marRight w:val="0"/>
      <w:marTop w:val="0"/>
      <w:marBottom w:val="0"/>
      <w:divBdr>
        <w:top w:val="none" w:sz="0" w:space="0" w:color="auto"/>
        <w:left w:val="none" w:sz="0" w:space="0" w:color="auto"/>
        <w:bottom w:val="none" w:sz="0" w:space="0" w:color="auto"/>
        <w:right w:val="none" w:sz="0" w:space="0" w:color="auto"/>
      </w:divBdr>
    </w:div>
    <w:div w:id="167353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ctif-cfi.be/website/images/EN/typo_fatf/gold.pdf" TargetMode="External"/><Relationship Id="rId2" Type="http://schemas.openxmlformats.org/officeDocument/2006/relationships/hyperlink" Target="https://decorrespondent.nl/9646/zo-werden-curacao-en-aruba-doorvoerhaven-voor-conflictgoud-uit-venezuela/4364915945390-86e763fd" TargetMode="External"/><Relationship Id="rId1" Type="http://schemas.openxmlformats.org/officeDocument/2006/relationships/hyperlink" Target="https://www.crisisgroup.org/latin-america-caribbean/andes/venezuela/073-gold-and-grief-venezuelas-violent-south" TargetMode="External"/><Relationship Id="rId5" Type="http://schemas.openxmlformats.org/officeDocument/2006/relationships/hyperlink" Target="http://www.fatf-gafi.org/documents/documents/moneylaunderingtypologies2002-2003.html" TargetMode="External"/><Relationship Id="rId4" Type="http://schemas.openxmlformats.org/officeDocument/2006/relationships/hyperlink" Target="http://www.fatf-gafi.org/media/fatf/documents/reports/2002_2003_ML_Typologies_E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125</TotalTime>
  <Pages>13</Pages>
  <Words>4841</Words>
  <Characters>28080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3</cp:revision>
  <cp:lastPrinted>2019-12-20T21:11:00Z</cp:lastPrinted>
  <dcterms:created xsi:type="dcterms:W3CDTF">2019-12-20T20:09:00Z</dcterms:created>
  <dcterms:modified xsi:type="dcterms:W3CDTF">2019-12-20T22:27:00Z</dcterms:modified>
</cp:coreProperties>
</file>