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B5F25"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B5F25">
        <w:rPr>
          <w:b/>
          <w:sz w:val="36"/>
          <w:szCs w:val="36"/>
          <w:lang w:val="nl-NL"/>
        </w:rPr>
        <w:t>A° 20</w:t>
      </w:r>
      <w:r w:rsidR="000B5F25">
        <w:rPr>
          <w:b/>
          <w:sz w:val="36"/>
          <w:szCs w:val="36"/>
          <w:lang w:val="nl-NL"/>
        </w:rPr>
        <w:t>20</w:t>
      </w:r>
      <w:r w:rsidR="003D25AC" w:rsidRPr="000B5F25">
        <w:rPr>
          <w:sz w:val="36"/>
          <w:szCs w:val="36"/>
          <w:lang w:val="nl-NL"/>
        </w:rPr>
        <w:tab/>
      </w:r>
      <w:r w:rsidR="003D25AC" w:rsidRPr="000B5F25">
        <w:rPr>
          <w:b/>
          <w:sz w:val="36"/>
          <w:szCs w:val="36"/>
          <w:lang w:val="nl-NL"/>
        </w:rPr>
        <w:t xml:space="preserve">N° </w:t>
      </w:r>
      <w:r w:rsidR="00D74DBC">
        <w:rPr>
          <w:b/>
          <w:sz w:val="36"/>
          <w:szCs w:val="36"/>
        </w:rPr>
        <w:fldChar w:fldCharType="begin">
          <w:ffData>
            <w:name w:val="Text2"/>
            <w:enabled/>
            <w:calcOnExit w:val="0"/>
            <w:textInput>
              <w:default w:val="2 (GT)"/>
            </w:textInput>
          </w:ffData>
        </w:fldChar>
      </w:r>
      <w:bookmarkStart w:id="0" w:name="Text2"/>
      <w:r w:rsidR="00D74DBC" w:rsidRPr="000B5F25">
        <w:rPr>
          <w:b/>
          <w:sz w:val="36"/>
          <w:szCs w:val="36"/>
          <w:lang w:val="nl-NL"/>
        </w:rPr>
        <w:instrText xml:space="preserve"> FORMTEXT </w:instrText>
      </w:r>
      <w:r w:rsidR="00D74DBC">
        <w:rPr>
          <w:b/>
          <w:sz w:val="36"/>
          <w:szCs w:val="36"/>
        </w:rPr>
      </w:r>
      <w:r w:rsidR="00D74DBC">
        <w:rPr>
          <w:b/>
          <w:sz w:val="36"/>
          <w:szCs w:val="36"/>
        </w:rPr>
        <w:fldChar w:fldCharType="separate"/>
      </w:r>
      <w:r w:rsidR="00D74DBC" w:rsidRPr="000B5F25">
        <w:rPr>
          <w:b/>
          <w:noProof/>
          <w:sz w:val="36"/>
          <w:szCs w:val="36"/>
          <w:lang w:val="nl-NL"/>
        </w:rPr>
        <w:t>2 (GT)</w:t>
      </w:r>
      <w:r w:rsidR="00D74DBC">
        <w:rPr>
          <w:b/>
          <w:sz w:val="36"/>
          <w:szCs w:val="36"/>
        </w:rPr>
        <w:fldChar w:fldCharType="end"/>
      </w:r>
      <w:bookmarkEnd w:id="0"/>
    </w:p>
    <w:p w:rsidR="003D25AC" w:rsidRPr="000B5F25" w:rsidRDefault="003D25AC">
      <w:pPr>
        <w:pStyle w:val="Header"/>
        <w:tabs>
          <w:tab w:val="clear" w:pos="4320"/>
          <w:tab w:val="clear" w:pos="8640"/>
        </w:tabs>
        <w:rPr>
          <w:sz w:val="24"/>
          <w:szCs w:val="24"/>
          <w:lang w:val="nl-NL"/>
        </w:rPr>
      </w:pPr>
    </w:p>
    <w:p w:rsidR="003D25AC" w:rsidRPr="000B5F25" w:rsidRDefault="003D25AC">
      <w:pPr>
        <w:pStyle w:val="Header"/>
        <w:tabs>
          <w:tab w:val="clear" w:pos="4320"/>
          <w:tab w:val="clear" w:pos="8640"/>
        </w:tabs>
        <w:rPr>
          <w:sz w:val="24"/>
          <w:szCs w:val="24"/>
          <w:lang w:val="nl-NL"/>
        </w:rPr>
      </w:pPr>
    </w:p>
    <w:p w:rsidR="003D25AC" w:rsidRPr="000B5F25" w:rsidRDefault="003D25AC">
      <w:pPr>
        <w:pStyle w:val="Header"/>
        <w:tabs>
          <w:tab w:val="clear" w:pos="4320"/>
          <w:tab w:val="clear" w:pos="8640"/>
        </w:tabs>
        <w:rPr>
          <w:sz w:val="24"/>
          <w:szCs w:val="24"/>
          <w:lang w:val="nl-NL"/>
        </w:rPr>
      </w:pPr>
    </w:p>
    <w:p w:rsidR="003D25AC" w:rsidRPr="000B5F25" w:rsidRDefault="003D25AC">
      <w:pPr>
        <w:pStyle w:val="Header"/>
        <w:tabs>
          <w:tab w:val="clear" w:pos="4320"/>
          <w:tab w:val="clear" w:pos="8640"/>
        </w:tabs>
        <w:rPr>
          <w:sz w:val="24"/>
          <w:szCs w:val="24"/>
          <w:lang w:val="nl-NL"/>
        </w:rPr>
      </w:pPr>
    </w:p>
    <w:p w:rsidR="003D25AC" w:rsidRPr="000B5F25" w:rsidRDefault="003D25AC">
      <w:pPr>
        <w:pStyle w:val="Heading1"/>
        <w:rPr>
          <w:b w:val="0"/>
          <w:sz w:val="44"/>
          <w:lang w:val="nl-NL"/>
        </w:rPr>
      </w:pPr>
      <w:r w:rsidRPr="000B5F25">
        <w:rPr>
          <w:b w:val="0"/>
          <w:sz w:val="44"/>
          <w:lang w:val="nl-NL"/>
        </w:rPr>
        <w:t>PUBLICATIEBLAD</w:t>
      </w:r>
    </w:p>
    <w:p w:rsidR="003D25AC" w:rsidRPr="000B5F25" w:rsidRDefault="003D25AC">
      <w:pPr>
        <w:tabs>
          <w:tab w:val="left" w:pos="-720"/>
        </w:tabs>
        <w:suppressAutoHyphens/>
        <w:jc w:val="both"/>
        <w:rPr>
          <w:rFonts w:ascii="Times New Roman" w:hAnsi="Times New Roman"/>
          <w:bCs/>
          <w:spacing w:val="-3"/>
          <w:lang w:val="nl-NL"/>
        </w:rPr>
        <w:sectPr w:rsidR="003D25AC" w:rsidRPr="000B5F25">
          <w:headerReference w:type="even" r:id="rId9"/>
          <w:headerReference w:type="default" r:id="rId10"/>
          <w:endnotePr>
            <w:numFmt w:val="decimal"/>
          </w:endnotePr>
          <w:pgSz w:w="11906" w:h="16838"/>
          <w:pgMar w:top="1560" w:right="1298" w:bottom="958" w:left="1298" w:header="1440" w:footer="958" w:gutter="0"/>
          <w:pgNumType w:start="1"/>
          <w:cols w:space="720"/>
          <w:noEndnote/>
          <w:titlePg/>
        </w:sectPr>
      </w:pPr>
    </w:p>
    <w:p w:rsidR="00D74DBC" w:rsidRPr="00D74DBC" w:rsidRDefault="00D74DBC" w:rsidP="00D74DBC">
      <w:pPr>
        <w:keepNext/>
        <w:widowControl/>
        <w:tabs>
          <w:tab w:val="right" w:pos="9356"/>
        </w:tabs>
        <w:outlineLvl w:val="1"/>
        <w:rPr>
          <w:rFonts w:ascii="Palatino Linotype" w:hAnsi="Palatino Linotype"/>
          <w:b/>
          <w:snapToGrid/>
          <w:sz w:val="22"/>
          <w:szCs w:val="22"/>
          <w:lang w:val="nl-NL"/>
        </w:rPr>
      </w:pPr>
    </w:p>
    <w:p w:rsidR="00D74DBC" w:rsidRPr="00D74DBC" w:rsidRDefault="00D74DBC" w:rsidP="00D74DBC">
      <w:pPr>
        <w:widowControl/>
        <w:jc w:val="both"/>
        <w:rPr>
          <w:rFonts w:ascii="Palatino Linotype" w:hAnsi="Palatino Linotype"/>
          <w:b/>
          <w:snapToGrid/>
          <w:sz w:val="22"/>
          <w:szCs w:val="22"/>
          <w:lang w:val="nl-NL"/>
        </w:rPr>
      </w:pPr>
      <w:r w:rsidRPr="00D74DBC">
        <w:rPr>
          <w:rFonts w:ascii="Palatino Linotype" w:hAnsi="Palatino Linotype"/>
          <w:b/>
          <w:snapToGrid/>
          <w:sz w:val="22"/>
          <w:szCs w:val="22"/>
          <w:lang w:val="nl-NL"/>
        </w:rPr>
        <w:t>LANDSBESLUIT</w:t>
      </w:r>
      <w:r w:rsidRPr="00D74DBC">
        <w:rPr>
          <w:rFonts w:ascii="Palatino Linotype" w:hAnsi="Palatino Linotype"/>
          <w:b/>
          <w:snapToGrid/>
          <w:spacing w:val="46"/>
          <w:sz w:val="22"/>
          <w:szCs w:val="22"/>
          <w:lang w:val="nl-NL"/>
        </w:rPr>
        <w:t xml:space="preserve"> </w:t>
      </w:r>
      <w:r w:rsidRPr="00D74DBC">
        <w:rPr>
          <w:rFonts w:ascii="Palatino Linotype" w:hAnsi="Palatino Linotype"/>
          <w:b/>
          <w:snapToGrid/>
          <w:sz w:val="22"/>
          <w:szCs w:val="22"/>
          <w:lang w:val="nl-NL"/>
        </w:rPr>
        <w:t>van de 24</w:t>
      </w:r>
      <w:r w:rsidRPr="00D74DBC">
        <w:rPr>
          <w:rFonts w:ascii="Palatino Linotype" w:hAnsi="Palatino Linotype"/>
          <w:b/>
          <w:snapToGrid/>
          <w:sz w:val="22"/>
          <w:szCs w:val="22"/>
          <w:vertAlign w:val="superscript"/>
          <w:lang w:val="nl-NL"/>
        </w:rPr>
        <w:t>ste</w:t>
      </w:r>
      <w:r w:rsidRPr="00D74DBC">
        <w:rPr>
          <w:rFonts w:ascii="Palatino Linotype" w:hAnsi="Palatino Linotype"/>
          <w:b/>
          <w:snapToGrid/>
          <w:sz w:val="22"/>
          <w:szCs w:val="22"/>
          <w:lang w:val="nl-NL"/>
        </w:rPr>
        <w:t xml:space="preserve"> september 2019, no. 19/1745, houdende vaststelling van de geconsolideerde tekst van het </w:t>
      </w:r>
      <w:r w:rsidRPr="00D74DBC">
        <w:rPr>
          <w:rFonts w:ascii="Palatino Linotype" w:hAnsi="Palatino Linotype"/>
          <w:b/>
          <w:bCs/>
          <w:sz w:val="22"/>
          <w:szCs w:val="22"/>
          <w:lang w:val="nl-NL"/>
        </w:rPr>
        <w:t>Landsbesluit kosten toezicht beleggingsinstellingen en administrateurs</w:t>
      </w:r>
      <w:r w:rsidRPr="00E60F30">
        <w:rPr>
          <w:rFonts w:ascii="Palatino Linotype" w:hAnsi="Palatino Linotype"/>
          <w:b/>
          <w:snapToGrid/>
          <w:sz w:val="22"/>
          <w:szCs w:val="22"/>
          <w:vertAlign w:val="superscript"/>
          <w:lang w:val="nl-NL"/>
        </w:rPr>
        <w:footnoteReference w:id="1"/>
      </w:r>
    </w:p>
    <w:p w:rsidR="00D74DBC" w:rsidRPr="00D74DBC" w:rsidRDefault="00D74DBC" w:rsidP="00D74DBC">
      <w:pPr>
        <w:widowControl/>
        <w:jc w:val="center"/>
        <w:rPr>
          <w:rFonts w:ascii="Palatino Linotype" w:hAnsi="Palatino Linotype"/>
          <w:b/>
          <w:snapToGrid/>
          <w:sz w:val="22"/>
          <w:szCs w:val="22"/>
          <w:lang w:val="nl-NL"/>
        </w:rPr>
      </w:pPr>
      <w:r w:rsidRPr="00D74DBC">
        <w:rPr>
          <w:rFonts w:ascii="Palatino Linotype" w:hAnsi="Palatino Linotype"/>
          <w:b/>
          <w:snapToGrid/>
          <w:sz w:val="22"/>
          <w:szCs w:val="22"/>
          <w:lang w:val="nl-NL"/>
        </w:rPr>
        <w:t>____________</w:t>
      </w:r>
    </w:p>
    <w:p w:rsidR="00D74DBC" w:rsidRPr="00D74DBC" w:rsidRDefault="00D74DBC" w:rsidP="00D74DBC">
      <w:pPr>
        <w:widowControl/>
        <w:jc w:val="center"/>
        <w:rPr>
          <w:rFonts w:ascii="Palatino Linotype" w:hAnsi="Palatino Linotype"/>
          <w:snapToGrid/>
          <w:sz w:val="22"/>
          <w:szCs w:val="22"/>
          <w:lang w:val="nl-NL"/>
        </w:rPr>
      </w:pPr>
    </w:p>
    <w:p w:rsidR="00D74DBC" w:rsidRPr="00D74DBC" w:rsidRDefault="00D74DBC" w:rsidP="00D74DBC">
      <w:pPr>
        <w:widowControl/>
        <w:jc w:val="center"/>
        <w:rPr>
          <w:rFonts w:ascii="Palatino Linotype" w:hAnsi="Palatino Linotype"/>
          <w:snapToGrid/>
          <w:sz w:val="22"/>
          <w:szCs w:val="22"/>
          <w:lang w:val="nl-NL"/>
        </w:rPr>
      </w:pPr>
      <w:r w:rsidRPr="00D74DBC">
        <w:rPr>
          <w:rFonts w:ascii="Palatino Linotype" w:hAnsi="Palatino Linotype"/>
          <w:snapToGrid/>
          <w:sz w:val="22"/>
          <w:szCs w:val="22"/>
          <w:lang w:val="nl-NL"/>
        </w:rPr>
        <w:t>De waarnemend</w:t>
      </w:r>
      <w:r w:rsidR="00DA4E19">
        <w:rPr>
          <w:rFonts w:ascii="Palatino Linotype" w:hAnsi="Palatino Linotype"/>
          <w:snapToGrid/>
          <w:sz w:val="22"/>
          <w:szCs w:val="22"/>
          <w:lang w:val="nl-NL"/>
        </w:rPr>
        <w:t>e</w:t>
      </w:r>
      <w:r w:rsidR="0077299F">
        <w:rPr>
          <w:rFonts w:ascii="Palatino Linotype" w:hAnsi="Palatino Linotype"/>
          <w:snapToGrid/>
          <w:sz w:val="22"/>
          <w:szCs w:val="22"/>
          <w:lang w:val="nl-NL"/>
        </w:rPr>
        <w:t xml:space="preserve"> </w:t>
      </w:r>
      <w:r w:rsidRPr="00D74DBC">
        <w:rPr>
          <w:rFonts w:ascii="Palatino Linotype" w:hAnsi="Palatino Linotype"/>
          <w:snapToGrid/>
          <w:sz w:val="22"/>
          <w:szCs w:val="22"/>
          <w:lang w:val="nl-NL"/>
        </w:rPr>
        <w:t>Gouverneur van Curaçao,</w:t>
      </w:r>
    </w:p>
    <w:p w:rsidR="00D74DBC" w:rsidRPr="00D74DBC" w:rsidRDefault="00D74DBC" w:rsidP="00D74DBC">
      <w:pPr>
        <w:widowControl/>
        <w:ind w:firstLine="360"/>
        <w:rPr>
          <w:rFonts w:ascii="Palatino Linotype" w:hAnsi="Palatino Linotype"/>
          <w:snapToGrid/>
          <w:sz w:val="22"/>
          <w:szCs w:val="22"/>
          <w:lang w:val="nl-NL"/>
        </w:rPr>
      </w:pPr>
    </w:p>
    <w:p w:rsidR="00D74DBC" w:rsidRPr="00D74DBC" w:rsidRDefault="00D74DBC" w:rsidP="00D74DBC">
      <w:pPr>
        <w:widowControl/>
        <w:rPr>
          <w:rFonts w:ascii="Palatino Linotype" w:hAnsi="Palatino Linotype"/>
          <w:snapToGrid/>
          <w:sz w:val="22"/>
          <w:szCs w:val="22"/>
          <w:lang w:val="nl-NL"/>
        </w:rPr>
      </w:pPr>
      <w:r w:rsidRPr="00D74DBC">
        <w:rPr>
          <w:rFonts w:ascii="Palatino Linotype" w:hAnsi="Palatino Linotype"/>
          <w:snapToGrid/>
          <w:sz w:val="22"/>
          <w:szCs w:val="22"/>
          <w:lang w:val="nl-NL"/>
        </w:rPr>
        <w:t>Op voordracht van de Minister van Justitie;</w:t>
      </w:r>
    </w:p>
    <w:p w:rsidR="00D74DBC" w:rsidRPr="00D74DBC" w:rsidRDefault="00D74DBC" w:rsidP="00D74DBC">
      <w:pPr>
        <w:widowControl/>
        <w:ind w:firstLine="360"/>
        <w:rPr>
          <w:rFonts w:ascii="Palatino Linotype" w:hAnsi="Palatino Linotype"/>
          <w:snapToGrid/>
          <w:sz w:val="22"/>
          <w:szCs w:val="22"/>
          <w:lang w:val="nl-NL"/>
        </w:rPr>
      </w:pPr>
    </w:p>
    <w:p w:rsidR="00D74DBC" w:rsidRPr="00D74DBC" w:rsidRDefault="00D74DBC" w:rsidP="00D74DBC">
      <w:pPr>
        <w:widowControl/>
        <w:rPr>
          <w:rFonts w:ascii="Palatino Linotype" w:hAnsi="Palatino Linotype"/>
          <w:snapToGrid/>
          <w:sz w:val="22"/>
          <w:szCs w:val="22"/>
          <w:lang w:val="nl-NL"/>
        </w:rPr>
      </w:pPr>
      <w:r w:rsidRPr="00D74DBC">
        <w:rPr>
          <w:rFonts w:ascii="Palatino Linotype" w:hAnsi="Palatino Linotype"/>
          <w:snapToGrid/>
          <w:sz w:val="22"/>
          <w:szCs w:val="22"/>
          <w:lang w:val="nl-NL"/>
        </w:rPr>
        <w:t>Gelet op:</w:t>
      </w:r>
    </w:p>
    <w:p w:rsidR="00D74DBC" w:rsidRPr="00D74DBC" w:rsidRDefault="00D74DBC" w:rsidP="00D74DBC">
      <w:pPr>
        <w:widowControl/>
        <w:ind w:firstLine="360"/>
        <w:rPr>
          <w:rFonts w:ascii="Palatino Linotype" w:hAnsi="Palatino Linotype"/>
          <w:snapToGrid/>
          <w:sz w:val="22"/>
          <w:szCs w:val="22"/>
          <w:lang w:val="nl-NL"/>
        </w:rPr>
      </w:pPr>
    </w:p>
    <w:p w:rsidR="00D74DBC" w:rsidRPr="00D74DBC" w:rsidRDefault="00D74DBC" w:rsidP="00D74DBC">
      <w:pPr>
        <w:widowControl/>
        <w:rPr>
          <w:rFonts w:ascii="Palatino Linotype" w:hAnsi="Palatino Linotype"/>
          <w:snapToGrid/>
          <w:sz w:val="22"/>
          <w:szCs w:val="22"/>
          <w:lang w:val="nl-NL"/>
        </w:rPr>
      </w:pPr>
      <w:r w:rsidRPr="00D74DBC">
        <w:rPr>
          <w:rFonts w:ascii="Palatino Linotype" w:hAnsi="Palatino Linotype"/>
          <w:snapToGrid/>
          <w:sz w:val="22"/>
          <w:szCs w:val="22"/>
          <w:lang w:val="nl-NL"/>
        </w:rPr>
        <w:t>de Algemene overgangsregeling wetgeving en bestuur Land Curaçao</w:t>
      </w:r>
      <w:r w:rsidRPr="00D74DBC">
        <w:rPr>
          <w:rFonts w:ascii="Palatino Linotype" w:hAnsi="Palatino Linotype"/>
          <w:snapToGrid/>
          <w:sz w:val="22"/>
          <w:szCs w:val="22"/>
          <w:vertAlign w:val="superscript"/>
          <w:lang w:val="nl-NL"/>
        </w:rPr>
        <w:footnoteReference w:id="2"/>
      </w:r>
      <w:r w:rsidRPr="00D74DBC">
        <w:rPr>
          <w:rFonts w:ascii="Palatino Linotype" w:hAnsi="Palatino Linotype"/>
          <w:snapToGrid/>
          <w:sz w:val="22"/>
          <w:szCs w:val="22"/>
          <w:lang w:val="nl-NL"/>
        </w:rPr>
        <w:t>;</w:t>
      </w:r>
    </w:p>
    <w:p w:rsidR="00D74DBC" w:rsidRPr="00D74DBC" w:rsidRDefault="00D74DBC" w:rsidP="00D74DBC">
      <w:pPr>
        <w:widowControl/>
        <w:ind w:right="-46" w:firstLine="360"/>
        <w:rPr>
          <w:rFonts w:ascii="Palatino Linotype" w:hAnsi="Palatino Linotype"/>
          <w:snapToGrid/>
          <w:sz w:val="22"/>
          <w:szCs w:val="22"/>
          <w:lang w:val="nl-NL"/>
        </w:rPr>
      </w:pPr>
    </w:p>
    <w:p w:rsidR="00D74DBC" w:rsidRPr="00D74DBC" w:rsidRDefault="00D74DBC" w:rsidP="00D74DBC">
      <w:pPr>
        <w:widowControl/>
        <w:ind w:right="-46" w:firstLine="360"/>
        <w:jc w:val="center"/>
        <w:rPr>
          <w:rFonts w:ascii="Palatino Linotype" w:hAnsi="Palatino Linotype"/>
          <w:snapToGrid/>
          <w:sz w:val="22"/>
          <w:szCs w:val="22"/>
          <w:lang w:val="nl-NL"/>
        </w:rPr>
      </w:pPr>
      <w:r w:rsidRPr="00D74DBC">
        <w:rPr>
          <w:rFonts w:ascii="Palatino Linotype" w:hAnsi="Palatino Linotype"/>
          <w:snapToGrid/>
          <w:sz w:val="22"/>
          <w:szCs w:val="22"/>
          <w:lang w:val="nl-NL"/>
        </w:rPr>
        <w:t>Heeft goedgevonden:</w:t>
      </w:r>
    </w:p>
    <w:p w:rsidR="00D74DBC" w:rsidRPr="00D74DBC" w:rsidRDefault="00D74DBC" w:rsidP="00D74DBC">
      <w:pPr>
        <w:rPr>
          <w:rFonts w:ascii="Palatino Linotype" w:hAnsi="Palatino Linotype"/>
          <w:sz w:val="22"/>
          <w:szCs w:val="22"/>
          <w:lang w:val="nl-NL"/>
        </w:rPr>
      </w:pPr>
    </w:p>
    <w:p w:rsidR="00D74DBC" w:rsidRPr="00D74DBC" w:rsidRDefault="00D74DBC" w:rsidP="00D74DBC">
      <w:pPr>
        <w:jc w:val="both"/>
        <w:rPr>
          <w:rFonts w:ascii="Palatino Linotype" w:hAnsi="Palatino Linotype"/>
          <w:sz w:val="22"/>
          <w:szCs w:val="22"/>
          <w:lang w:val="nl-NL"/>
        </w:rPr>
      </w:pPr>
    </w:p>
    <w:p w:rsidR="00D74DBC" w:rsidRPr="00D74DBC" w:rsidRDefault="00D74DBC" w:rsidP="00D74DBC">
      <w:pPr>
        <w:jc w:val="center"/>
        <w:rPr>
          <w:rFonts w:ascii="Palatino Linotype" w:hAnsi="Palatino Linotype"/>
          <w:sz w:val="22"/>
          <w:szCs w:val="22"/>
          <w:lang w:val="nl-NL"/>
        </w:rPr>
      </w:pPr>
      <w:r w:rsidRPr="00D74DBC">
        <w:rPr>
          <w:rFonts w:ascii="Palatino Linotype" w:hAnsi="Palatino Linotype"/>
          <w:sz w:val="22"/>
          <w:szCs w:val="22"/>
          <w:lang w:val="nl-NL"/>
        </w:rPr>
        <w:t>Artikel 1</w:t>
      </w:r>
    </w:p>
    <w:p w:rsidR="00D74DBC" w:rsidRPr="00D74DBC" w:rsidRDefault="00D74DBC" w:rsidP="00D74DBC">
      <w:pPr>
        <w:jc w:val="center"/>
        <w:rPr>
          <w:rFonts w:ascii="Palatino Linotype" w:hAnsi="Palatino Linotype"/>
          <w:sz w:val="22"/>
          <w:szCs w:val="22"/>
          <w:lang w:val="nl-NL"/>
        </w:rPr>
      </w:pPr>
    </w:p>
    <w:p w:rsidR="00D74DBC" w:rsidRPr="00D74DBC" w:rsidRDefault="00D74DBC" w:rsidP="00D74DBC">
      <w:pPr>
        <w:jc w:val="both"/>
        <w:rPr>
          <w:rFonts w:ascii="Palatino Linotype" w:hAnsi="Palatino Linotype"/>
          <w:sz w:val="22"/>
          <w:szCs w:val="22"/>
          <w:lang w:val="nl-NL"/>
        </w:rPr>
      </w:pPr>
      <w:r w:rsidRPr="00D74DBC">
        <w:rPr>
          <w:rFonts w:ascii="Palatino Linotype" w:hAnsi="Palatino Linotype"/>
          <w:sz w:val="22"/>
          <w:szCs w:val="22"/>
          <w:lang w:val="nl-NL"/>
        </w:rPr>
        <w:t xml:space="preserve">De geconsolideerde tekst van het </w:t>
      </w:r>
      <w:r w:rsidRPr="00D74DBC">
        <w:rPr>
          <w:rFonts w:ascii="Palatino Linotype" w:hAnsi="Palatino Linotype"/>
          <w:bCs/>
          <w:sz w:val="22"/>
          <w:szCs w:val="22"/>
          <w:lang w:val="nl-NL"/>
        </w:rPr>
        <w:t>Landsbesluit kosten toezicht beleggingsinstellingen en administrateurs</w:t>
      </w:r>
      <w:r w:rsidRPr="00D74DBC">
        <w:rPr>
          <w:rFonts w:ascii="Palatino Linotype" w:hAnsi="Palatino Linotype"/>
          <w:sz w:val="22"/>
          <w:szCs w:val="22"/>
          <w:lang w:val="nl-NL"/>
        </w:rPr>
        <w:t xml:space="preserve"> opgenomen in de bijlage bij dit landsbesluit wordt vastgesteld.</w:t>
      </w:r>
    </w:p>
    <w:p w:rsidR="00D74DBC" w:rsidRDefault="00D74DBC">
      <w:pPr>
        <w:widowControl/>
        <w:rPr>
          <w:rFonts w:ascii="Palatino Linotype" w:hAnsi="Palatino Linotype"/>
          <w:sz w:val="22"/>
          <w:szCs w:val="22"/>
          <w:lang w:val="nl-NL"/>
        </w:rPr>
      </w:pPr>
    </w:p>
    <w:p w:rsidR="00D74DBC" w:rsidRPr="00D74DBC" w:rsidRDefault="00D74DBC" w:rsidP="00D74DBC">
      <w:pPr>
        <w:jc w:val="center"/>
        <w:rPr>
          <w:rFonts w:ascii="Palatino Linotype" w:hAnsi="Palatino Linotype"/>
          <w:sz w:val="22"/>
          <w:szCs w:val="22"/>
          <w:lang w:val="nl-NL"/>
        </w:rPr>
      </w:pPr>
      <w:r w:rsidRPr="00D74DBC">
        <w:rPr>
          <w:rFonts w:ascii="Palatino Linotype" w:hAnsi="Palatino Linotype"/>
          <w:sz w:val="22"/>
          <w:szCs w:val="22"/>
          <w:lang w:val="nl-NL"/>
        </w:rPr>
        <w:t>Artikel 2</w:t>
      </w:r>
    </w:p>
    <w:p w:rsidR="00D74DBC" w:rsidRPr="00D74DBC" w:rsidRDefault="00D74DBC" w:rsidP="00D74DBC">
      <w:pPr>
        <w:jc w:val="center"/>
        <w:rPr>
          <w:rFonts w:ascii="Palatino Linotype" w:hAnsi="Palatino Linotype"/>
          <w:sz w:val="22"/>
          <w:szCs w:val="22"/>
          <w:lang w:val="nl-NL"/>
        </w:rPr>
      </w:pPr>
    </w:p>
    <w:p w:rsidR="00D74DBC" w:rsidRPr="00D74DBC" w:rsidRDefault="00D74DBC" w:rsidP="00D74DBC">
      <w:pPr>
        <w:rPr>
          <w:rFonts w:ascii="Palatino Linotype" w:hAnsi="Palatino Linotype"/>
          <w:sz w:val="22"/>
          <w:szCs w:val="22"/>
          <w:lang w:val="nl-NL"/>
        </w:rPr>
      </w:pPr>
      <w:r w:rsidRPr="00D74DBC">
        <w:rPr>
          <w:rFonts w:ascii="Palatino Linotype" w:hAnsi="Palatino Linotype"/>
          <w:sz w:val="22"/>
          <w:szCs w:val="22"/>
          <w:lang w:val="nl-NL"/>
        </w:rPr>
        <w:t>Dit landsbesluit met bijbehorende bijlage wordt bekendgemaakt in het Publicatieblad.</w:t>
      </w:r>
    </w:p>
    <w:p w:rsidR="00D74DBC" w:rsidRPr="00D74DBC" w:rsidRDefault="00D74DBC" w:rsidP="00D74DBC">
      <w:pPr>
        <w:jc w:val="both"/>
        <w:rPr>
          <w:rFonts w:ascii="Palatino Linotype" w:hAnsi="Palatino Linotype"/>
          <w:sz w:val="22"/>
          <w:szCs w:val="22"/>
          <w:lang w:val="nl-NL"/>
        </w:rPr>
      </w:pPr>
    </w:p>
    <w:p w:rsidR="00D74DBC" w:rsidRPr="00D74DBC" w:rsidRDefault="00D74DBC" w:rsidP="00D74DBC">
      <w:pPr>
        <w:tabs>
          <w:tab w:val="left" w:pos="5387"/>
        </w:tabs>
        <w:rPr>
          <w:rFonts w:ascii="Palatino Linotype" w:hAnsi="Palatino Linotype"/>
          <w:sz w:val="22"/>
          <w:szCs w:val="22"/>
          <w:lang w:val="nl-NL"/>
        </w:rPr>
      </w:pPr>
    </w:p>
    <w:p w:rsidR="00D74DBC" w:rsidRPr="00D74DBC" w:rsidRDefault="00D74DBC" w:rsidP="00D74DBC">
      <w:pPr>
        <w:tabs>
          <w:tab w:val="left" w:pos="5103"/>
        </w:tabs>
        <w:rPr>
          <w:rFonts w:ascii="Palatino Linotype" w:hAnsi="Palatino Linotype"/>
          <w:sz w:val="22"/>
          <w:szCs w:val="22"/>
          <w:lang w:val="nl-NL"/>
        </w:rPr>
      </w:pPr>
      <w:r w:rsidRPr="00D74DBC">
        <w:rPr>
          <w:rFonts w:ascii="Palatino Linotype" w:hAnsi="Palatino Linotype"/>
          <w:sz w:val="22"/>
          <w:szCs w:val="22"/>
          <w:lang w:val="nl-NL"/>
        </w:rPr>
        <w:tab/>
        <w:t>Gegeven te Willemstad, 24 september 2019</w:t>
      </w:r>
    </w:p>
    <w:p w:rsidR="00D74DBC" w:rsidRPr="00D74DBC" w:rsidRDefault="00D74DBC" w:rsidP="00D74DBC">
      <w:pPr>
        <w:tabs>
          <w:tab w:val="left" w:pos="5103"/>
        </w:tabs>
        <w:rPr>
          <w:rFonts w:ascii="Palatino Linotype" w:hAnsi="Palatino Linotype"/>
          <w:sz w:val="22"/>
          <w:szCs w:val="22"/>
          <w:lang w:val="nl-NL"/>
        </w:rPr>
      </w:pPr>
      <w:r w:rsidRPr="00D74DBC">
        <w:rPr>
          <w:rFonts w:ascii="Palatino Linotype" w:hAnsi="Palatino Linotype"/>
          <w:sz w:val="22"/>
          <w:szCs w:val="22"/>
          <w:lang w:val="nl-NL"/>
        </w:rPr>
        <w:tab/>
      </w:r>
      <w:r w:rsidRPr="00D74DBC">
        <w:rPr>
          <w:rFonts w:ascii="Palatino Linotype" w:hAnsi="Palatino Linotype"/>
          <w:sz w:val="22"/>
          <w:szCs w:val="22"/>
          <w:lang w:val="nl-NL"/>
        </w:rPr>
        <w:tab/>
        <w:t>M. RUSSEL- CAPRILES</w:t>
      </w:r>
    </w:p>
    <w:p w:rsidR="00D74DBC" w:rsidRPr="00D74DBC" w:rsidRDefault="00D74DBC" w:rsidP="00D74DBC">
      <w:pPr>
        <w:jc w:val="both"/>
        <w:rPr>
          <w:rFonts w:ascii="Palatino Linotype" w:hAnsi="Palatino Linotype"/>
          <w:sz w:val="22"/>
          <w:szCs w:val="22"/>
          <w:lang w:val="nl-NL"/>
        </w:rPr>
      </w:pPr>
    </w:p>
    <w:p w:rsidR="00D74DBC" w:rsidRPr="00D74DBC" w:rsidRDefault="00D74DBC" w:rsidP="00D74DBC">
      <w:pPr>
        <w:jc w:val="both"/>
        <w:rPr>
          <w:rFonts w:ascii="Palatino Linotype" w:hAnsi="Palatino Linotype"/>
          <w:sz w:val="22"/>
          <w:szCs w:val="22"/>
          <w:lang w:val="nl-NL"/>
        </w:rPr>
      </w:pPr>
      <w:r w:rsidRPr="00D74DBC">
        <w:rPr>
          <w:rFonts w:ascii="Palatino Linotype" w:hAnsi="Palatino Linotype"/>
          <w:sz w:val="22"/>
          <w:szCs w:val="22"/>
          <w:lang w:val="nl-NL"/>
        </w:rPr>
        <w:t>De Minister van Justitie,</w:t>
      </w:r>
    </w:p>
    <w:p w:rsidR="00D74DBC" w:rsidRPr="00D74DBC" w:rsidRDefault="00D74DBC" w:rsidP="00D74DBC">
      <w:pPr>
        <w:jc w:val="both"/>
        <w:rPr>
          <w:rFonts w:ascii="Palatino Linotype" w:hAnsi="Palatino Linotype"/>
          <w:sz w:val="22"/>
          <w:szCs w:val="22"/>
          <w:lang w:val="nl-NL"/>
        </w:rPr>
      </w:pPr>
      <w:r w:rsidRPr="00D74DBC">
        <w:rPr>
          <w:rFonts w:ascii="Palatino Linotype" w:hAnsi="Palatino Linotype"/>
          <w:sz w:val="22"/>
          <w:szCs w:val="22"/>
          <w:lang w:val="nl-NL"/>
        </w:rPr>
        <w:t>Q. C. O. GIRIGORIE</w:t>
      </w:r>
    </w:p>
    <w:p w:rsidR="00D74DBC" w:rsidRPr="00D74DBC" w:rsidRDefault="00D74DBC" w:rsidP="00D74DBC">
      <w:pPr>
        <w:jc w:val="both"/>
        <w:rPr>
          <w:rFonts w:ascii="Palatino Linotype" w:hAnsi="Palatino Linotype"/>
          <w:sz w:val="22"/>
          <w:szCs w:val="22"/>
          <w:lang w:val="nl-NL"/>
        </w:rPr>
      </w:pPr>
    </w:p>
    <w:p w:rsidR="00D74DBC" w:rsidRPr="00D74DBC" w:rsidRDefault="00D74DBC" w:rsidP="00D74DBC">
      <w:pPr>
        <w:jc w:val="both"/>
        <w:rPr>
          <w:rFonts w:ascii="Palatino Linotype" w:hAnsi="Palatino Linotype"/>
          <w:sz w:val="22"/>
          <w:szCs w:val="22"/>
          <w:lang w:val="nl-NL"/>
        </w:rPr>
      </w:pPr>
    </w:p>
    <w:p w:rsidR="00D74DBC" w:rsidRPr="00D74DBC" w:rsidRDefault="00D74DBC" w:rsidP="00D74DBC">
      <w:pPr>
        <w:tabs>
          <w:tab w:val="left" w:pos="5387"/>
        </w:tabs>
        <w:jc w:val="both"/>
        <w:rPr>
          <w:rFonts w:ascii="Palatino Linotype" w:hAnsi="Palatino Linotype"/>
          <w:sz w:val="22"/>
          <w:szCs w:val="22"/>
          <w:lang w:val="nl-NL"/>
        </w:rPr>
      </w:pPr>
      <w:r w:rsidRPr="00D74DBC">
        <w:rPr>
          <w:rFonts w:ascii="Palatino Linotype" w:hAnsi="Palatino Linotype"/>
          <w:sz w:val="22"/>
          <w:szCs w:val="22"/>
          <w:lang w:val="nl-NL"/>
        </w:rPr>
        <w:tab/>
        <w:t>Uitgegeven de 2</w:t>
      </w:r>
      <w:r w:rsidR="007E3097" w:rsidRPr="007E3097">
        <w:rPr>
          <w:rFonts w:ascii="Palatino Linotype" w:hAnsi="Palatino Linotype"/>
          <w:sz w:val="22"/>
          <w:szCs w:val="22"/>
          <w:vertAlign w:val="superscript"/>
          <w:lang w:val="nl-NL"/>
        </w:rPr>
        <w:t>de</w:t>
      </w:r>
      <w:r w:rsidR="007E3097">
        <w:rPr>
          <w:rFonts w:ascii="Palatino Linotype" w:hAnsi="Palatino Linotype"/>
          <w:sz w:val="22"/>
          <w:szCs w:val="22"/>
          <w:lang w:val="nl-NL"/>
        </w:rPr>
        <w:t xml:space="preserve"> </w:t>
      </w:r>
      <w:r w:rsidRPr="00D74DBC">
        <w:rPr>
          <w:rFonts w:ascii="Palatino Linotype" w:hAnsi="Palatino Linotype"/>
          <w:sz w:val="22"/>
          <w:szCs w:val="22"/>
          <w:lang w:val="nl-NL"/>
        </w:rPr>
        <w:t>januari 2020</w:t>
      </w:r>
    </w:p>
    <w:p w:rsidR="00D74DBC" w:rsidRPr="00D74DBC" w:rsidRDefault="00D74DBC" w:rsidP="00D74DBC">
      <w:pPr>
        <w:tabs>
          <w:tab w:val="left" w:pos="5387"/>
        </w:tabs>
        <w:jc w:val="both"/>
        <w:rPr>
          <w:rFonts w:ascii="Palatino Linotype" w:hAnsi="Palatino Linotype"/>
          <w:sz w:val="22"/>
          <w:szCs w:val="22"/>
          <w:lang w:val="nl-NL"/>
        </w:rPr>
      </w:pPr>
      <w:r w:rsidRPr="00D74DBC">
        <w:rPr>
          <w:rFonts w:ascii="Palatino Linotype" w:hAnsi="Palatino Linotype"/>
          <w:sz w:val="22"/>
          <w:szCs w:val="22"/>
          <w:lang w:val="nl-NL"/>
        </w:rPr>
        <w:tab/>
        <w:t>De Minister van Algemene Zaken,</w:t>
      </w:r>
    </w:p>
    <w:p w:rsidR="00D74DBC" w:rsidRPr="00D74DBC" w:rsidRDefault="00D74DBC" w:rsidP="007E3097">
      <w:pPr>
        <w:jc w:val="both"/>
        <w:rPr>
          <w:rFonts w:ascii="Palatino Linotype" w:hAnsi="Palatino Linotype"/>
          <w:sz w:val="22"/>
          <w:szCs w:val="22"/>
          <w:lang w:val="nl-NL"/>
        </w:rPr>
      </w:pPr>
      <w:r w:rsidRPr="00D74DBC">
        <w:rPr>
          <w:rFonts w:ascii="Palatino Linotype" w:hAnsi="Palatino Linotype"/>
          <w:sz w:val="22"/>
          <w:szCs w:val="22"/>
          <w:lang w:val="nl-NL"/>
        </w:rPr>
        <w:tab/>
      </w:r>
      <w:r w:rsidRPr="00D74DBC">
        <w:rPr>
          <w:rFonts w:ascii="Palatino Linotype" w:hAnsi="Palatino Linotype"/>
          <w:sz w:val="22"/>
          <w:szCs w:val="22"/>
          <w:lang w:val="nl-NL"/>
        </w:rPr>
        <w:tab/>
      </w:r>
      <w:r w:rsidRPr="00D74DBC">
        <w:rPr>
          <w:rFonts w:ascii="Palatino Linotype" w:hAnsi="Palatino Linotype"/>
          <w:sz w:val="22"/>
          <w:szCs w:val="22"/>
          <w:lang w:val="nl-NL"/>
        </w:rPr>
        <w:tab/>
      </w:r>
      <w:r w:rsidRPr="00D74DBC">
        <w:rPr>
          <w:rFonts w:ascii="Palatino Linotype" w:hAnsi="Palatino Linotype"/>
          <w:sz w:val="22"/>
          <w:szCs w:val="22"/>
          <w:lang w:val="nl-NL"/>
        </w:rPr>
        <w:tab/>
      </w:r>
      <w:r w:rsidRPr="00D74DBC">
        <w:rPr>
          <w:rFonts w:ascii="Palatino Linotype" w:hAnsi="Palatino Linotype"/>
          <w:sz w:val="22"/>
          <w:szCs w:val="22"/>
          <w:lang w:val="nl-NL"/>
        </w:rPr>
        <w:tab/>
      </w:r>
      <w:r w:rsidRPr="00D74DBC">
        <w:rPr>
          <w:rFonts w:ascii="Palatino Linotype" w:hAnsi="Palatino Linotype"/>
          <w:sz w:val="22"/>
          <w:szCs w:val="22"/>
          <w:lang w:val="nl-NL"/>
        </w:rPr>
        <w:tab/>
      </w:r>
      <w:r w:rsidRPr="00D74DBC">
        <w:rPr>
          <w:rFonts w:ascii="Palatino Linotype" w:hAnsi="Palatino Linotype"/>
          <w:sz w:val="22"/>
          <w:szCs w:val="22"/>
          <w:lang w:val="nl-NL"/>
        </w:rPr>
        <w:tab/>
      </w:r>
      <w:r w:rsidRPr="00D74DBC">
        <w:rPr>
          <w:rFonts w:ascii="Palatino Linotype" w:hAnsi="Palatino Linotype"/>
          <w:sz w:val="22"/>
          <w:szCs w:val="22"/>
          <w:lang w:val="nl-NL"/>
        </w:rPr>
        <w:tab/>
        <w:t>E. P. RHUGGENAATH</w:t>
      </w:r>
    </w:p>
    <w:p w:rsidR="00D74DBC" w:rsidRPr="00D74DBC" w:rsidRDefault="00D74DBC" w:rsidP="00D74DBC">
      <w:pPr>
        <w:ind w:right="-29"/>
        <w:jc w:val="both"/>
        <w:rPr>
          <w:rFonts w:ascii="Palatino Linotype" w:hAnsi="Palatino Linotype"/>
          <w:sz w:val="22"/>
          <w:szCs w:val="22"/>
          <w:lang w:val="nl-NL"/>
        </w:rPr>
        <w:sectPr w:rsidR="00D74DBC" w:rsidRPr="00D74DBC" w:rsidSect="00D74DBC">
          <w:headerReference w:type="even" r:id="rId11"/>
          <w:headerReference w:type="default" r:id="rId12"/>
          <w:headerReference w:type="first" r:id="rId13"/>
          <w:endnotePr>
            <w:numFmt w:val="decimal"/>
          </w:endnotePr>
          <w:type w:val="continuous"/>
          <w:pgSz w:w="11906" w:h="16838"/>
          <w:pgMar w:top="1958" w:right="1296" w:bottom="965" w:left="1296" w:header="1440" w:footer="965" w:gutter="0"/>
          <w:pgNumType w:fmt="numberInDash"/>
          <w:cols w:space="720"/>
          <w:noEndnote/>
          <w:docGrid w:linePitch="326"/>
        </w:sectPr>
      </w:pPr>
    </w:p>
    <w:p w:rsidR="00D74DBC" w:rsidRPr="00D74DBC" w:rsidRDefault="00D74DBC" w:rsidP="00D74DBC">
      <w:pPr>
        <w:pBdr>
          <w:bottom w:val="single" w:sz="6" w:space="1" w:color="auto"/>
        </w:pBdr>
        <w:ind w:right="-29"/>
        <w:jc w:val="both"/>
        <w:rPr>
          <w:rFonts w:ascii="Palatino Linotype" w:hAnsi="Palatino Linotype"/>
          <w:sz w:val="22"/>
          <w:szCs w:val="22"/>
          <w:lang w:val="nl-NL"/>
        </w:rPr>
      </w:pPr>
      <w:bookmarkStart w:id="1" w:name="_GoBack"/>
      <w:bookmarkEnd w:id="1"/>
    </w:p>
    <w:p w:rsidR="00D74DBC" w:rsidRPr="00D74DBC" w:rsidRDefault="00D74DBC" w:rsidP="00D74DBC">
      <w:pPr>
        <w:pBdr>
          <w:bottom w:val="single" w:sz="6" w:space="1" w:color="auto"/>
        </w:pBdr>
        <w:ind w:right="-29"/>
        <w:jc w:val="both"/>
        <w:rPr>
          <w:rFonts w:ascii="Palatino Linotype" w:hAnsi="Palatino Linotype"/>
          <w:sz w:val="22"/>
          <w:szCs w:val="22"/>
          <w:lang w:val="nl-NL"/>
        </w:rPr>
      </w:pPr>
      <w:r w:rsidRPr="00D74DBC">
        <w:rPr>
          <w:rFonts w:ascii="Palatino Linotype" w:hAnsi="Palatino Linotype"/>
          <w:sz w:val="22"/>
          <w:szCs w:val="22"/>
          <w:lang w:val="nl-NL"/>
        </w:rPr>
        <w:t>BIJLAGE behorende bij het Landsbesluit van de 24</w:t>
      </w:r>
      <w:r w:rsidRPr="00D74DBC">
        <w:rPr>
          <w:rFonts w:ascii="Palatino Linotype" w:hAnsi="Palatino Linotype"/>
          <w:sz w:val="22"/>
          <w:szCs w:val="22"/>
          <w:vertAlign w:val="superscript"/>
          <w:lang w:val="nl-NL"/>
        </w:rPr>
        <w:t>ste</w:t>
      </w:r>
      <w:r w:rsidRPr="00D74DBC">
        <w:rPr>
          <w:rFonts w:ascii="Palatino Linotype" w:hAnsi="Palatino Linotype"/>
          <w:sz w:val="22"/>
          <w:szCs w:val="22"/>
          <w:lang w:val="nl-NL"/>
        </w:rPr>
        <w:t xml:space="preserve"> september 2019, no. 19/1745, houdende vaststelling van de geconsolideerde tekst van het </w:t>
      </w:r>
      <w:r w:rsidRPr="00D74DBC">
        <w:rPr>
          <w:rFonts w:ascii="Palatino Linotype" w:hAnsi="Palatino Linotype"/>
          <w:bCs/>
          <w:sz w:val="22"/>
          <w:szCs w:val="22"/>
          <w:lang w:val="nl-NL"/>
        </w:rPr>
        <w:t>Landsbesluit kosten toezicht beleggingsinstellingen en administrateurs</w:t>
      </w:r>
      <w:r w:rsidRPr="00D74DBC">
        <w:rPr>
          <w:rFonts w:ascii="Palatino Linotype" w:hAnsi="Palatino Linotype"/>
          <w:bCs/>
          <w:sz w:val="22"/>
          <w:szCs w:val="22"/>
          <w:vertAlign w:val="superscript"/>
          <w:lang w:val="nl-NL"/>
        </w:rPr>
        <w:footnoteReference w:id="3"/>
      </w:r>
    </w:p>
    <w:p w:rsidR="00D74DBC" w:rsidRPr="00D74DBC" w:rsidRDefault="00D74DBC" w:rsidP="00D74DBC">
      <w:pPr>
        <w:pBdr>
          <w:bottom w:val="single" w:sz="6" w:space="1" w:color="auto"/>
        </w:pBdr>
        <w:ind w:right="-29"/>
        <w:jc w:val="both"/>
        <w:rPr>
          <w:rFonts w:ascii="Palatino Linotype" w:hAnsi="Palatino Linotype"/>
          <w:sz w:val="22"/>
          <w:szCs w:val="22"/>
          <w:lang w:val="nl-NL"/>
        </w:rPr>
      </w:pPr>
    </w:p>
    <w:p w:rsidR="00D74DBC" w:rsidRPr="00D74DBC" w:rsidRDefault="00D74DBC" w:rsidP="00D74DBC">
      <w:pPr>
        <w:ind w:right="-29"/>
        <w:jc w:val="center"/>
        <w:rPr>
          <w:rFonts w:ascii="Palatino Linotype" w:hAnsi="Palatino Linotype"/>
          <w:sz w:val="22"/>
          <w:szCs w:val="22"/>
          <w:lang w:val="nl-NL"/>
        </w:rPr>
      </w:pPr>
    </w:p>
    <w:p w:rsidR="00D74DBC" w:rsidRPr="00D74DBC" w:rsidRDefault="00D74DBC" w:rsidP="00D74DBC">
      <w:pPr>
        <w:tabs>
          <w:tab w:val="num" w:pos="426"/>
        </w:tabs>
        <w:ind w:right="-29"/>
        <w:jc w:val="both"/>
        <w:rPr>
          <w:rFonts w:ascii="Palatino Linotype" w:hAnsi="Palatino Linotype"/>
          <w:sz w:val="22"/>
          <w:szCs w:val="22"/>
          <w:lang w:val="nl-NL"/>
        </w:rPr>
      </w:pPr>
      <w:r w:rsidRPr="00D74DBC">
        <w:rPr>
          <w:rFonts w:ascii="Palatino Linotype" w:hAnsi="Palatino Linotype"/>
          <w:sz w:val="22"/>
          <w:szCs w:val="22"/>
          <w:lang w:val="nl-NL"/>
        </w:rPr>
        <w:t xml:space="preserve">Geconsolideerde tekst van het </w:t>
      </w:r>
      <w:r w:rsidRPr="00D74DBC">
        <w:rPr>
          <w:rFonts w:ascii="Palatino Linotype" w:hAnsi="Palatino Linotype"/>
          <w:bCs/>
          <w:sz w:val="22"/>
          <w:szCs w:val="22"/>
          <w:lang w:val="nl-NL"/>
        </w:rPr>
        <w:t>Landsbesluit kosten toezicht beleggingsinstellingen en administrateurs</w:t>
      </w:r>
      <w:r w:rsidRPr="00D74DBC">
        <w:rPr>
          <w:rFonts w:ascii="Palatino Linotype" w:hAnsi="Palatino Linotype"/>
          <w:sz w:val="22"/>
          <w:szCs w:val="22"/>
          <w:lang w:val="nl-NL"/>
        </w:rPr>
        <w:t>,</w:t>
      </w:r>
      <w:r w:rsidRPr="00D74DBC">
        <w:rPr>
          <w:rFonts w:ascii="Palatino Linotype" w:hAnsi="Palatino Linotype"/>
          <w:b/>
          <w:sz w:val="22"/>
          <w:szCs w:val="22"/>
          <w:lang w:val="nl-NL"/>
        </w:rPr>
        <w:t xml:space="preserve"> </w:t>
      </w:r>
      <w:r w:rsidRPr="00D74DBC">
        <w:rPr>
          <w:rFonts w:ascii="Palatino Linotype" w:hAnsi="Palatino Linotype"/>
          <w:sz w:val="22"/>
          <w:szCs w:val="22"/>
          <w:lang w:val="nl-NL"/>
        </w:rPr>
        <w:t>zoals deze luidt na in overeenstemming te zijn gebracht met de aanwijzingen van de Algemene overgangsregeling wetgeving en bestuur Land Curaçao (A.B. 2010, no. 87, bijlage a).</w:t>
      </w:r>
    </w:p>
    <w:p w:rsidR="00D74DBC" w:rsidRPr="00D74DBC" w:rsidRDefault="00D74DBC" w:rsidP="00D74DBC">
      <w:pPr>
        <w:jc w:val="both"/>
        <w:rPr>
          <w:rFonts w:ascii="Palatino Linotype" w:hAnsi="Palatino Linotype"/>
          <w:sz w:val="22"/>
          <w:szCs w:val="22"/>
          <w:lang w:val="nl-NL"/>
        </w:rPr>
      </w:pPr>
    </w:p>
    <w:p w:rsidR="00D74DBC" w:rsidRPr="00D74DBC" w:rsidRDefault="00D74DBC" w:rsidP="00D74DBC">
      <w:pPr>
        <w:jc w:val="center"/>
        <w:rPr>
          <w:rFonts w:ascii="Palatino Linotype" w:hAnsi="Palatino Linotype"/>
          <w:sz w:val="22"/>
          <w:szCs w:val="22"/>
          <w:lang w:val="nl-NL"/>
        </w:rPr>
      </w:pPr>
      <w:r w:rsidRPr="00D74DBC">
        <w:rPr>
          <w:rFonts w:ascii="Palatino Linotype" w:hAnsi="Palatino Linotype"/>
          <w:sz w:val="22"/>
          <w:szCs w:val="22"/>
          <w:lang w:val="nl-NL"/>
        </w:rPr>
        <w:t>-----</w:t>
      </w:r>
    </w:p>
    <w:p w:rsidR="00D74DBC" w:rsidRPr="00D74DBC" w:rsidRDefault="00D74DBC" w:rsidP="00D74DBC">
      <w:pPr>
        <w:rPr>
          <w:rFonts w:ascii="Palatino Linotype" w:hAnsi="Palatino Linotype"/>
          <w:sz w:val="22"/>
          <w:szCs w:val="22"/>
          <w:lang w:val="nl-NL"/>
        </w:rPr>
      </w:pPr>
    </w:p>
    <w:p w:rsidR="00D74DBC" w:rsidRPr="00D74DBC" w:rsidRDefault="00D74DBC" w:rsidP="00D74DBC">
      <w:pPr>
        <w:rPr>
          <w:rFonts w:ascii="Palatino Linotype" w:hAnsi="Palatino Linotype"/>
          <w:sz w:val="22"/>
          <w:szCs w:val="22"/>
          <w:lang w:val="nl-NL"/>
        </w:rPr>
        <w:sectPr w:rsidR="00D74DBC" w:rsidRPr="00D74DBC" w:rsidSect="00E43F68">
          <w:headerReference w:type="even" r:id="rId14"/>
          <w:headerReference w:type="default" r:id="rId15"/>
          <w:headerReference w:type="first" r:id="rId16"/>
          <w:endnotePr>
            <w:numFmt w:val="decimal"/>
          </w:endnotePr>
          <w:pgSz w:w="11906" w:h="16838"/>
          <w:pgMar w:top="1560" w:right="1298" w:bottom="958" w:left="1298" w:header="1440" w:footer="958" w:gutter="0"/>
          <w:cols w:space="720"/>
          <w:noEndnote/>
          <w:docGrid w:linePitch="326"/>
        </w:sectPr>
      </w:pPr>
    </w:p>
    <w:p w:rsidR="00D74DBC" w:rsidRPr="00D74DBC" w:rsidRDefault="00D74DBC" w:rsidP="00D74DBC">
      <w:pPr>
        <w:keepNext/>
        <w:widowControl/>
        <w:jc w:val="center"/>
        <w:outlineLvl w:val="1"/>
        <w:rPr>
          <w:rFonts w:ascii="Palatino Linotype" w:hAnsi="Palatino Linotype"/>
          <w:bCs/>
          <w:snapToGrid/>
          <w:sz w:val="22"/>
          <w:szCs w:val="22"/>
          <w:lang w:val="nl-NL"/>
        </w:rPr>
      </w:pPr>
      <w:r w:rsidRPr="00D74DBC">
        <w:rPr>
          <w:rFonts w:ascii="Palatino Linotype" w:hAnsi="Palatino Linotype"/>
          <w:bCs/>
          <w:snapToGrid/>
          <w:sz w:val="22"/>
          <w:szCs w:val="22"/>
          <w:lang w:val="nl-NL"/>
        </w:rPr>
        <w:t>Artikel 1</w:t>
      </w:r>
    </w:p>
    <w:p w:rsidR="00D74DBC" w:rsidRPr="00D74DBC" w:rsidRDefault="00D74DBC" w:rsidP="00D74DBC">
      <w:pPr>
        <w:jc w:val="both"/>
        <w:rPr>
          <w:rFonts w:ascii="Palatino Linotype" w:hAnsi="Palatino Linotype"/>
          <w:sz w:val="22"/>
          <w:szCs w:val="22"/>
          <w:lang w:val="nl-NL"/>
        </w:rPr>
      </w:pPr>
    </w:p>
    <w:p w:rsidR="00D74DBC" w:rsidRPr="00D74DBC" w:rsidRDefault="00D74DBC" w:rsidP="00D74DBC">
      <w:pPr>
        <w:jc w:val="both"/>
        <w:rPr>
          <w:rFonts w:ascii="Palatino Linotype" w:hAnsi="Palatino Linotype"/>
          <w:sz w:val="22"/>
          <w:szCs w:val="22"/>
          <w:lang w:val="nl-NL"/>
        </w:rPr>
      </w:pPr>
      <w:r w:rsidRPr="00D74DBC">
        <w:rPr>
          <w:rFonts w:ascii="Palatino Linotype" w:hAnsi="Palatino Linotype"/>
          <w:sz w:val="22"/>
          <w:szCs w:val="22"/>
          <w:lang w:val="nl-NL"/>
        </w:rPr>
        <w:t>In dit landsbesluit wordt verstaan onder:</w:t>
      </w:r>
    </w:p>
    <w:p w:rsidR="00D74DBC" w:rsidRPr="00D74DBC" w:rsidRDefault="00D74DBC" w:rsidP="00D74DBC">
      <w:pPr>
        <w:ind w:left="2160" w:hanging="2160"/>
        <w:jc w:val="both"/>
        <w:rPr>
          <w:rFonts w:ascii="Palatino Linotype" w:hAnsi="Palatino Linotype"/>
          <w:sz w:val="22"/>
          <w:szCs w:val="22"/>
          <w:lang w:val="nl-NL"/>
        </w:rPr>
      </w:pPr>
    </w:p>
    <w:p w:rsidR="00D74DBC" w:rsidRPr="00D74DBC" w:rsidRDefault="00D74DBC" w:rsidP="00D74DBC">
      <w:pPr>
        <w:tabs>
          <w:tab w:val="left" w:pos="1890"/>
          <w:tab w:val="left" w:pos="2410"/>
        </w:tabs>
        <w:ind w:left="2410" w:hanging="2410"/>
        <w:jc w:val="both"/>
        <w:rPr>
          <w:rFonts w:ascii="Palatino Linotype" w:hAnsi="Palatino Linotype"/>
          <w:sz w:val="22"/>
          <w:szCs w:val="22"/>
          <w:lang w:val="nl-NL"/>
        </w:rPr>
      </w:pPr>
      <w:r w:rsidRPr="00D74DBC">
        <w:rPr>
          <w:rFonts w:ascii="Palatino Linotype" w:hAnsi="Palatino Linotype"/>
          <w:sz w:val="22"/>
          <w:szCs w:val="22"/>
          <w:lang w:val="nl-NL"/>
        </w:rPr>
        <w:t>landsverordening</w:t>
      </w:r>
      <w:r w:rsidRPr="00D74DBC">
        <w:rPr>
          <w:rFonts w:ascii="Palatino Linotype" w:hAnsi="Palatino Linotype"/>
          <w:sz w:val="22"/>
          <w:szCs w:val="22"/>
          <w:lang w:val="nl-NL"/>
        </w:rPr>
        <w:tab/>
        <w:t>:  de Landsverordening toezicht beleggingsinstellingen en administrateurs;</w:t>
      </w:r>
    </w:p>
    <w:p w:rsidR="00D74DBC" w:rsidRPr="00D74DBC" w:rsidRDefault="00D74DBC" w:rsidP="00D74DBC">
      <w:pPr>
        <w:tabs>
          <w:tab w:val="left" w:pos="1440"/>
          <w:tab w:val="left" w:pos="1890"/>
          <w:tab w:val="left" w:pos="2160"/>
        </w:tabs>
        <w:ind w:left="2070" w:hanging="2070"/>
        <w:rPr>
          <w:rFonts w:ascii="Palatino Linotype" w:hAnsi="Palatino Linotype"/>
          <w:sz w:val="22"/>
          <w:szCs w:val="22"/>
          <w:lang w:val="nl-NL"/>
        </w:rPr>
      </w:pPr>
      <w:r w:rsidRPr="00D74DBC">
        <w:rPr>
          <w:rFonts w:ascii="Palatino Linotype" w:hAnsi="Palatino Linotype"/>
          <w:sz w:val="22"/>
          <w:szCs w:val="22"/>
          <w:lang w:val="nl-NL"/>
        </w:rPr>
        <w:t>kosten</w:t>
      </w:r>
      <w:r w:rsidRPr="00D74DBC">
        <w:rPr>
          <w:rFonts w:ascii="Palatino Linotype" w:hAnsi="Palatino Linotype"/>
          <w:sz w:val="22"/>
          <w:szCs w:val="22"/>
          <w:lang w:val="nl-NL"/>
        </w:rPr>
        <w:tab/>
      </w:r>
      <w:r w:rsidRPr="00D74DBC">
        <w:rPr>
          <w:rFonts w:ascii="Palatino Linotype" w:hAnsi="Palatino Linotype"/>
          <w:sz w:val="22"/>
          <w:szCs w:val="22"/>
          <w:lang w:val="nl-NL"/>
        </w:rPr>
        <w:tab/>
        <w:t>:  de kosten die de Bank maakt voor de uitvoering van zijn toezichthoudende taken en bevoegdheden op grond van de landsverordening;</w:t>
      </w:r>
    </w:p>
    <w:p w:rsidR="00D74DBC" w:rsidRPr="00D74DBC" w:rsidRDefault="00D74DBC" w:rsidP="00D74DBC">
      <w:pPr>
        <w:tabs>
          <w:tab w:val="left" w:pos="1890"/>
        </w:tabs>
        <w:ind w:left="2070" w:hanging="2070"/>
        <w:jc w:val="both"/>
        <w:rPr>
          <w:rFonts w:ascii="Palatino Linotype" w:hAnsi="Palatino Linotype"/>
          <w:sz w:val="22"/>
          <w:szCs w:val="22"/>
          <w:lang w:val="nl-NL"/>
        </w:rPr>
      </w:pPr>
      <w:r w:rsidRPr="00D74DBC">
        <w:rPr>
          <w:rFonts w:ascii="Palatino Linotype" w:hAnsi="Palatino Linotype"/>
          <w:sz w:val="22"/>
          <w:szCs w:val="22"/>
          <w:lang w:val="nl-NL"/>
        </w:rPr>
        <w:t xml:space="preserve">balanstotaal </w:t>
      </w:r>
      <w:r w:rsidRPr="00D74DBC">
        <w:rPr>
          <w:rFonts w:ascii="Palatino Linotype" w:hAnsi="Palatino Linotype"/>
          <w:sz w:val="22"/>
          <w:szCs w:val="22"/>
          <w:lang w:val="nl-NL"/>
        </w:rPr>
        <w:tab/>
        <w:t>:  het balanstotaal van de beleggingsinstellingen zoals dat blijkt uit de in het eerste kalenderkwartaal van het lopende ramingsjaar bij de Bank in te dienen gegevens, of indien die gegevens niet beschikbaar zijn, het meest recente bij de Bank bekende balanstotaal van de beleggingsinstelling.</w:t>
      </w:r>
    </w:p>
    <w:p w:rsidR="00D74DBC" w:rsidRPr="00D74DBC" w:rsidRDefault="00D74DBC" w:rsidP="00D74DBC">
      <w:pPr>
        <w:keepNext/>
        <w:widowControl/>
        <w:jc w:val="center"/>
        <w:outlineLvl w:val="1"/>
        <w:rPr>
          <w:rFonts w:ascii="Palatino Linotype" w:hAnsi="Palatino Linotype"/>
          <w:bCs/>
          <w:iCs/>
          <w:sz w:val="22"/>
          <w:szCs w:val="22"/>
          <w:lang w:val="nl-NL"/>
        </w:rPr>
      </w:pPr>
    </w:p>
    <w:p w:rsidR="00D74DBC" w:rsidRPr="00D74DBC" w:rsidRDefault="00D74DBC" w:rsidP="00D74DBC">
      <w:pPr>
        <w:keepNext/>
        <w:widowControl/>
        <w:jc w:val="center"/>
        <w:outlineLvl w:val="1"/>
        <w:rPr>
          <w:rFonts w:ascii="Palatino Linotype" w:hAnsi="Palatino Linotype"/>
          <w:snapToGrid/>
          <w:sz w:val="22"/>
          <w:szCs w:val="22"/>
          <w:lang w:val="nl-NL"/>
        </w:rPr>
      </w:pPr>
      <w:r w:rsidRPr="00D74DBC">
        <w:rPr>
          <w:rFonts w:ascii="Palatino Linotype" w:hAnsi="Palatino Linotype"/>
          <w:snapToGrid/>
          <w:sz w:val="22"/>
          <w:szCs w:val="22"/>
          <w:lang w:val="nl-NL"/>
        </w:rPr>
        <w:t>Artikel 2</w:t>
      </w:r>
    </w:p>
    <w:p w:rsidR="00D74DBC" w:rsidRPr="00D74DBC" w:rsidRDefault="00D74DBC" w:rsidP="00D74DBC">
      <w:pPr>
        <w:jc w:val="center"/>
        <w:rPr>
          <w:rFonts w:ascii="Palatino Linotype" w:hAnsi="Palatino Linotype"/>
          <w:bCs/>
          <w:sz w:val="22"/>
          <w:szCs w:val="22"/>
          <w:lang w:val="nl-NL"/>
        </w:rPr>
      </w:pPr>
    </w:p>
    <w:p w:rsidR="00D74DBC" w:rsidRPr="00D74DBC" w:rsidRDefault="00D74DBC" w:rsidP="00D74DBC">
      <w:pPr>
        <w:jc w:val="both"/>
        <w:rPr>
          <w:rFonts w:ascii="Palatino Linotype" w:hAnsi="Palatino Linotype"/>
          <w:sz w:val="22"/>
          <w:szCs w:val="22"/>
          <w:lang w:val="nl-NL"/>
        </w:rPr>
      </w:pPr>
      <w:r w:rsidRPr="00D74DBC">
        <w:rPr>
          <w:rFonts w:ascii="Palatino Linotype" w:hAnsi="Palatino Linotype"/>
          <w:sz w:val="22"/>
          <w:szCs w:val="22"/>
          <w:lang w:val="nl-NL"/>
        </w:rPr>
        <w:t>Met inachtneming van de hiernavolgende bepalingen, brengt de Bank aan de beleggingsinstellingen en administrateurs de kosten in rekening op een zodanige wijze dat die kosten structureel worden gedekt uit de in rekening gebrachte bedragen.</w:t>
      </w:r>
    </w:p>
    <w:p w:rsidR="00D74DBC" w:rsidRPr="00D74DBC" w:rsidRDefault="00D74DBC" w:rsidP="00D74DBC">
      <w:pPr>
        <w:jc w:val="both"/>
        <w:rPr>
          <w:rFonts w:ascii="Palatino Linotype" w:hAnsi="Palatino Linotype"/>
          <w:sz w:val="22"/>
          <w:szCs w:val="22"/>
          <w:lang w:val="nl-NL"/>
        </w:rPr>
      </w:pPr>
    </w:p>
    <w:p w:rsidR="00D74DBC" w:rsidRPr="00D74DBC" w:rsidRDefault="00D74DBC" w:rsidP="00D74DBC">
      <w:pPr>
        <w:keepNext/>
        <w:widowControl/>
        <w:jc w:val="center"/>
        <w:outlineLvl w:val="1"/>
        <w:rPr>
          <w:rFonts w:ascii="Palatino Linotype" w:hAnsi="Palatino Linotype"/>
          <w:snapToGrid/>
          <w:sz w:val="22"/>
          <w:szCs w:val="22"/>
          <w:lang w:val="nl-NL"/>
        </w:rPr>
      </w:pPr>
      <w:r w:rsidRPr="00D74DBC">
        <w:rPr>
          <w:rFonts w:ascii="Palatino Linotype" w:hAnsi="Palatino Linotype"/>
          <w:snapToGrid/>
          <w:sz w:val="22"/>
          <w:szCs w:val="22"/>
          <w:lang w:val="nl-NL"/>
        </w:rPr>
        <w:t>Artikel 3</w:t>
      </w:r>
    </w:p>
    <w:p w:rsidR="00D74DBC" w:rsidRPr="00D74DBC" w:rsidRDefault="00D74DBC" w:rsidP="00D74DBC">
      <w:pPr>
        <w:tabs>
          <w:tab w:val="left" w:pos="426"/>
        </w:tabs>
        <w:jc w:val="center"/>
        <w:rPr>
          <w:rFonts w:ascii="Palatino Linotype" w:hAnsi="Palatino Linotype"/>
          <w:bCs/>
          <w:sz w:val="22"/>
          <w:szCs w:val="22"/>
          <w:lang w:val="nl-NL"/>
        </w:rPr>
      </w:pPr>
    </w:p>
    <w:p w:rsidR="00D74DBC" w:rsidRPr="00D74DBC" w:rsidRDefault="00D74DBC" w:rsidP="00D74DBC">
      <w:pPr>
        <w:numPr>
          <w:ilvl w:val="0"/>
          <w:numId w:val="1"/>
        </w:numPr>
        <w:tabs>
          <w:tab w:val="left" w:pos="360"/>
        </w:tabs>
        <w:jc w:val="both"/>
        <w:rPr>
          <w:rFonts w:ascii="Palatino Linotype" w:hAnsi="Palatino Linotype"/>
          <w:sz w:val="22"/>
          <w:szCs w:val="22"/>
          <w:lang w:val="nl-NL"/>
        </w:rPr>
      </w:pPr>
      <w:r w:rsidRPr="00D74DBC">
        <w:rPr>
          <w:rFonts w:ascii="Palatino Linotype" w:hAnsi="Palatino Linotype"/>
          <w:sz w:val="22"/>
          <w:szCs w:val="22"/>
          <w:lang w:val="nl-NL"/>
        </w:rPr>
        <w:t>De Bank stelt jaarlijks vóór 1 december een raming op van de in het daaropvolgende jaar te verwachten kosten.</w:t>
      </w:r>
    </w:p>
    <w:p w:rsidR="00D74DBC" w:rsidRPr="00D74DBC" w:rsidRDefault="00D74DBC" w:rsidP="00D74DBC">
      <w:pPr>
        <w:numPr>
          <w:ilvl w:val="0"/>
          <w:numId w:val="1"/>
        </w:numPr>
        <w:tabs>
          <w:tab w:val="left" w:pos="360"/>
        </w:tabs>
        <w:jc w:val="both"/>
        <w:rPr>
          <w:rFonts w:ascii="Palatino Linotype" w:hAnsi="Palatino Linotype"/>
          <w:sz w:val="22"/>
          <w:szCs w:val="22"/>
          <w:lang w:val="nl-NL"/>
        </w:rPr>
      </w:pPr>
      <w:r w:rsidRPr="00D74DBC">
        <w:rPr>
          <w:rFonts w:ascii="Palatino Linotype" w:hAnsi="Palatino Linotype"/>
          <w:sz w:val="22"/>
          <w:szCs w:val="22"/>
          <w:lang w:val="nl-NL"/>
        </w:rPr>
        <w:t>De Bank bepaalt de wijze waarop de raming wordt onderverdeeld.</w:t>
      </w:r>
    </w:p>
    <w:p w:rsidR="00D74DBC" w:rsidRPr="00D74DBC" w:rsidRDefault="00D74DBC" w:rsidP="00D74DBC">
      <w:pPr>
        <w:ind w:left="180"/>
        <w:jc w:val="both"/>
        <w:rPr>
          <w:rFonts w:ascii="Palatino Linotype" w:hAnsi="Palatino Linotype"/>
          <w:sz w:val="22"/>
          <w:szCs w:val="22"/>
          <w:lang w:val="nl-NL"/>
        </w:rPr>
      </w:pPr>
    </w:p>
    <w:p w:rsidR="00D74DBC" w:rsidRPr="00D74DBC" w:rsidRDefault="00D74DBC" w:rsidP="00D74DBC">
      <w:pPr>
        <w:keepNext/>
        <w:widowControl/>
        <w:jc w:val="center"/>
        <w:outlineLvl w:val="1"/>
        <w:rPr>
          <w:rFonts w:ascii="Palatino Linotype" w:hAnsi="Palatino Linotype"/>
          <w:snapToGrid/>
          <w:sz w:val="22"/>
          <w:szCs w:val="22"/>
          <w:lang w:val="nl-NL"/>
        </w:rPr>
      </w:pPr>
      <w:r w:rsidRPr="00D74DBC">
        <w:rPr>
          <w:rFonts w:ascii="Palatino Linotype" w:hAnsi="Palatino Linotype"/>
          <w:snapToGrid/>
          <w:sz w:val="22"/>
          <w:szCs w:val="22"/>
          <w:lang w:val="nl-NL"/>
        </w:rPr>
        <w:t>Artikel 4</w:t>
      </w:r>
    </w:p>
    <w:p w:rsidR="00D74DBC" w:rsidRPr="00D74DBC" w:rsidRDefault="00D74DBC" w:rsidP="00D74DBC">
      <w:pPr>
        <w:jc w:val="center"/>
        <w:rPr>
          <w:rFonts w:ascii="Palatino Linotype" w:hAnsi="Palatino Linotype"/>
          <w:bCs/>
          <w:sz w:val="22"/>
          <w:szCs w:val="22"/>
          <w:lang w:val="nl-NL"/>
        </w:rPr>
      </w:pPr>
    </w:p>
    <w:p w:rsidR="00D74DBC" w:rsidRPr="00D74DBC" w:rsidRDefault="00D74DBC" w:rsidP="00D74DBC">
      <w:pPr>
        <w:numPr>
          <w:ilvl w:val="0"/>
          <w:numId w:val="2"/>
        </w:numPr>
        <w:tabs>
          <w:tab w:val="left" w:pos="360"/>
        </w:tabs>
        <w:jc w:val="both"/>
        <w:rPr>
          <w:rFonts w:ascii="Palatino Linotype" w:hAnsi="Palatino Linotype"/>
          <w:sz w:val="22"/>
          <w:szCs w:val="22"/>
          <w:lang w:val="nl-NL"/>
        </w:rPr>
      </w:pPr>
      <w:r w:rsidRPr="00D74DBC">
        <w:rPr>
          <w:rFonts w:ascii="Palatino Linotype" w:hAnsi="Palatino Linotype"/>
          <w:sz w:val="22"/>
          <w:szCs w:val="22"/>
          <w:lang w:val="nl-NL"/>
        </w:rPr>
        <w:t>De Bank brengt iedere beleggingsinstelling die ingevolge artikel 4 van de landsverordening en iedere administrateur die ingevolge artikel 15 van de landsverordening een aanvraag voor een vergunning indient, op het moment van de aanvraag éénmalig een vast bedrag in rekening. De Bank neemt een aanvraag niet in behandeling voordat bedoeld bedrag door de Bank is ontvangen.</w:t>
      </w:r>
    </w:p>
    <w:p w:rsidR="00D74DBC" w:rsidRPr="00D74DBC" w:rsidRDefault="00D74DBC" w:rsidP="00D74DBC">
      <w:pPr>
        <w:numPr>
          <w:ilvl w:val="0"/>
          <w:numId w:val="2"/>
        </w:numPr>
        <w:tabs>
          <w:tab w:val="left" w:pos="360"/>
        </w:tabs>
        <w:jc w:val="both"/>
        <w:rPr>
          <w:rFonts w:ascii="Palatino Linotype" w:hAnsi="Palatino Linotype"/>
          <w:sz w:val="22"/>
          <w:szCs w:val="22"/>
          <w:lang w:val="nl-NL"/>
        </w:rPr>
      </w:pPr>
      <w:r w:rsidRPr="00D74DBC">
        <w:rPr>
          <w:rFonts w:ascii="Palatino Linotype" w:hAnsi="Palatino Linotype"/>
          <w:sz w:val="22"/>
          <w:szCs w:val="22"/>
          <w:lang w:val="nl-NL"/>
        </w:rPr>
        <w:lastRenderedPageBreak/>
        <w:t>Het in het eerste lid bedoelde bedrag wordt jaarlijks, op basis van de raming, na overleg met de Minister door de Bank vastgesteld.</w:t>
      </w:r>
    </w:p>
    <w:p w:rsidR="00D74DBC" w:rsidRPr="00D74DBC" w:rsidRDefault="00D74DBC" w:rsidP="00D74DBC">
      <w:pPr>
        <w:tabs>
          <w:tab w:val="num" w:pos="360"/>
        </w:tabs>
        <w:ind w:left="360" w:hanging="360"/>
        <w:jc w:val="both"/>
        <w:rPr>
          <w:rFonts w:ascii="Palatino Linotype" w:hAnsi="Palatino Linotype"/>
          <w:sz w:val="22"/>
          <w:szCs w:val="22"/>
          <w:lang w:val="nl-NL"/>
        </w:rPr>
      </w:pPr>
    </w:p>
    <w:p w:rsidR="00D74DBC" w:rsidRPr="00D74DBC" w:rsidRDefault="00D74DBC" w:rsidP="00D74DBC">
      <w:pPr>
        <w:keepNext/>
        <w:widowControl/>
        <w:jc w:val="center"/>
        <w:outlineLvl w:val="1"/>
        <w:rPr>
          <w:rFonts w:ascii="Palatino Linotype" w:hAnsi="Palatino Linotype"/>
          <w:snapToGrid/>
          <w:sz w:val="22"/>
          <w:szCs w:val="22"/>
          <w:lang w:val="nl-NL"/>
        </w:rPr>
      </w:pPr>
      <w:r w:rsidRPr="00D74DBC">
        <w:rPr>
          <w:rFonts w:ascii="Palatino Linotype" w:hAnsi="Palatino Linotype"/>
          <w:snapToGrid/>
          <w:sz w:val="22"/>
          <w:szCs w:val="22"/>
          <w:lang w:val="nl-NL"/>
        </w:rPr>
        <w:t>Artikel 5</w:t>
      </w:r>
    </w:p>
    <w:p w:rsidR="00D74DBC" w:rsidRPr="00D74DBC" w:rsidRDefault="00D74DBC" w:rsidP="00D74DBC">
      <w:pPr>
        <w:jc w:val="center"/>
        <w:rPr>
          <w:rFonts w:ascii="Palatino Linotype" w:hAnsi="Palatino Linotype"/>
          <w:bCs/>
          <w:sz w:val="22"/>
          <w:szCs w:val="22"/>
          <w:lang w:val="nl-NL"/>
        </w:rPr>
      </w:pPr>
    </w:p>
    <w:p w:rsidR="00D74DBC" w:rsidRPr="00D74DBC" w:rsidRDefault="00D74DBC" w:rsidP="00D74DBC">
      <w:pPr>
        <w:numPr>
          <w:ilvl w:val="0"/>
          <w:numId w:val="3"/>
        </w:numPr>
        <w:tabs>
          <w:tab w:val="left" w:pos="360"/>
        </w:tabs>
        <w:jc w:val="both"/>
        <w:rPr>
          <w:rFonts w:ascii="Palatino Linotype" w:hAnsi="Palatino Linotype"/>
          <w:sz w:val="22"/>
          <w:szCs w:val="22"/>
          <w:lang w:val="nl-NL"/>
        </w:rPr>
      </w:pPr>
      <w:r w:rsidRPr="00D74DBC">
        <w:rPr>
          <w:rFonts w:ascii="Palatino Linotype" w:hAnsi="Palatino Linotype"/>
          <w:sz w:val="22"/>
          <w:szCs w:val="22"/>
          <w:lang w:val="nl-NL"/>
        </w:rPr>
        <w:t>Aan de beleggingsinstellingen en administrateurs die per 31 december van het aan het ramingsjaar voorafgaande jaar in het register als bedoeld in artikel 30 van de landsverordening zijn ingeschreven, wordt, met inachtneming van het bepaalde in de artikelen 6 en 7, vóór 1 juli van het lopende ramingsjaar jaarlijks een bedrag in rekening gebracht.</w:t>
      </w:r>
    </w:p>
    <w:p w:rsidR="00D74DBC" w:rsidRPr="00D74DBC" w:rsidRDefault="00D74DBC" w:rsidP="00D74DBC">
      <w:pPr>
        <w:numPr>
          <w:ilvl w:val="0"/>
          <w:numId w:val="3"/>
        </w:numPr>
        <w:tabs>
          <w:tab w:val="left" w:pos="360"/>
        </w:tabs>
        <w:jc w:val="both"/>
        <w:rPr>
          <w:rFonts w:ascii="Palatino Linotype" w:hAnsi="Palatino Linotype"/>
          <w:sz w:val="22"/>
          <w:szCs w:val="22"/>
          <w:lang w:val="nl-NL"/>
        </w:rPr>
      </w:pPr>
      <w:r w:rsidRPr="00D74DBC">
        <w:rPr>
          <w:rFonts w:ascii="Palatino Linotype" w:hAnsi="Palatino Linotype"/>
          <w:sz w:val="22"/>
          <w:szCs w:val="22"/>
          <w:lang w:val="nl-NL"/>
        </w:rPr>
        <w:t>Het in het eerste lid bedoelde bedrag wordt jaarlijks, op basis van de raming, na overleg met de Minister door de Bank vastgesteld.</w:t>
      </w:r>
    </w:p>
    <w:p w:rsidR="00D74DBC" w:rsidRPr="00D74DBC" w:rsidRDefault="00D74DBC" w:rsidP="00D74DBC">
      <w:pPr>
        <w:jc w:val="both"/>
        <w:rPr>
          <w:rFonts w:ascii="Palatino Linotype" w:hAnsi="Palatino Linotype"/>
          <w:b/>
          <w:sz w:val="22"/>
          <w:szCs w:val="22"/>
          <w:lang w:val="nl-NL"/>
        </w:rPr>
      </w:pPr>
    </w:p>
    <w:p w:rsidR="00D74DBC" w:rsidRPr="00D74DBC" w:rsidRDefault="00D74DBC" w:rsidP="00D74DBC">
      <w:pPr>
        <w:keepNext/>
        <w:widowControl/>
        <w:jc w:val="center"/>
        <w:outlineLvl w:val="1"/>
        <w:rPr>
          <w:rFonts w:ascii="Palatino Linotype" w:hAnsi="Palatino Linotype"/>
          <w:snapToGrid/>
          <w:sz w:val="22"/>
          <w:szCs w:val="22"/>
          <w:lang w:val="nl-NL"/>
        </w:rPr>
      </w:pPr>
      <w:r w:rsidRPr="00D74DBC">
        <w:rPr>
          <w:rFonts w:ascii="Palatino Linotype" w:hAnsi="Palatino Linotype"/>
          <w:snapToGrid/>
          <w:sz w:val="22"/>
          <w:szCs w:val="22"/>
          <w:lang w:val="nl-NL"/>
        </w:rPr>
        <w:t>Artikel 6</w:t>
      </w:r>
    </w:p>
    <w:p w:rsidR="00D74DBC" w:rsidRPr="00D74DBC" w:rsidRDefault="00D74DBC" w:rsidP="00D74DBC">
      <w:pPr>
        <w:jc w:val="center"/>
        <w:rPr>
          <w:rFonts w:ascii="Palatino Linotype" w:hAnsi="Palatino Linotype"/>
          <w:bCs/>
          <w:sz w:val="22"/>
          <w:szCs w:val="22"/>
          <w:lang w:val="nl-NL"/>
        </w:rPr>
      </w:pPr>
    </w:p>
    <w:p w:rsidR="00D74DBC" w:rsidRPr="00D74DBC" w:rsidRDefault="00D74DBC" w:rsidP="00D74DBC">
      <w:pPr>
        <w:numPr>
          <w:ilvl w:val="0"/>
          <w:numId w:val="4"/>
        </w:numPr>
        <w:tabs>
          <w:tab w:val="left" w:pos="360"/>
        </w:tabs>
        <w:jc w:val="both"/>
        <w:rPr>
          <w:rFonts w:ascii="Palatino Linotype" w:hAnsi="Palatino Linotype"/>
          <w:sz w:val="22"/>
          <w:szCs w:val="22"/>
          <w:lang w:val="nl-NL"/>
        </w:rPr>
      </w:pPr>
      <w:r w:rsidRPr="00D74DBC">
        <w:rPr>
          <w:rFonts w:ascii="Palatino Linotype" w:hAnsi="Palatino Linotype"/>
          <w:sz w:val="22"/>
          <w:szCs w:val="22"/>
          <w:lang w:val="nl-NL"/>
        </w:rPr>
        <w:t>Het in artikel 5 bedoelde bedrag voor een beleggingsinstelling bestaat uit:</w:t>
      </w:r>
    </w:p>
    <w:p w:rsidR="00D74DBC" w:rsidRPr="00D74DBC" w:rsidRDefault="00D74DBC" w:rsidP="00D74DBC">
      <w:pPr>
        <w:numPr>
          <w:ilvl w:val="1"/>
          <w:numId w:val="5"/>
        </w:numPr>
        <w:tabs>
          <w:tab w:val="left" w:pos="450"/>
        </w:tabs>
        <w:jc w:val="both"/>
        <w:rPr>
          <w:rFonts w:ascii="Palatino Linotype" w:hAnsi="Palatino Linotype"/>
          <w:sz w:val="22"/>
          <w:szCs w:val="22"/>
          <w:lang w:val="nl-NL"/>
        </w:rPr>
      </w:pPr>
      <w:r w:rsidRPr="00D74DBC">
        <w:rPr>
          <w:rFonts w:ascii="Palatino Linotype" w:hAnsi="Palatino Linotype"/>
          <w:sz w:val="22"/>
          <w:szCs w:val="22"/>
          <w:lang w:val="nl-NL"/>
        </w:rPr>
        <w:t>een vast bedrag dat voor alle beleggingsinstellingen gelijk is;</w:t>
      </w:r>
    </w:p>
    <w:p w:rsidR="00D74DBC" w:rsidRPr="00D74DBC" w:rsidRDefault="00D74DBC" w:rsidP="00D74DBC">
      <w:pPr>
        <w:numPr>
          <w:ilvl w:val="1"/>
          <w:numId w:val="5"/>
        </w:numPr>
        <w:tabs>
          <w:tab w:val="left" w:pos="450"/>
        </w:tabs>
        <w:jc w:val="both"/>
        <w:rPr>
          <w:rFonts w:ascii="Palatino Linotype" w:hAnsi="Palatino Linotype"/>
          <w:sz w:val="22"/>
          <w:szCs w:val="22"/>
          <w:lang w:val="nl-NL"/>
        </w:rPr>
      </w:pPr>
      <w:r w:rsidRPr="00D74DBC">
        <w:rPr>
          <w:rFonts w:ascii="Palatino Linotype" w:hAnsi="Palatino Linotype"/>
          <w:sz w:val="22"/>
          <w:szCs w:val="22"/>
          <w:lang w:val="nl-NL"/>
        </w:rPr>
        <w:t>een bedrag in NAf’s per NAf 1 miljoen balanstotaal van de beleggingsinstelling, waarbij het balanstotaal voor de toepassing van deze bepaling buiten beschouwing wordt gelaten voor zover het balanstotaal van de beleggingsinstelling meer dan NAf 2 miljard bedraagt.</w:t>
      </w:r>
    </w:p>
    <w:p w:rsidR="00D74DBC" w:rsidRPr="00D74DBC" w:rsidRDefault="00D74DBC" w:rsidP="00D74DBC">
      <w:pPr>
        <w:numPr>
          <w:ilvl w:val="0"/>
          <w:numId w:val="4"/>
        </w:numPr>
        <w:tabs>
          <w:tab w:val="left" w:pos="360"/>
        </w:tabs>
        <w:jc w:val="both"/>
        <w:rPr>
          <w:rFonts w:ascii="Palatino Linotype" w:hAnsi="Palatino Linotype"/>
          <w:sz w:val="22"/>
          <w:szCs w:val="22"/>
          <w:lang w:val="nl-NL"/>
        </w:rPr>
      </w:pPr>
      <w:r w:rsidRPr="00D74DBC">
        <w:rPr>
          <w:rFonts w:ascii="Palatino Linotype" w:hAnsi="Palatino Linotype"/>
          <w:sz w:val="22"/>
          <w:szCs w:val="22"/>
          <w:lang w:val="nl-NL"/>
        </w:rPr>
        <w:t xml:space="preserve">In afwijking van het eerste lid wordt aan vergunninghoudende beleggingsinstellingen waarvan de zetel of, indien het een beleggingsfonds betreft, die van de beheerder, buiten Curaçao gelegen is en die aldaar onder een door de Bank adequaat geacht toezicht staan, een vast bedrag in rekening gebracht dat voor al deze beleggingsinstellingen gelijk is en ten minste het in het eerste lid, onderdeel a, bedoelde bedrag bedraagt. </w:t>
      </w:r>
    </w:p>
    <w:p w:rsidR="00D74DBC" w:rsidRPr="00D74DBC" w:rsidRDefault="00D74DBC" w:rsidP="00D74DBC">
      <w:pPr>
        <w:widowControl/>
        <w:ind w:left="426" w:hanging="426"/>
        <w:jc w:val="both"/>
        <w:rPr>
          <w:rFonts w:ascii="Palatino Linotype" w:hAnsi="Palatino Linotype"/>
          <w:snapToGrid/>
          <w:sz w:val="22"/>
          <w:szCs w:val="22"/>
          <w:lang w:val="nl-NL"/>
        </w:rPr>
      </w:pPr>
    </w:p>
    <w:p w:rsidR="00D74DBC" w:rsidRPr="00D74DBC" w:rsidRDefault="00D74DBC" w:rsidP="00D74DBC">
      <w:pPr>
        <w:keepNext/>
        <w:widowControl/>
        <w:jc w:val="center"/>
        <w:outlineLvl w:val="0"/>
        <w:rPr>
          <w:rFonts w:ascii="Palatino Linotype" w:hAnsi="Palatino Linotype"/>
          <w:bCs/>
          <w:snapToGrid/>
          <w:sz w:val="22"/>
          <w:szCs w:val="22"/>
          <w:lang w:val="nl-NL"/>
        </w:rPr>
      </w:pPr>
      <w:r w:rsidRPr="00D74DBC">
        <w:rPr>
          <w:rFonts w:ascii="Palatino Linotype" w:hAnsi="Palatino Linotype"/>
          <w:bCs/>
          <w:snapToGrid/>
          <w:sz w:val="22"/>
          <w:szCs w:val="22"/>
          <w:lang w:val="nl-NL"/>
        </w:rPr>
        <w:t>Artikel 7</w:t>
      </w:r>
    </w:p>
    <w:p w:rsidR="00D74DBC" w:rsidRPr="00D74DBC" w:rsidRDefault="00D74DBC" w:rsidP="00D74DBC">
      <w:pPr>
        <w:rPr>
          <w:rFonts w:ascii="Palatino Linotype" w:hAnsi="Palatino Linotype"/>
          <w:sz w:val="22"/>
          <w:szCs w:val="22"/>
          <w:lang w:val="nl-NL"/>
        </w:rPr>
      </w:pPr>
    </w:p>
    <w:p w:rsidR="00D74DBC" w:rsidRPr="00D74DBC" w:rsidRDefault="00D74DBC" w:rsidP="00D74DBC">
      <w:pPr>
        <w:widowControl/>
        <w:tabs>
          <w:tab w:val="left" w:pos="426"/>
        </w:tabs>
        <w:jc w:val="both"/>
        <w:rPr>
          <w:rFonts w:ascii="Palatino Linotype" w:hAnsi="Palatino Linotype"/>
          <w:snapToGrid/>
          <w:sz w:val="22"/>
          <w:szCs w:val="22"/>
          <w:lang w:val="nl-NL"/>
        </w:rPr>
      </w:pPr>
      <w:r w:rsidRPr="00D74DBC">
        <w:rPr>
          <w:rFonts w:ascii="Palatino Linotype" w:hAnsi="Palatino Linotype"/>
          <w:snapToGrid/>
          <w:sz w:val="22"/>
          <w:szCs w:val="22"/>
          <w:lang w:val="nl-NL"/>
        </w:rPr>
        <w:t>Het in artikel 5 bedoelde bedrag voor een administrateur bestaat uit:</w:t>
      </w:r>
    </w:p>
    <w:p w:rsidR="00D74DBC" w:rsidRPr="00D74DBC" w:rsidRDefault="00D74DBC" w:rsidP="00D74DBC">
      <w:pPr>
        <w:numPr>
          <w:ilvl w:val="0"/>
          <w:numId w:val="6"/>
        </w:numPr>
        <w:tabs>
          <w:tab w:val="left" w:pos="360"/>
          <w:tab w:val="left" w:pos="450"/>
        </w:tabs>
        <w:jc w:val="both"/>
        <w:rPr>
          <w:rFonts w:ascii="Palatino Linotype" w:hAnsi="Palatino Linotype"/>
          <w:sz w:val="22"/>
          <w:szCs w:val="22"/>
          <w:lang w:val="nl-NL"/>
        </w:rPr>
      </w:pPr>
      <w:r w:rsidRPr="00D74DBC">
        <w:rPr>
          <w:rFonts w:ascii="Palatino Linotype" w:hAnsi="Palatino Linotype"/>
          <w:sz w:val="22"/>
          <w:szCs w:val="22"/>
          <w:lang w:val="nl-NL"/>
        </w:rPr>
        <w:t>een vast bedrag dat voor de administrateurs gelijk is;</w:t>
      </w:r>
    </w:p>
    <w:p w:rsidR="00D74DBC" w:rsidRPr="00D74DBC" w:rsidRDefault="00D74DBC" w:rsidP="00D74DBC">
      <w:pPr>
        <w:numPr>
          <w:ilvl w:val="0"/>
          <w:numId w:val="6"/>
        </w:numPr>
        <w:tabs>
          <w:tab w:val="left" w:pos="360"/>
          <w:tab w:val="left" w:pos="450"/>
        </w:tabs>
        <w:jc w:val="both"/>
        <w:rPr>
          <w:rFonts w:ascii="Palatino Linotype" w:hAnsi="Palatino Linotype"/>
          <w:sz w:val="22"/>
          <w:szCs w:val="22"/>
          <w:lang w:val="nl-NL"/>
        </w:rPr>
      </w:pPr>
      <w:r w:rsidRPr="00D74DBC">
        <w:rPr>
          <w:rFonts w:ascii="Palatino Linotype" w:hAnsi="Palatino Linotype"/>
          <w:sz w:val="22"/>
          <w:szCs w:val="22"/>
          <w:lang w:val="nl-NL"/>
        </w:rPr>
        <w:t>een bedrag voor elke 25 beleggingsinstellingen waarvoor administratieve diensten verricht worden, waarbij het bedrag voor de toepassing van deze bepaling buiten beschouwing wordt gelaten voor zover het aantal geadministreerde beleggingsinstellingen meer dan 200 bedraagt.</w:t>
      </w:r>
    </w:p>
    <w:p w:rsidR="00D74DBC" w:rsidRPr="00D74DBC" w:rsidRDefault="00D74DBC" w:rsidP="00D74DBC">
      <w:pPr>
        <w:ind w:left="360"/>
        <w:jc w:val="both"/>
        <w:rPr>
          <w:rFonts w:ascii="Palatino Linotype" w:hAnsi="Palatino Linotype"/>
          <w:sz w:val="22"/>
          <w:szCs w:val="22"/>
          <w:lang w:val="nl-NL"/>
        </w:rPr>
      </w:pPr>
    </w:p>
    <w:p w:rsidR="00D74DBC" w:rsidRPr="00D74DBC" w:rsidRDefault="00D74DBC" w:rsidP="00D74DBC">
      <w:pPr>
        <w:keepNext/>
        <w:widowControl/>
        <w:jc w:val="center"/>
        <w:outlineLvl w:val="1"/>
        <w:rPr>
          <w:rFonts w:ascii="Palatino Linotype" w:hAnsi="Palatino Linotype"/>
          <w:snapToGrid/>
          <w:sz w:val="22"/>
          <w:szCs w:val="22"/>
          <w:lang w:val="nl-NL"/>
        </w:rPr>
      </w:pPr>
      <w:r w:rsidRPr="00D74DBC">
        <w:rPr>
          <w:rFonts w:ascii="Palatino Linotype" w:hAnsi="Palatino Linotype"/>
          <w:snapToGrid/>
          <w:sz w:val="22"/>
          <w:szCs w:val="22"/>
          <w:lang w:val="nl-NL"/>
        </w:rPr>
        <w:t>Artikel 8</w:t>
      </w:r>
    </w:p>
    <w:p w:rsidR="00D74DBC" w:rsidRPr="00D74DBC" w:rsidRDefault="00D74DBC" w:rsidP="00D74DBC">
      <w:pPr>
        <w:jc w:val="center"/>
        <w:rPr>
          <w:rFonts w:ascii="Palatino Linotype" w:hAnsi="Palatino Linotype"/>
          <w:bCs/>
          <w:sz w:val="22"/>
          <w:szCs w:val="22"/>
          <w:lang w:val="nl-NL"/>
        </w:rPr>
      </w:pPr>
    </w:p>
    <w:p w:rsidR="00D74DBC" w:rsidRPr="00D74DBC" w:rsidRDefault="00D74DBC" w:rsidP="00D74DBC">
      <w:pPr>
        <w:jc w:val="both"/>
        <w:rPr>
          <w:rFonts w:ascii="Palatino Linotype" w:hAnsi="Palatino Linotype"/>
          <w:sz w:val="22"/>
          <w:szCs w:val="22"/>
          <w:lang w:val="nl-NL"/>
        </w:rPr>
      </w:pPr>
      <w:r w:rsidRPr="00D74DBC">
        <w:rPr>
          <w:rFonts w:ascii="Palatino Linotype" w:hAnsi="Palatino Linotype"/>
          <w:sz w:val="22"/>
          <w:szCs w:val="22"/>
          <w:lang w:val="nl-NL"/>
        </w:rPr>
        <w:t>De Bank deelt het door de beleggingsinstelling en administrateur te betalen bedrag als bedoeld in artikel 5 schriftelijk aan de beleggingsinstelling en administrateur mee, onder vermelding van het in aanmerking genomen balanstotaal en van het bedrag, bedoeld in artikel 6, eerste lid, onderdeel b, respectievelijk het in aanmerking genomen aantal geadministreerde beleggingsinstellingen en van het bedrag, bedoeld in artikel 7, onderdeel b, alsmede de wijze waarop en het tijdstip waarvoor de betaling moet geschieden.</w:t>
      </w:r>
    </w:p>
    <w:p w:rsidR="00D74DBC" w:rsidRPr="00D74DBC" w:rsidRDefault="00D74DBC" w:rsidP="00D74DBC">
      <w:pPr>
        <w:jc w:val="both"/>
        <w:rPr>
          <w:rFonts w:ascii="Palatino Linotype" w:hAnsi="Palatino Linotype"/>
          <w:sz w:val="22"/>
          <w:szCs w:val="22"/>
          <w:lang w:val="nl-NL"/>
        </w:rPr>
      </w:pPr>
    </w:p>
    <w:p w:rsidR="00D74DBC" w:rsidRDefault="00D74DBC">
      <w:pPr>
        <w:widowControl/>
        <w:rPr>
          <w:rFonts w:ascii="Palatino Linotype" w:hAnsi="Palatino Linotype"/>
          <w:bCs/>
          <w:snapToGrid/>
          <w:sz w:val="22"/>
          <w:szCs w:val="22"/>
          <w:lang w:val="nl-NL"/>
        </w:rPr>
      </w:pPr>
      <w:r>
        <w:rPr>
          <w:rFonts w:ascii="Palatino Linotype" w:hAnsi="Palatino Linotype"/>
          <w:bCs/>
          <w:snapToGrid/>
          <w:sz w:val="22"/>
          <w:szCs w:val="22"/>
          <w:lang w:val="nl-NL"/>
        </w:rPr>
        <w:br w:type="page"/>
      </w:r>
    </w:p>
    <w:p w:rsidR="00D74DBC" w:rsidRPr="00D74DBC" w:rsidRDefault="00D74DBC" w:rsidP="00D74DBC">
      <w:pPr>
        <w:keepNext/>
        <w:widowControl/>
        <w:jc w:val="center"/>
        <w:outlineLvl w:val="2"/>
        <w:rPr>
          <w:rFonts w:ascii="Palatino Linotype" w:hAnsi="Palatino Linotype"/>
          <w:bCs/>
          <w:snapToGrid/>
          <w:sz w:val="22"/>
          <w:szCs w:val="22"/>
          <w:lang w:val="nl-NL"/>
        </w:rPr>
      </w:pPr>
      <w:r w:rsidRPr="00D74DBC">
        <w:rPr>
          <w:rFonts w:ascii="Palatino Linotype" w:hAnsi="Palatino Linotype"/>
          <w:bCs/>
          <w:snapToGrid/>
          <w:sz w:val="22"/>
          <w:szCs w:val="22"/>
          <w:lang w:val="nl-NL"/>
        </w:rPr>
        <w:lastRenderedPageBreak/>
        <w:t>Artikel 9</w:t>
      </w:r>
    </w:p>
    <w:p w:rsidR="00D74DBC" w:rsidRPr="00D74DBC" w:rsidRDefault="00D74DBC" w:rsidP="00D74DBC">
      <w:pPr>
        <w:jc w:val="center"/>
        <w:rPr>
          <w:rFonts w:ascii="Palatino Linotype" w:hAnsi="Palatino Linotype"/>
          <w:b/>
          <w:sz w:val="22"/>
          <w:szCs w:val="22"/>
          <w:lang w:val="nl-NL"/>
        </w:rPr>
      </w:pPr>
    </w:p>
    <w:p w:rsidR="00D74DBC" w:rsidRPr="00D74DBC" w:rsidRDefault="00D74DBC" w:rsidP="00D74DBC">
      <w:pPr>
        <w:jc w:val="both"/>
        <w:rPr>
          <w:rFonts w:ascii="Palatino Linotype" w:hAnsi="Palatino Linotype"/>
          <w:sz w:val="22"/>
          <w:szCs w:val="22"/>
          <w:lang w:val="nl-NL"/>
        </w:rPr>
      </w:pPr>
      <w:r w:rsidRPr="00D74DBC">
        <w:rPr>
          <w:rFonts w:ascii="Palatino Linotype" w:hAnsi="Palatino Linotype"/>
          <w:sz w:val="22"/>
          <w:szCs w:val="22"/>
          <w:lang w:val="nl-NL"/>
        </w:rPr>
        <w:t>Aan de beleggingsinstelling of administrateur waaraan na 1 januari van het lopende ramingsjaar een vergunning is verleend, wordt het in het eerste lid, onderdeel a, van artikel 6 respectievelijk het in het eerste lid, onderdeel a, van artikel 7 bedoelde vaste bedrag naar evenredigheid van het aantal maanden van het jaar dat de beleggingsinstelling of administrateur een vergunning heeft, in rekening gebracht.</w:t>
      </w:r>
    </w:p>
    <w:p w:rsidR="00D74DBC" w:rsidRPr="00D74DBC" w:rsidRDefault="00D74DBC" w:rsidP="00D74DBC">
      <w:pPr>
        <w:jc w:val="both"/>
        <w:rPr>
          <w:rFonts w:ascii="Palatino Linotype" w:hAnsi="Palatino Linotype"/>
          <w:b/>
          <w:sz w:val="22"/>
          <w:szCs w:val="22"/>
          <w:lang w:val="nl-NL"/>
        </w:rPr>
      </w:pPr>
    </w:p>
    <w:p w:rsidR="00D74DBC" w:rsidRPr="00D74DBC" w:rsidRDefault="00D74DBC" w:rsidP="00D74DBC">
      <w:pPr>
        <w:keepNext/>
        <w:widowControl/>
        <w:jc w:val="center"/>
        <w:outlineLvl w:val="0"/>
        <w:rPr>
          <w:rFonts w:ascii="Palatino Linotype" w:hAnsi="Palatino Linotype"/>
          <w:bCs/>
          <w:snapToGrid/>
          <w:sz w:val="22"/>
          <w:szCs w:val="22"/>
          <w:lang w:val="nl-NL"/>
        </w:rPr>
      </w:pPr>
      <w:r w:rsidRPr="00D74DBC">
        <w:rPr>
          <w:rFonts w:ascii="Palatino Linotype" w:hAnsi="Palatino Linotype"/>
          <w:bCs/>
          <w:snapToGrid/>
          <w:sz w:val="22"/>
          <w:szCs w:val="22"/>
          <w:lang w:val="nl-NL"/>
        </w:rPr>
        <w:t>Artikel 10</w:t>
      </w:r>
    </w:p>
    <w:p w:rsidR="00D74DBC" w:rsidRPr="00D74DBC" w:rsidRDefault="00D74DBC" w:rsidP="00D74DBC">
      <w:pPr>
        <w:rPr>
          <w:rFonts w:ascii="Palatino Linotype" w:hAnsi="Palatino Linotype"/>
          <w:sz w:val="22"/>
          <w:szCs w:val="22"/>
          <w:lang w:val="nl-NL"/>
        </w:rPr>
      </w:pPr>
    </w:p>
    <w:p w:rsidR="00D74DBC" w:rsidRDefault="00D74DBC" w:rsidP="00D74DBC">
      <w:pPr>
        <w:widowControl/>
        <w:jc w:val="both"/>
        <w:rPr>
          <w:rFonts w:ascii="Palatino Linotype" w:hAnsi="Palatino Linotype"/>
          <w:snapToGrid/>
          <w:sz w:val="22"/>
          <w:szCs w:val="22"/>
          <w:lang w:val="nl-NL"/>
        </w:rPr>
      </w:pPr>
      <w:r w:rsidRPr="00D74DBC">
        <w:rPr>
          <w:rFonts w:ascii="Palatino Linotype" w:hAnsi="Palatino Linotype"/>
          <w:snapToGrid/>
          <w:sz w:val="22"/>
          <w:szCs w:val="22"/>
          <w:lang w:val="nl-NL"/>
        </w:rPr>
        <w:t>Aan een beleggingsinstelling of administrateur waarvan de inschrijving ingevolge artikel 11 van de landsverordening respectievelijk artikel 22 van de landsverordening, wordt ingetrokken, wordt het bedrag, bedoeld in artikel 5, terugbetaald naar evenredigheid van het aantal maanden van het ramingsjaar dat de beleggingsinstelling of administrateur niet meer staat ingeschreven</w:t>
      </w:r>
      <w:r w:rsidR="00AB5809">
        <w:rPr>
          <w:rFonts w:ascii="Palatino Linotype" w:hAnsi="Palatino Linotype"/>
          <w:snapToGrid/>
          <w:sz w:val="22"/>
          <w:szCs w:val="22"/>
          <w:lang w:val="nl-NL"/>
        </w:rPr>
        <w:t>.</w:t>
      </w:r>
    </w:p>
    <w:p w:rsidR="00AB5809" w:rsidRPr="00D74DBC" w:rsidRDefault="00AB5809" w:rsidP="00D74DBC">
      <w:pPr>
        <w:widowControl/>
        <w:jc w:val="both"/>
        <w:rPr>
          <w:rFonts w:ascii="Palatino Linotype" w:hAnsi="Palatino Linotype"/>
          <w:b/>
          <w:snapToGrid/>
          <w:sz w:val="22"/>
          <w:szCs w:val="22"/>
          <w:lang w:val="nl-NL"/>
        </w:rPr>
      </w:pPr>
    </w:p>
    <w:p w:rsidR="00D74DBC" w:rsidRPr="00D74DBC" w:rsidRDefault="00D74DBC" w:rsidP="00D74DBC">
      <w:pPr>
        <w:keepNext/>
        <w:widowControl/>
        <w:jc w:val="center"/>
        <w:outlineLvl w:val="1"/>
        <w:rPr>
          <w:rFonts w:ascii="Palatino Linotype" w:hAnsi="Palatino Linotype"/>
          <w:snapToGrid/>
          <w:sz w:val="22"/>
          <w:szCs w:val="22"/>
          <w:lang w:val="nl-NL"/>
        </w:rPr>
      </w:pPr>
      <w:r w:rsidRPr="00D74DBC">
        <w:rPr>
          <w:rFonts w:ascii="Palatino Linotype" w:hAnsi="Palatino Linotype"/>
          <w:snapToGrid/>
          <w:sz w:val="22"/>
          <w:szCs w:val="22"/>
          <w:lang w:val="nl-NL"/>
        </w:rPr>
        <w:t>Artikel 11</w:t>
      </w:r>
    </w:p>
    <w:p w:rsidR="00D74DBC" w:rsidRPr="00D74DBC" w:rsidRDefault="00D74DBC" w:rsidP="00D74DBC">
      <w:pPr>
        <w:jc w:val="center"/>
        <w:rPr>
          <w:rFonts w:ascii="Palatino Linotype" w:hAnsi="Palatino Linotype"/>
          <w:bCs/>
          <w:sz w:val="22"/>
          <w:szCs w:val="22"/>
          <w:lang w:val="nl-NL"/>
        </w:rPr>
      </w:pPr>
    </w:p>
    <w:p w:rsidR="00D74DBC" w:rsidRPr="00D74DBC" w:rsidRDefault="00D74DBC" w:rsidP="00D74DBC">
      <w:pPr>
        <w:jc w:val="both"/>
        <w:rPr>
          <w:rFonts w:ascii="Palatino Linotype" w:hAnsi="Palatino Linotype"/>
          <w:sz w:val="22"/>
          <w:szCs w:val="22"/>
          <w:lang w:val="nl-NL"/>
        </w:rPr>
      </w:pPr>
      <w:r w:rsidRPr="00D74DBC">
        <w:rPr>
          <w:rFonts w:ascii="Palatino Linotype" w:hAnsi="Palatino Linotype"/>
          <w:sz w:val="22"/>
          <w:szCs w:val="22"/>
          <w:lang w:val="nl-NL"/>
        </w:rPr>
        <w:t>De vaste bedragen als bedoeld in de artikelen 4 en 6, eerste lid, onderdeel a, en artikel 7, eerste lid, onderdeel a, alsmede de bedragen als bedoeld in artikel 6, eerste lid, onderdeel b, en artikel 7, eerste lid, onderdeel b, worden vóór 1 januari van het jaar waarop de raming betrekking heeft, door de Bank bekend gemaakt.</w:t>
      </w:r>
    </w:p>
    <w:p w:rsidR="00D74DBC" w:rsidRPr="00D74DBC" w:rsidRDefault="00D74DBC" w:rsidP="00D74DBC">
      <w:pPr>
        <w:ind w:left="360"/>
        <w:jc w:val="both"/>
        <w:rPr>
          <w:rFonts w:ascii="Palatino Linotype" w:hAnsi="Palatino Linotype"/>
          <w:sz w:val="22"/>
          <w:szCs w:val="22"/>
          <w:lang w:val="nl-NL"/>
        </w:rPr>
      </w:pPr>
    </w:p>
    <w:p w:rsidR="00D74DBC" w:rsidRPr="00D74DBC" w:rsidRDefault="00D74DBC" w:rsidP="00D74DBC">
      <w:pPr>
        <w:keepNext/>
        <w:widowControl/>
        <w:jc w:val="center"/>
        <w:outlineLvl w:val="1"/>
        <w:rPr>
          <w:rFonts w:ascii="Palatino Linotype" w:hAnsi="Palatino Linotype"/>
          <w:snapToGrid/>
          <w:sz w:val="22"/>
          <w:szCs w:val="22"/>
          <w:lang w:val="nl-NL"/>
        </w:rPr>
      </w:pPr>
      <w:r w:rsidRPr="00D74DBC">
        <w:rPr>
          <w:rFonts w:ascii="Palatino Linotype" w:hAnsi="Palatino Linotype"/>
          <w:snapToGrid/>
          <w:sz w:val="22"/>
          <w:szCs w:val="22"/>
          <w:lang w:val="nl-NL"/>
        </w:rPr>
        <w:t>Artikel 12</w:t>
      </w:r>
    </w:p>
    <w:p w:rsidR="00D74DBC" w:rsidRPr="00D74DBC" w:rsidRDefault="00D74DBC" w:rsidP="00D74DBC">
      <w:pPr>
        <w:jc w:val="center"/>
        <w:rPr>
          <w:rFonts w:ascii="Palatino Linotype" w:hAnsi="Palatino Linotype"/>
          <w:sz w:val="22"/>
          <w:szCs w:val="22"/>
          <w:lang w:val="nl-NL"/>
        </w:rPr>
      </w:pPr>
      <w:r w:rsidRPr="00D74DBC">
        <w:rPr>
          <w:rFonts w:ascii="Palatino Linotype" w:hAnsi="Palatino Linotype"/>
          <w:sz w:val="22"/>
          <w:szCs w:val="22"/>
          <w:lang w:val="nl-NL"/>
        </w:rPr>
        <w:t>(vervallen)</w:t>
      </w:r>
    </w:p>
    <w:p w:rsidR="00D74DBC" w:rsidRPr="00D74DBC" w:rsidRDefault="00D74DBC" w:rsidP="00D74DBC">
      <w:pPr>
        <w:widowControl/>
        <w:rPr>
          <w:rFonts w:ascii="Palatino Linotype" w:hAnsi="Palatino Linotype"/>
          <w:snapToGrid/>
          <w:sz w:val="22"/>
          <w:szCs w:val="22"/>
          <w:lang w:val="nl-NL"/>
        </w:rPr>
      </w:pPr>
    </w:p>
    <w:p w:rsidR="00D74DBC" w:rsidRPr="00D74DBC" w:rsidRDefault="00D74DBC" w:rsidP="00D74DBC">
      <w:pPr>
        <w:keepNext/>
        <w:widowControl/>
        <w:jc w:val="center"/>
        <w:outlineLvl w:val="1"/>
        <w:rPr>
          <w:rFonts w:ascii="Palatino Linotype" w:hAnsi="Palatino Linotype"/>
          <w:bCs/>
          <w:snapToGrid/>
          <w:sz w:val="22"/>
          <w:szCs w:val="22"/>
          <w:lang w:val="nl-NL"/>
        </w:rPr>
      </w:pPr>
      <w:r w:rsidRPr="00D74DBC">
        <w:rPr>
          <w:rFonts w:ascii="Palatino Linotype" w:hAnsi="Palatino Linotype"/>
          <w:bCs/>
          <w:snapToGrid/>
          <w:sz w:val="22"/>
          <w:szCs w:val="22"/>
          <w:lang w:val="nl-NL"/>
        </w:rPr>
        <w:t>Artikel 13</w:t>
      </w:r>
    </w:p>
    <w:p w:rsidR="00D74DBC" w:rsidRPr="00D74DBC" w:rsidRDefault="00D74DBC" w:rsidP="00D74DBC">
      <w:pPr>
        <w:jc w:val="center"/>
        <w:rPr>
          <w:rFonts w:ascii="Palatino Linotype" w:hAnsi="Palatino Linotype"/>
          <w:bCs/>
          <w:sz w:val="22"/>
          <w:szCs w:val="22"/>
          <w:lang w:val="nl-NL"/>
        </w:rPr>
      </w:pPr>
    </w:p>
    <w:p w:rsidR="00D74DBC" w:rsidRPr="00D74DBC" w:rsidRDefault="00D74DBC" w:rsidP="00D74DBC">
      <w:pPr>
        <w:numPr>
          <w:ilvl w:val="0"/>
          <w:numId w:val="7"/>
        </w:numPr>
        <w:tabs>
          <w:tab w:val="left" w:pos="360"/>
        </w:tabs>
        <w:jc w:val="both"/>
        <w:rPr>
          <w:rFonts w:ascii="Palatino Linotype" w:hAnsi="Palatino Linotype"/>
          <w:sz w:val="22"/>
          <w:szCs w:val="22"/>
          <w:lang w:val="nl-NL"/>
        </w:rPr>
      </w:pPr>
      <w:r w:rsidRPr="00D74DBC">
        <w:rPr>
          <w:rFonts w:ascii="Palatino Linotype" w:hAnsi="Palatino Linotype"/>
          <w:sz w:val="22"/>
          <w:szCs w:val="22"/>
          <w:lang w:val="nl-NL"/>
        </w:rPr>
        <w:t>(vervallen)</w:t>
      </w:r>
    </w:p>
    <w:p w:rsidR="00D74DBC" w:rsidRPr="00D74DBC" w:rsidRDefault="00D74DBC" w:rsidP="00D74DBC">
      <w:pPr>
        <w:numPr>
          <w:ilvl w:val="0"/>
          <w:numId w:val="7"/>
        </w:numPr>
        <w:tabs>
          <w:tab w:val="left" w:pos="360"/>
        </w:tabs>
        <w:jc w:val="both"/>
        <w:rPr>
          <w:rFonts w:ascii="Palatino Linotype" w:hAnsi="Palatino Linotype"/>
          <w:sz w:val="22"/>
          <w:szCs w:val="22"/>
          <w:lang w:val="nl-NL"/>
        </w:rPr>
      </w:pPr>
      <w:r w:rsidRPr="00D74DBC">
        <w:rPr>
          <w:rFonts w:ascii="Palatino Linotype" w:hAnsi="Palatino Linotype"/>
          <w:sz w:val="22"/>
          <w:szCs w:val="22"/>
          <w:lang w:val="nl-NL"/>
        </w:rPr>
        <w:t>Dit besluit kan worden aangehaald als: Landsbesluit kosten toezicht beleggingsinstellingen en administrateurs.</w:t>
      </w:r>
    </w:p>
    <w:p w:rsidR="00D74DBC" w:rsidRPr="00D74DBC" w:rsidRDefault="00D74DBC" w:rsidP="00D74DBC">
      <w:pPr>
        <w:jc w:val="both"/>
        <w:rPr>
          <w:rFonts w:ascii="Palatino Linotype" w:hAnsi="Palatino Linotype"/>
          <w:sz w:val="22"/>
          <w:szCs w:val="22"/>
          <w:lang w:val="nl-NL"/>
        </w:rPr>
      </w:pPr>
    </w:p>
    <w:p w:rsidR="00D74DBC" w:rsidRPr="00D74DBC" w:rsidRDefault="00D74DBC" w:rsidP="00D74DBC">
      <w:pPr>
        <w:jc w:val="center"/>
        <w:rPr>
          <w:rFonts w:ascii="Palatino Linotype" w:hAnsi="Palatino Linotype"/>
          <w:sz w:val="22"/>
          <w:szCs w:val="22"/>
          <w:lang w:val="nl-NL"/>
        </w:rPr>
      </w:pPr>
      <w:r w:rsidRPr="00D74DBC">
        <w:rPr>
          <w:rFonts w:ascii="Palatino Linotype" w:hAnsi="Palatino Linotype"/>
          <w:sz w:val="22"/>
          <w:szCs w:val="22"/>
          <w:lang w:val="nl-NL"/>
        </w:rPr>
        <w:t>***</w:t>
      </w:r>
    </w:p>
    <w:p w:rsidR="00D74DBC" w:rsidRPr="00D74DBC" w:rsidRDefault="00D74DBC" w:rsidP="00D74DBC">
      <w:pPr>
        <w:ind w:left="6480"/>
        <w:rPr>
          <w:rFonts w:ascii="Palatino Linotype" w:hAnsi="Palatino Linotype"/>
          <w:bCs/>
          <w:spacing w:val="-3"/>
          <w:sz w:val="22"/>
          <w:szCs w:val="22"/>
          <w:lang w:val="nl-NL"/>
        </w:rPr>
      </w:pPr>
      <w:r w:rsidRPr="00D74DBC">
        <w:rPr>
          <w:rFonts w:ascii="Palatino Linotype" w:hAnsi="Palatino Linotype"/>
          <w:sz w:val="22"/>
          <w:szCs w:val="22"/>
          <w:lang w:val="nl-NL"/>
        </w:rPr>
        <w:t xml:space="preserve"> </w:t>
      </w:r>
    </w:p>
    <w:p w:rsidR="00331A7B" w:rsidRPr="000A0DBD" w:rsidRDefault="00331A7B" w:rsidP="00331A7B">
      <w:pPr>
        <w:tabs>
          <w:tab w:val="left" w:pos="-720"/>
        </w:tabs>
        <w:suppressAutoHyphens/>
        <w:jc w:val="both"/>
        <w:rPr>
          <w:rFonts w:ascii="Palatino Linotype" w:hAnsi="Palatino Linotype"/>
          <w:bCs/>
          <w:spacing w:val="-3"/>
          <w:sz w:val="22"/>
          <w:szCs w:val="22"/>
          <w:lang w:val="nl-NL"/>
        </w:rPr>
      </w:pPr>
    </w:p>
    <w:p w:rsidR="003D25AC" w:rsidRPr="000A0DBD" w:rsidRDefault="003D25AC">
      <w:pPr>
        <w:tabs>
          <w:tab w:val="left" w:pos="-720"/>
        </w:tabs>
        <w:suppressAutoHyphens/>
        <w:jc w:val="both"/>
        <w:rPr>
          <w:rFonts w:ascii="Palatino Linotype" w:hAnsi="Palatino Linotype"/>
          <w:bCs/>
          <w:spacing w:val="-3"/>
          <w:sz w:val="22"/>
          <w:szCs w:val="22"/>
          <w:lang w:val="nl-NL"/>
        </w:rPr>
      </w:pPr>
    </w:p>
    <w:sectPr w:rsidR="003D25AC" w:rsidRPr="000A0DBD" w:rsidSect="007E3097">
      <w:endnotePr>
        <w:numFmt w:val="decimal"/>
      </w:endnotePr>
      <w:type w:val="continuous"/>
      <w:pgSz w:w="11906" w:h="16838"/>
      <w:pgMar w:top="1962" w:right="1298" w:bottom="958" w:left="1298" w:header="1440" w:footer="958"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DBC" w:rsidRDefault="00D74DBC">
      <w:pPr>
        <w:spacing w:line="20" w:lineRule="exact"/>
      </w:pPr>
    </w:p>
  </w:endnote>
  <w:endnote w:type="continuationSeparator" w:id="0">
    <w:p w:rsidR="00D74DBC" w:rsidRDefault="00D74DBC">
      <w:r>
        <w:t xml:space="preserve"> </w:t>
      </w:r>
    </w:p>
  </w:endnote>
  <w:endnote w:type="continuationNotice" w:id="1">
    <w:p w:rsidR="00D74DBC" w:rsidRDefault="00D74DB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DBC" w:rsidRDefault="00D74DBC">
      <w:r>
        <w:separator/>
      </w:r>
    </w:p>
  </w:footnote>
  <w:footnote w:type="continuationSeparator" w:id="0">
    <w:p w:rsidR="00D74DBC" w:rsidRDefault="00D74DBC">
      <w:r>
        <w:continuationSeparator/>
      </w:r>
    </w:p>
  </w:footnote>
  <w:footnote w:id="1">
    <w:p w:rsidR="00D74DBC" w:rsidRPr="00DB6EFA" w:rsidRDefault="00D74DBC" w:rsidP="00D74DBC">
      <w:pPr>
        <w:pStyle w:val="FootnoteText"/>
        <w:tabs>
          <w:tab w:val="left" w:pos="142"/>
        </w:tabs>
        <w:ind w:left="142" w:hanging="142"/>
        <w:rPr>
          <w:rFonts w:ascii="Palatino Linotype" w:hAnsi="Palatino Linotype"/>
          <w:sz w:val="20"/>
          <w:lang w:val="nl-NL"/>
        </w:rPr>
      </w:pPr>
      <w:r w:rsidRPr="00DB6EFA">
        <w:rPr>
          <w:rStyle w:val="FootnoteReference"/>
          <w:rFonts w:ascii="Palatino Linotype" w:hAnsi="Palatino Linotype"/>
          <w:sz w:val="20"/>
        </w:rPr>
        <w:footnoteRef/>
      </w:r>
      <w:r w:rsidRPr="00DB6EFA">
        <w:rPr>
          <w:rFonts w:ascii="Palatino Linotype" w:hAnsi="Palatino Linotype"/>
          <w:sz w:val="20"/>
          <w:lang w:val="nl-NL"/>
        </w:rPr>
        <w:t xml:space="preserve"> </w:t>
      </w:r>
      <w:r w:rsidRPr="00DB6EFA">
        <w:rPr>
          <w:rFonts w:ascii="Palatino Linotype" w:hAnsi="Palatino Linotype"/>
          <w:sz w:val="20"/>
          <w:lang w:val="nl-NL"/>
        </w:rPr>
        <w:tab/>
        <w:t>Deze regeling heeft met ingang van 10 oktober 2010 de staat van landsbesluit, houdende algemene maatregelen, van Curaçao verkregen.</w:t>
      </w:r>
    </w:p>
  </w:footnote>
  <w:footnote w:id="2">
    <w:p w:rsidR="00D74DBC" w:rsidRPr="00DB6EFA" w:rsidRDefault="00D74DBC" w:rsidP="00D74DBC">
      <w:pPr>
        <w:pStyle w:val="FootnoteText"/>
        <w:tabs>
          <w:tab w:val="left" w:pos="142"/>
        </w:tabs>
        <w:ind w:left="142" w:hanging="142"/>
        <w:rPr>
          <w:rFonts w:ascii="Palatino Linotype" w:hAnsi="Palatino Linotype"/>
          <w:sz w:val="20"/>
        </w:rPr>
      </w:pPr>
      <w:r w:rsidRPr="00DB6EFA">
        <w:rPr>
          <w:rStyle w:val="FootnoteReference"/>
          <w:rFonts w:ascii="Palatino Linotype" w:hAnsi="Palatino Linotype"/>
          <w:sz w:val="20"/>
        </w:rPr>
        <w:footnoteRef/>
      </w:r>
      <w:r w:rsidRPr="00DB6EFA">
        <w:rPr>
          <w:rFonts w:ascii="Palatino Linotype" w:hAnsi="Palatino Linotype"/>
          <w:sz w:val="20"/>
        </w:rPr>
        <w:t xml:space="preserve"> </w:t>
      </w:r>
      <w:r w:rsidRPr="00DB6EFA">
        <w:rPr>
          <w:rFonts w:ascii="Palatino Linotype" w:hAnsi="Palatino Linotype"/>
          <w:sz w:val="20"/>
        </w:rPr>
        <w:tab/>
        <w:t>A.B. 2010, no. 87, bijlage a.</w:t>
      </w:r>
    </w:p>
  </w:footnote>
  <w:footnote w:id="3">
    <w:p w:rsidR="00D74DBC" w:rsidRPr="00DB6EFA" w:rsidRDefault="00D74DBC" w:rsidP="00D74DBC">
      <w:pPr>
        <w:pStyle w:val="FootnoteText"/>
        <w:rPr>
          <w:rFonts w:ascii="Palatino Linotype" w:hAnsi="Palatino Linotype"/>
          <w:sz w:val="20"/>
        </w:rPr>
      </w:pPr>
      <w:r w:rsidRPr="00DB6EFA">
        <w:rPr>
          <w:rStyle w:val="FootnoteReference"/>
          <w:rFonts w:ascii="Palatino Linotype" w:hAnsi="Palatino Linotype"/>
          <w:sz w:val="20"/>
        </w:rPr>
        <w:footnoteRef/>
      </w:r>
      <w:r w:rsidRPr="00DB6EFA">
        <w:rPr>
          <w:rFonts w:ascii="Palatino Linotype" w:hAnsi="Palatino Linotype"/>
          <w:sz w:val="20"/>
        </w:rPr>
        <w:t xml:space="preserve"> </w:t>
      </w:r>
      <w:r>
        <w:rPr>
          <w:rFonts w:ascii="Palatino Linotype" w:hAnsi="Palatino Linotype"/>
          <w:sz w:val="20"/>
        </w:rPr>
        <w:t>P.B. 2003, no. 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D74DBC">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D74DBC">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v:textbox>
              <w10:wrap anchorx="page"/>
            </v:rect>
          </w:pict>
        </mc:Fallback>
      </mc:AlternateContent>
    </w:r>
    <w:r w:rsidR="006725E6">
      <w:rPr>
        <w:rFonts w:ascii="Times New Roman" w:hAnsi="Times New Roman"/>
        <w:b/>
        <w:spacing w:val="-4"/>
        <w:sz w:val="36"/>
      </w:rPr>
      <w:t>--</w:t>
    </w:r>
  </w:p>
  <w:p w:rsidR="003D25AC" w:rsidRDefault="003D25AC">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0254C1">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0254C1">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3D25AC">
      <w:rPr>
        <w:rFonts w:ascii="Times New Roman" w:hAnsi="Times New Roman"/>
        <w:b/>
        <w:spacing w:val="-4"/>
        <w:sz w:val="36"/>
      </w:rPr>
      <w:tab/>
    </w:r>
    <w:r w:rsidR="005D0989">
      <w:rPr>
        <w:rFonts w:ascii="Times New Roman" w:hAnsi="Times New Roman"/>
        <w:b/>
        <w:spacing w:val="-4"/>
        <w:sz w:val="36"/>
      </w:rPr>
      <w:t>11</w:t>
    </w:r>
  </w:p>
  <w:p w:rsidR="003D25AC" w:rsidRDefault="003D25AC">
    <w:pPr>
      <w:tabs>
        <w:tab w:val="right" w:pos="9313"/>
      </w:tabs>
      <w:suppressAutoHyphens/>
      <w:jc w:val="both"/>
      <w:rPr>
        <w:rFonts w:ascii="Times New Roman" w:hAnsi="Times New Roman"/>
        <w:spacing w:val="-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097" w:rsidRDefault="007E3097" w:rsidP="007E3097">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63360" behindDoc="0" locked="0" layoutInCell="0" allowOverlap="1" wp14:anchorId="341B4185" wp14:editId="14AD5A98">
              <wp:simplePos x="0" y="0"/>
              <wp:positionH relativeFrom="page">
                <wp:posOffset>822960</wp:posOffset>
              </wp:positionH>
              <wp:positionV relativeFrom="paragraph">
                <wp:posOffset>0</wp:posOffset>
              </wp:positionV>
              <wp:extent cx="5914390" cy="1524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E3097" w:rsidRDefault="007E3097" w:rsidP="007E3097">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7E3097" w:rsidRDefault="007E3097" w:rsidP="007E3097">
                          <w:pPr>
                            <w:tabs>
                              <w:tab w:val="center" w:pos="4657"/>
                              <w:tab w:val="right" w:pos="9314"/>
                            </w:tabs>
                            <w:rPr>
                              <w:rFonts w:ascii="Times New Roman" w:hAnsi="Times New Roman"/>
                              <w:spacing w:val="-3"/>
                            </w:rPr>
                          </w:pPr>
                        </w:p>
                        <w:p w:rsidR="007E3097" w:rsidRDefault="007E3097" w:rsidP="007E3097">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B4185" id="_x0000_s1028" style="position:absolute;left:0;text-align:left;margin-left:64.8pt;margin-top:0;width:465.7pt;height:1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Bw7JAz4gIAAGUGAAAOAAAAAAAAAAAAAAAA&#10;AC4CAABkcnMvZTJvRG9jLnhtbFBLAQItABQABgAIAAAAIQBlSZnM2wAAAAgBAAAPAAAAAAAAAAAA&#10;AAAAADwFAABkcnMvZG93bnJldi54bWxQSwUGAAAAAAQABADzAAAARAYAAAAA&#10;" o:allowincell="f" filled="f" stroked="f" strokeweight="0">
              <v:textbox inset="0,0,0,0">
                <w:txbxContent>
                  <w:p w:rsidR="007E3097" w:rsidRDefault="007E3097" w:rsidP="007E3097">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7E3097" w:rsidRDefault="007E3097" w:rsidP="007E3097">
                    <w:pPr>
                      <w:tabs>
                        <w:tab w:val="center" w:pos="4657"/>
                        <w:tab w:val="right" w:pos="9314"/>
                      </w:tabs>
                      <w:rPr>
                        <w:rFonts w:ascii="Times New Roman" w:hAnsi="Times New Roman"/>
                        <w:spacing w:val="-3"/>
                      </w:rPr>
                    </w:pPr>
                  </w:p>
                  <w:p w:rsidR="007E3097" w:rsidRDefault="007E3097" w:rsidP="007E3097">
                    <w:pPr>
                      <w:tabs>
                        <w:tab w:val="center" w:pos="4657"/>
                        <w:tab w:val="right" w:pos="9314"/>
                      </w:tabs>
                      <w:rPr>
                        <w:rFonts w:ascii="Times New Roman" w:hAnsi="Times New Roman"/>
                        <w:spacing w:val="-3"/>
                      </w:rPr>
                    </w:pPr>
                  </w:p>
                </w:txbxContent>
              </v:textbox>
              <w10:wrap anchorx="page"/>
            </v:rect>
          </w:pict>
        </mc:Fallback>
      </mc:AlternateContent>
    </w:r>
    <w:r>
      <w:rPr>
        <w:rFonts w:ascii="Times New Roman" w:hAnsi="Times New Roman"/>
        <w:b/>
        <w:spacing w:val="-4"/>
        <w:sz w:val="36"/>
      </w:rPr>
      <w:t>2</w:t>
    </w:r>
    <w:r>
      <w:rPr>
        <w:rFonts w:ascii="Times New Roman" w:hAnsi="Times New Roman"/>
        <w:b/>
        <w:spacing w:val="-4"/>
        <w:sz w:val="36"/>
      </w:rPr>
      <w:t xml:space="preserve"> (GT)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DBC" w:rsidRDefault="007E3097">
    <w:pPr>
      <w:tabs>
        <w:tab w:val="right" w:pos="9313"/>
      </w:tabs>
      <w:suppressAutoHyphens/>
      <w:jc w:val="both"/>
      <w:rPr>
        <w:rFonts w:ascii="Times New Roman" w:hAnsi="Times New Roman"/>
        <w:b/>
        <w:spacing w:val="-4"/>
        <w:sz w:val="36"/>
      </w:rPr>
    </w:pPr>
    <w:r>
      <w:rPr>
        <w:noProof/>
      </w:rPr>
      <w:pict>
        <v:rect id="Rectangle 2" o:spid="_x0000_s2050" style="position:absolute;left:0;text-align:left;margin-left:64.8pt;margin-top:0;width:465.7pt;height:12pt;z-index:2516613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qI4w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" o:allowincell="f" filled="f" stroked="f" strokeweight="0">
          <v:textbox style="mso-next-textbox:#Rectangle 2" inset="0,0,0,0">
            <w:txbxContent>
              <w:p w:rsidR="00D74DBC" w:rsidRDefault="00D74DBC">
                <w:pPr>
                  <w:tabs>
                    <w:tab w:val="center" w:pos="4657"/>
                    <w:tab w:val="right" w:pos="9314"/>
                  </w:tabs>
                  <w:rPr>
                    <w:rFonts w:ascii="Times New Roman" w:hAnsi="Times New Roman"/>
                    <w:spacing w:val="-3"/>
                  </w:rPr>
                </w:pPr>
              </w:p>
            </w:txbxContent>
          </v:textbox>
          <w10:wrap anchorx="page"/>
        </v:rect>
      </w:pict>
    </w:r>
    <w:r w:rsidR="00D74DBC">
      <w:rPr>
        <w:rFonts w:ascii="Times New Roman" w:hAnsi="Times New Roman"/>
        <w:b/>
        <w:spacing w:val="-4"/>
        <w:sz w:val="36"/>
      </w:rPr>
      <w:tab/>
    </w:r>
  </w:p>
  <w:p w:rsidR="00D74DBC" w:rsidRDefault="00D74DBC">
    <w:pPr>
      <w:tabs>
        <w:tab w:val="right" w:pos="9313"/>
      </w:tabs>
      <w:suppressAutoHyphens/>
      <w:jc w:val="both"/>
      <w:rPr>
        <w:rFonts w:ascii="Times New Roman" w:hAnsi="Times New Roman"/>
        <w:spacing w:val="-3"/>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DBC" w:rsidRDefault="00D74DBC">
    <w:pPr>
      <w:pStyle w:val="Header"/>
      <w:jc w:val="center"/>
    </w:pPr>
  </w:p>
  <w:p w:rsidR="00D74DBC" w:rsidRDefault="00D74DB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DBC" w:rsidRPr="007E3097" w:rsidRDefault="007E3097" w:rsidP="007E3097">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67456" behindDoc="0" locked="0" layoutInCell="0" allowOverlap="1" wp14:anchorId="341B4185" wp14:editId="14AD5A98">
              <wp:simplePos x="0" y="0"/>
              <wp:positionH relativeFrom="page">
                <wp:posOffset>822960</wp:posOffset>
              </wp:positionH>
              <wp:positionV relativeFrom="paragraph">
                <wp:posOffset>0</wp:posOffset>
              </wp:positionV>
              <wp:extent cx="5914390" cy="152400"/>
              <wp:effectExtent l="0" t="0" r="0" b="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E3097" w:rsidRDefault="007E3097" w:rsidP="007E3097">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7E3097" w:rsidRDefault="007E3097" w:rsidP="007E3097">
                          <w:pPr>
                            <w:tabs>
                              <w:tab w:val="center" w:pos="4657"/>
                              <w:tab w:val="right" w:pos="9314"/>
                            </w:tabs>
                            <w:rPr>
                              <w:rFonts w:ascii="Times New Roman" w:hAnsi="Times New Roman"/>
                              <w:spacing w:val="-3"/>
                            </w:rPr>
                          </w:pPr>
                        </w:p>
                        <w:p w:rsidR="007E3097" w:rsidRDefault="007E3097" w:rsidP="007E3097">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B4185" id="_x0000_s1029" style="position:absolute;left:0;text-align:left;margin-left:64.8pt;margin-top:0;width:465.7pt;height:1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CorssS4gIAAGUGAAAOAAAAAAAAAAAAAAAA&#10;AC4CAABkcnMvZTJvRG9jLnhtbFBLAQItABQABgAIAAAAIQBlSZnM2wAAAAgBAAAPAAAAAAAAAAAA&#10;AAAAADwFAABkcnMvZG93bnJldi54bWxQSwUGAAAAAAQABADzAAAARAYAAAAA&#10;" o:allowincell="f" filled="f" stroked="f" strokeweight="0">
              <v:textbox inset="0,0,0,0">
                <w:txbxContent>
                  <w:p w:rsidR="007E3097" w:rsidRDefault="007E3097" w:rsidP="007E3097">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7E3097" w:rsidRDefault="007E3097" w:rsidP="007E3097">
                    <w:pPr>
                      <w:tabs>
                        <w:tab w:val="center" w:pos="4657"/>
                        <w:tab w:val="right" w:pos="9314"/>
                      </w:tabs>
                      <w:rPr>
                        <w:rFonts w:ascii="Times New Roman" w:hAnsi="Times New Roman"/>
                        <w:spacing w:val="-3"/>
                      </w:rPr>
                    </w:pPr>
                  </w:p>
                  <w:p w:rsidR="007E3097" w:rsidRDefault="007E3097" w:rsidP="007E3097">
                    <w:pPr>
                      <w:tabs>
                        <w:tab w:val="center" w:pos="4657"/>
                        <w:tab w:val="right" w:pos="9314"/>
                      </w:tabs>
                      <w:rPr>
                        <w:rFonts w:ascii="Times New Roman" w:hAnsi="Times New Roman"/>
                        <w:spacing w:val="-3"/>
                      </w:rPr>
                    </w:pPr>
                  </w:p>
                </w:txbxContent>
              </v:textbox>
              <w10:wrap anchorx="page"/>
            </v:rect>
          </w:pict>
        </mc:Fallback>
      </mc:AlternateContent>
    </w:r>
    <w:r>
      <w:rPr>
        <w:rFonts w:ascii="Times New Roman" w:hAnsi="Times New Roman"/>
        <w:b/>
        <w:spacing w:val="-4"/>
        <w:sz w:val="36"/>
      </w:rPr>
      <w:t>2</w:t>
    </w:r>
    <w:r>
      <w:rPr>
        <w:rFonts w:ascii="Times New Roman" w:hAnsi="Times New Roman"/>
        <w:b/>
        <w:spacing w:val="-4"/>
        <w:sz w:val="36"/>
      </w:rPr>
      <w:t xml:space="preserve"> (GT)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097" w:rsidRDefault="007E3097" w:rsidP="007E3097">
    <w:pPr>
      <w:tabs>
        <w:tab w:val="left" w:pos="-720"/>
      </w:tabs>
      <w:suppressAutoHyphens/>
      <w:jc w:val="right"/>
      <w:rPr>
        <w:rFonts w:ascii="Times New Roman" w:hAnsi="Times New Roman"/>
        <w:b/>
        <w:spacing w:val="-4"/>
        <w:sz w:val="36"/>
      </w:rPr>
    </w:pPr>
    <w:r>
      <w:rPr>
        <w:noProof/>
        <w:snapToGrid/>
      </w:rPr>
      <mc:AlternateContent>
        <mc:Choice Requires="wps">
          <w:drawing>
            <wp:anchor distT="0" distB="0" distL="114300" distR="114300" simplePos="0" relativeHeight="251665408" behindDoc="0" locked="0" layoutInCell="0" allowOverlap="1" wp14:anchorId="341B4185" wp14:editId="14AD5A98">
              <wp:simplePos x="0" y="0"/>
              <wp:positionH relativeFrom="page">
                <wp:posOffset>822960</wp:posOffset>
              </wp:positionH>
              <wp:positionV relativeFrom="paragraph">
                <wp:posOffset>0</wp:posOffset>
              </wp:positionV>
              <wp:extent cx="5914390" cy="152400"/>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E3097" w:rsidRDefault="007E3097" w:rsidP="007E3097">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7E3097" w:rsidRDefault="007E3097" w:rsidP="007E3097">
                          <w:pPr>
                            <w:tabs>
                              <w:tab w:val="center" w:pos="4657"/>
                              <w:tab w:val="right" w:pos="9314"/>
                            </w:tabs>
                            <w:rPr>
                              <w:rFonts w:ascii="Times New Roman" w:hAnsi="Times New Roman"/>
                              <w:spacing w:val="-3"/>
                            </w:rPr>
                          </w:pPr>
                        </w:p>
                        <w:p w:rsidR="007E3097" w:rsidRDefault="007E3097" w:rsidP="007E3097">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B4185" id="_x0000_s1030" style="position:absolute;left:0;text-align:left;margin-left:64.8pt;margin-top:0;width:465.7pt;height:1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BW3ITj4gIAAGUGAAAOAAAAAAAAAAAAAAAA&#10;AC4CAABkcnMvZTJvRG9jLnhtbFBLAQItABQABgAIAAAAIQBlSZnM2wAAAAgBAAAPAAAAAAAAAAAA&#10;AAAAADwFAABkcnMvZG93bnJldi54bWxQSwUGAAAAAAQABADzAAAARAYAAAAA&#10;" o:allowincell="f" filled="f" stroked="f" strokeweight="0">
              <v:textbox inset="0,0,0,0">
                <w:txbxContent>
                  <w:p w:rsidR="007E3097" w:rsidRDefault="007E3097" w:rsidP="007E3097">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7E3097" w:rsidRDefault="007E3097" w:rsidP="007E3097">
                    <w:pPr>
                      <w:tabs>
                        <w:tab w:val="center" w:pos="4657"/>
                        <w:tab w:val="right" w:pos="9314"/>
                      </w:tabs>
                      <w:rPr>
                        <w:rFonts w:ascii="Times New Roman" w:hAnsi="Times New Roman"/>
                        <w:spacing w:val="-3"/>
                      </w:rPr>
                    </w:pPr>
                  </w:p>
                  <w:p w:rsidR="007E3097" w:rsidRDefault="007E3097" w:rsidP="007E3097">
                    <w:pPr>
                      <w:tabs>
                        <w:tab w:val="center" w:pos="4657"/>
                        <w:tab w:val="right" w:pos="9314"/>
                      </w:tabs>
                      <w:rPr>
                        <w:rFonts w:ascii="Times New Roman" w:hAnsi="Times New Roman"/>
                        <w:spacing w:val="-3"/>
                      </w:rPr>
                    </w:pPr>
                  </w:p>
                </w:txbxContent>
              </v:textbox>
              <w10:wrap anchorx="page"/>
            </v:rect>
          </w:pict>
        </mc:Fallback>
      </mc:AlternateContent>
    </w:r>
    <w:r>
      <w:rPr>
        <w:rFonts w:ascii="Times New Roman" w:hAnsi="Times New Roman"/>
        <w:b/>
        <w:spacing w:val="-4"/>
        <w:sz w:val="36"/>
      </w:rPr>
      <w:t>2</w:t>
    </w:r>
    <w:r>
      <w:rPr>
        <w:rFonts w:ascii="Times New Roman" w:hAnsi="Times New Roman"/>
        <w:b/>
        <w:spacing w:val="-4"/>
        <w:sz w:val="36"/>
      </w:rPr>
      <w:t xml:space="preserve"> (GT)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DBC" w:rsidRDefault="00D74DBC" w:rsidP="00E43F6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23333"/>
    <w:multiLevelType w:val="hybridMultilevel"/>
    <w:tmpl w:val="C3820A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8A4D8B"/>
    <w:multiLevelType w:val="hybridMultilevel"/>
    <w:tmpl w:val="DD1E697E"/>
    <w:lvl w:ilvl="0" w:tplc="A78C3B62">
      <w:start w:val="1"/>
      <w:numFmt w:val="decimal"/>
      <w:lvlText w:val="%1."/>
      <w:lvlJc w:val="left"/>
      <w:pPr>
        <w:ind w:left="360" w:hanging="360"/>
      </w:pPr>
      <w:rPr>
        <w:color w:val="auto"/>
      </w:rPr>
    </w:lvl>
    <w:lvl w:ilvl="1" w:tplc="9692FC80">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9625217"/>
    <w:multiLevelType w:val="hybridMultilevel"/>
    <w:tmpl w:val="DD1E697E"/>
    <w:lvl w:ilvl="0" w:tplc="A78C3B62">
      <w:start w:val="1"/>
      <w:numFmt w:val="decimal"/>
      <w:lvlText w:val="%1."/>
      <w:lvlJc w:val="left"/>
      <w:pPr>
        <w:ind w:left="360" w:hanging="360"/>
      </w:pPr>
      <w:rPr>
        <w:color w:val="auto"/>
      </w:rPr>
    </w:lvl>
    <w:lvl w:ilvl="1" w:tplc="9692FC80">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EB1715B"/>
    <w:multiLevelType w:val="hybridMultilevel"/>
    <w:tmpl w:val="01BE2DFC"/>
    <w:lvl w:ilvl="0" w:tplc="04090017">
      <w:start w:val="1"/>
      <w:numFmt w:val="lowerLetter"/>
      <w:lvlText w:val="%1)"/>
      <w:lvlJc w:val="left"/>
      <w:pPr>
        <w:ind w:left="36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63B97C49"/>
    <w:multiLevelType w:val="hybridMultilevel"/>
    <w:tmpl w:val="C3820A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57D437B"/>
    <w:multiLevelType w:val="hybridMultilevel"/>
    <w:tmpl w:val="C3820A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87B6119"/>
    <w:multiLevelType w:val="hybridMultilevel"/>
    <w:tmpl w:val="AB44BA0E"/>
    <w:lvl w:ilvl="0" w:tplc="04090017">
      <w:start w:val="1"/>
      <w:numFmt w:val="lowerLetter"/>
      <w:lvlText w:val="%1)"/>
      <w:lvlJc w:val="left"/>
      <w:pPr>
        <w:ind w:left="720" w:hanging="360"/>
      </w:pPr>
    </w:lvl>
    <w:lvl w:ilvl="1" w:tplc="04090017">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6"/>
  </w:num>
  <w:num w:numId="6">
    <w:abstractNumId w:val="3"/>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DBC"/>
    <w:rsid w:val="0001282E"/>
    <w:rsid w:val="00023DB3"/>
    <w:rsid w:val="000254C1"/>
    <w:rsid w:val="00064039"/>
    <w:rsid w:val="000829F9"/>
    <w:rsid w:val="000A0DBD"/>
    <w:rsid w:val="000B5F25"/>
    <w:rsid w:val="0014186C"/>
    <w:rsid w:val="00173FBA"/>
    <w:rsid w:val="001A7D22"/>
    <w:rsid w:val="001C27B0"/>
    <w:rsid w:val="001C384D"/>
    <w:rsid w:val="00213227"/>
    <w:rsid w:val="00282C3F"/>
    <w:rsid w:val="002B27B9"/>
    <w:rsid w:val="002F0CFE"/>
    <w:rsid w:val="00331A7B"/>
    <w:rsid w:val="00334EF0"/>
    <w:rsid w:val="00390EC1"/>
    <w:rsid w:val="003B694F"/>
    <w:rsid w:val="003C30EB"/>
    <w:rsid w:val="003D1497"/>
    <w:rsid w:val="003D25AC"/>
    <w:rsid w:val="003E6FF3"/>
    <w:rsid w:val="004E29EE"/>
    <w:rsid w:val="004E2C9C"/>
    <w:rsid w:val="004E799B"/>
    <w:rsid w:val="00593143"/>
    <w:rsid w:val="005B7EA9"/>
    <w:rsid w:val="005D0989"/>
    <w:rsid w:val="006147F1"/>
    <w:rsid w:val="006169E6"/>
    <w:rsid w:val="006725E6"/>
    <w:rsid w:val="006C19FE"/>
    <w:rsid w:val="0077299F"/>
    <w:rsid w:val="00781AD6"/>
    <w:rsid w:val="007A6572"/>
    <w:rsid w:val="007C7D7D"/>
    <w:rsid w:val="007D4D73"/>
    <w:rsid w:val="007E3097"/>
    <w:rsid w:val="00831996"/>
    <w:rsid w:val="00853D6F"/>
    <w:rsid w:val="00862E7C"/>
    <w:rsid w:val="00870E7E"/>
    <w:rsid w:val="008A1329"/>
    <w:rsid w:val="008B0FBF"/>
    <w:rsid w:val="008C60C3"/>
    <w:rsid w:val="008D67E9"/>
    <w:rsid w:val="008F676F"/>
    <w:rsid w:val="00910EBB"/>
    <w:rsid w:val="00957572"/>
    <w:rsid w:val="009E45FD"/>
    <w:rsid w:val="00A0173D"/>
    <w:rsid w:val="00AA53B3"/>
    <w:rsid w:val="00AB5809"/>
    <w:rsid w:val="00AC5F65"/>
    <w:rsid w:val="00B14BB9"/>
    <w:rsid w:val="00B41F4D"/>
    <w:rsid w:val="00B42035"/>
    <w:rsid w:val="00B73573"/>
    <w:rsid w:val="00B747D5"/>
    <w:rsid w:val="00B84E49"/>
    <w:rsid w:val="00B920FE"/>
    <w:rsid w:val="00BE36FD"/>
    <w:rsid w:val="00BF3E97"/>
    <w:rsid w:val="00C00533"/>
    <w:rsid w:val="00CC6CA3"/>
    <w:rsid w:val="00CE18CE"/>
    <w:rsid w:val="00CE5C4F"/>
    <w:rsid w:val="00D03575"/>
    <w:rsid w:val="00D03A15"/>
    <w:rsid w:val="00D50DA5"/>
    <w:rsid w:val="00D67282"/>
    <w:rsid w:val="00D74DBC"/>
    <w:rsid w:val="00D95F17"/>
    <w:rsid w:val="00DA4E19"/>
    <w:rsid w:val="00DC4B4C"/>
    <w:rsid w:val="00E42D6B"/>
    <w:rsid w:val="00E60F30"/>
    <w:rsid w:val="00ED69A7"/>
    <w:rsid w:val="00EE4FD2"/>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6DB7E790-0141-430E-9E55-BAEB3457C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paragraph" w:styleId="Heading3">
    <w:name w:val="heading 3"/>
    <w:basedOn w:val="Normal"/>
    <w:next w:val="Normal"/>
    <w:link w:val="Heading3Char"/>
    <w:semiHidden/>
    <w:unhideWhenUsed/>
    <w:qFormat/>
    <w:rsid w:val="00D74DBC"/>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Heading3Char">
    <w:name w:val="Heading 3 Char"/>
    <w:basedOn w:val="DefaultParagraphFont"/>
    <w:link w:val="Heading3"/>
    <w:semiHidden/>
    <w:rsid w:val="00D74DBC"/>
    <w:rPr>
      <w:rFonts w:asciiTheme="majorHAnsi" w:eastAsiaTheme="majorEastAsia" w:hAnsiTheme="majorHAnsi" w:cstheme="majorBidi"/>
      <w:snapToGrid w:val="0"/>
      <w:color w:val="1F4D78" w:themeColor="accent1" w:themeShade="7F"/>
      <w:sz w:val="24"/>
      <w:szCs w:val="24"/>
    </w:rPr>
  </w:style>
  <w:style w:type="character" w:customStyle="1" w:styleId="HeaderChar">
    <w:name w:val="Header Char"/>
    <w:link w:val="Header"/>
    <w:uiPriority w:val="99"/>
    <w:rsid w:val="00D74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80D1A-6036-4F10-9601-F54715129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Publicatieblad</Template>
  <TotalTime>0</TotalTime>
  <Pages>4</Pages>
  <Words>956</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AZ Stage 5</dc:creator>
  <cp:keywords/>
  <cp:lastModifiedBy>Djurick Comenentia</cp:lastModifiedBy>
  <cp:revision>2</cp:revision>
  <cp:lastPrinted>2020-01-02T17:18:00Z</cp:lastPrinted>
  <dcterms:created xsi:type="dcterms:W3CDTF">2020-01-02T21:24:00Z</dcterms:created>
  <dcterms:modified xsi:type="dcterms:W3CDTF">2020-01-02T21:24:00Z</dcterms:modified>
</cp:coreProperties>
</file>