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C63D67">
        <w:rPr>
          <w:b/>
          <w:sz w:val="36"/>
          <w:szCs w:val="36"/>
          <w:lang w:val="nl-NL"/>
        </w:rPr>
        <w:t>1</w:t>
      </w:r>
      <w:r w:rsidR="00CE27F3">
        <w:rPr>
          <w:b/>
          <w:sz w:val="36"/>
          <w:szCs w:val="36"/>
          <w:lang w:val="nl-NL"/>
        </w:rPr>
        <w:t>50</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63D67" w:rsidRPr="00C63D67" w:rsidRDefault="001D525D" w:rsidP="00C55A5E">
      <w:pPr>
        <w:pStyle w:val="HoofdtekstA"/>
        <w:jc w:val="both"/>
        <w:rPr>
          <w:rFonts w:ascii="Palatino Linotype" w:hAnsi="Palatino Linotype"/>
          <w:b/>
        </w:rPr>
      </w:pPr>
      <w:r w:rsidRPr="001D525D">
        <w:rPr>
          <w:rFonts w:ascii="Palatino Linotype" w:hAnsi="Palatino Linotype"/>
          <w:b/>
        </w:rPr>
        <w:t xml:space="preserve">MINISTERIËLE BESCHIKKING van de </w:t>
      </w:r>
      <w:r>
        <w:rPr>
          <w:rFonts w:ascii="Palatino Linotype" w:hAnsi="Palatino Linotype"/>
          <w:b/>
        </w:rPr>
        <w:t>1</w:t>
      </w:r>
      <w:r w:rsidR="00CE27F3">
        <w:rPr>
          <w:rFonts w:ascii="Palatino Linotype" w:hAnsi="Palatino Linotype"/>
          <w:b/>
        </w:rPr>
        <w:t>7</w:t>
      </w:r>
      <w:r w:rsidRPr="001D525D">
        <w:rPr>
          <w:rFonts w:ascii="Palatino Linotype" w:hAnsi="Palatino Linotype"/>
          <w:b/>
          <w:vertAlign w:val="superscript"/>
        </w:rPr>
        <w:t>de</w:t>
      </w:r>
      <w:r>
        <w:rPr>
          <w:rFonts w:ascii="Palatino Linotype" w:hAnsi="Palatino Linotype"/>
          <w:b/>
        </w:rPr>
        <w:t xml:space="preserve"> december 2020 </w:t>
      </w:r>
      <w:r w:rsidR="00C55A5E">
        <w:rPr>
          <w:rFonts w:ascii="Palatino Linotype" w:hAnsi="Palatino Linotype"/>
          <w:b/>
        </w:rPr>
        <w:t xml:space="preserve">ter uitvoering van </w:t>
      </w:r>
      <w:r w:rsidR="00C55A5E" w:rsidRPr="00C55A5E">
        <w:rPr>
          <w:rFonts w:ascii="Palatino Linotype" w:hAnsi="Palatino Linotype"/>
          <w:b/>
        </w:rPr>
        <w:t>artikel 4</w:t>
      </w:r>
      <w:r w:rsidR="00C55A5E" w:rsidRPr="00C55A5E">
        <w:rPr>
          <w:rFonts w:ascii="Palatino Linotype" w:eastAsia="Palatino Linotype" w:hAnsi="Palatino Linotype" w:cs="Palatino Linotype"/>
        </w:rPr>
        <w:t xml:space="preserve"> </w:t>
      </w:r>
      <w:r w:rsidR="00C55A5E">
        <w:rPr>
          <w:rFonts w:ascii="Palatino Linotype" w:hAnsi="Palatino Linotype"/>
          <w:b/>
        </w:rPr>
        <w:t>tweede lid, onderdeel c,</w:t>
      </w:r>
      <w:r w:rsidR="00C55A5E" w:rsidRPr="00C55A5E">
        <w:rPr>
          <w:rFonts w:ascii="Palatino Linotype" w:hAnsi="Palatino Linotype"/>
          <w:b/>
        </w:rPr>
        <w:t xml:space="preserve"> van </w:t>
      </w:r>
      <w:r w:rsidR="00C55A5E">
        <w:rPr>
          <w:rFonts w:ascii="Palatino Linotype" w:hAnsi="Palatino Linotype"/>
          <w:b/>
        </w:rPr>
        <w:t xml:space="preserve">de </w:t>
      </w:r>
      <w:r w:rsidR="00C55A5E" w:rsidRPr="00C55A5E">
        <w:rPr>
          <w:rFonts w:ascii="Palatino Linotype" w:hAnsi="Palatino Linotype"/>
          <w:b/>
        </w:rPr>
        <w:t>Tijdelijke regeling maatregelen uitzonderingstoestand COVID-19 pandemie</w:t>
      </w:r>
      <w:r w:rsidR="00C63D67" w:rsidRPr="00C63D67">
        <w:rPr>
          <w:rFonts w:ascii="Palatino Linotype" w:hAnsi="Palatino Linotype"/>
          <w:b/>
          <w:vertAlign w:val="superscript"/>
        </w:rPr>
        <w:footnoteReference w:id="1"/>
      </w:r>
      <w:r w:rsidR="00C55A5E">
        <w:rPr>
          <w:rFonts w:ascii="Palatino Linotype" w:hAnsi="Palatino Linotype"/>
          <w:b/>
        </w:rPr>
        <w:t xml:space="preserve"> (</w:t>
      </w:r>
      <w:r w:rsidR="00C55A5E" w:rsidRPr="00C55A5E">
        <w:rPr>
          <w:rFonts w:ascii="Palatino Linotype" w:hAnsi="Palatino Linotype"/>
          <w:b/>
        </w:rPr>
        <w:t>Beschikking vrijstelling en ontheffing avondklok COVID-19</w:t>
      </w:r>
      <w:r w:rsidR="00C55A5E">
        <w:rPr>
          <w:rFonts w:ascii="Palatino Linotype" w:hAnsi="Palatino Linotype"/>
          <w:b/>
        </w:rPr>
        <w:t>)</w:t>
      </w:r>
    </w:p>
    <w:p w:rsidR="006B4862" w:rsidRPr="006B4862" w:rsidRDefault="006B4862" w:rsidP="006B4862">
      <w:pPr>
        <w:pStyle w:val="HoofdtekstA"/>
        <w:rPr>
          <w:rFonts w:ascii="Palatino Linotype" w:hAnsi="Palatino Linotype"/>
          <w:b/>
        </w:rPr>
      </w:pP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Pr="00C55A5E" w:rsidRDefault="00C55A5E" w:rsidP="00C037EF">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C55A5E" w:rsidRPr="00C55A5E" w:rsidRDefault="00C55A5E" w:rsidP="00C55A5E">
      <w:pPr>
        <w:pStyle w:val="HoofdtekstA"/>
        <w:jc w:val="both"/>
        <w:rPr>
          <w:rFonts w:ascii="Palatino Linotype" w:eastAsia="Palatino Linotype" w:hAnsi="Palatino Linotype" w:cs="Palatino Linotype"/>
        </w:rPr>
      </w:pPr>
      <w:bookmarkStart w:id="0" w:name="_Hlk35753309"/>
      <w:r w:rsidRPr="00C55A5E">
        <w:rPr>
          <w:rFonts w:ascii="Palatino Linotype" w:eastAsia="Palatino Linotype" w:hAnsi="Palatino Linotype" w:cs="Palatino Linotype"/>
        </w:rPr>
        <w:t>dat op grond van artikel 2 van de Lei Estado di Emergensia</w:t>
      </w:r>
      <w:r w:rsidRPr="00C55A5E">
        <w:rPr>
          <w:rFonts w:ascii="Palatino Linotype" w:eastAsia="Palatino Linotype" w:hAnsi="Palatino Linotype" w:cs="Palatino Linotype"/>
          <w:vertAlign w:val="superscript"/>
        </w:rPr>
        <w:footnoteReference w:id="2"/>
      </w:r>
      <w:r w:rsidRPr="00C55A5E">
        <w:rPr>
          <w:rFonts w:ascii="Palatino Linotype" w:eastAsia="Palatino Linotype" w:hAnsi="Palatino Linotype" w:cs="Palatino Linotype"/>
        </w:rPr>
        <w:t>, bij Landsbesluit afkondiging uitzonderingstoestand COVID-19 pandemie</w:t>
      </w:r>
      <w:r w:rsidRPr="00C55A5E">
        <w:rPr>
          <w:rFonts w:ascii="Palatino Linotype" w:eastAsia="Palatino Linotype" w:hAnsi="Palatino Linotype" w:cs="Palatino Linotype"/>
          <w:vertAlign w:val="superscript"/>
        </w:rPr>
        <w:footnoteReference w:id="3"/>
      </w:r>
      <w:r w:rsidRPr="00C55A5E">
        <w:rPr>
          <w:rFonts w:ascii="Palatino Linotype" w:eastAsia="Palatino Linotype" w:hAnsi="Palatino Linotype" w:cs="Palatino Linotype"/>
        </w:rPr>
        <w:t xml:space="preserve"> de uitzonderingstoestand voor het Land Curaçao voor een periode van 90 dagen is afgekondigd in verband met de COVID-19 pandemie wegens de redenen in de considerans van dat landsbesluit vermeld; </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onder andere de artikelen 11, eerste lid, onderdeel b en 27 van de Lei Estado di Emergensia in verband met de buitengewone omstandigheid COVID-19 pandemie in werking zijn gesteld;</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met toepassing van artikel 11, eerste lid, onderdeel b, de avondklok tussen 21:00 uur en 04:30 uur is geïntroduceerd;</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op grond van artikel 11, vijfde en zesde lid van de Lei Estado di Emergensia een uitzondering geldt op de daarin opgenomen organen, organisaties, instellingen en personen;</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in artikel 4 van de Tijdelijke regeling maatregelen uitzonderingstoestand COVID-19 pandemie de nadere regels zijn gesteld met betrekking tot de avondklok;</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 xml:space="preserve">dat de Minister van Algemene Zaken conform het tweede lid, onderdeel c, van voormeld artikel tevens personen of groepen van personen vrijstelling of ontheffing kan verlenen van het verbod, bedoeld in het eerst lid van artikel 4 van Tijdelijke regeling maatregelen uitzonderingstoestand COVID-19 pandemie; </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de Minister van Algemene Zaken het noodzakelijk acht voornoemde vrijstelling en ontheffing te verlenen aan personen die voor een onderneming of organisatie vitale functies of processen vervullen die urgent kunnen zijn tijdens de avondklok;</w:t>
      </w:r>
    </w:p>
    <w:p w:rsidR="00C55A5E" w:rsidRPr="00C55A5E" w:rsidRDefault="00C55A5E" w:rsidP="00C55A5E">
      <w:pPr>
        <w:pStyle w:val="HoofdtekstA"/>
        <w:jc w:val="both"/>
        <w:rPr>
          <w:rFonts w:ascii="Palatino Linotype" w:eastAsia="Palatino Linotype" w:hAnsi="Palatino Linotype" w:cs="Palatino Linotype"/>
        </w:rPr>
      </w:pPr>
    </w:p>
    <w:p w:rsidR="00C55A5E" w:rsidRPr="00C55A5E" w:rsidRDefault="00C55A5E" w:rsidP="00C55A5E">
      <w:pPr>
        <w:pStyle w:val="HoofdtekstA"/>
        <w:jc w:val="both"/>
        <w:rPr>
          <w:rFonts w:ascii="Palatino Linotype" w:eastAsia="Palatino Linotype" w:hAnsi="Palatino Linotype" w:cs="Palatino Linotype"/>
        </w:rPr>
      </w:pPr>
      <w:r w:rsidRPr="00C55A5E">
        <w:rPr>
          <w:rFonts w:ascii="Palatino Linotype" w:eastAsia="Palatino Linotype" w:hAnsi="Palatino Linotype" w:cs="Palatino Linotype"/>
        </w:rPr>
        <w:t>dat het om efficiëntieredenen voor de Minister van Algemene Zaken wenselijk is om tevens zijn bevoegdheid te (onder)mandateren;</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A43C90" w:rsidRDefault="00C037EF" w:rsidP="0019239D">
      <w:pPr>
        <w:pStyle w:val="NoSpacing"/>
        <w:rPr>
          <w:rFonts w:eastAsia="Palatino Linotype"/>
          <w:lang w:val="es-419"/>
        </w:rPr>
      </w:pP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es-ES"/>
        </w:rPr>
      </w:pPr>
      <w:proofErr w:type="spellStart"/>
      <w:r w:rsidRPr="00C55A5E">
        <w:rPr>
          <w:rFonts w:ascii="Palatino Linotype" w:eastAsia="Palatino Linotype" w:hAnsi="Palatino Linotype" w:cs="Palatino Linotype"/>
          <w:snapToGrid/>
          <w:sz w:val="22"/>
          <w:szCs w:val="22"/>
          <w:lang w:val="es-ES"/>
        </w:rPr>
        <w:t>Artikel</w:t>
      </w:r>
      <w:proofErr w:type="spellEnd"/>
      <w:r w:rsidRPr="00C55A5E">
        <w:rPr>
          <w:rFonts w:ascii="Palatino Linotype" w:eastAsia="Palatino Linotype" w:hAnsi="Palatino Linotype" w:cs="Palatino Linotype"/>
          <w:snapToGrid/>
          <w:sz w:val="22"/>
          <w:szCs w:val="22"/>
          <w:lang w:val="es-ES"/>
        </w:rPr>
        <w:t xml:space="preserve"> 1</w:t>
      </w:r>
    </w:p>
    <w:p w:rsidR="00C55A5E" w:rsidRPr="00C55A5E" w:rsidRDefault="00C55A5E" w:rsidP="00C55A5E">
      <w:pPr>
        <w:widowControl/>
        <w:pBdr>
          <w:top w:val="nil"/>
          <w:left w:val="nil"/>
          <w:bottom w:val="nil"/>
          <w:right w:val="nil"/>
          <w:between w:val="nil"/>
        </w:pBdr>
        <w:ind w:left="284" w:hanging="284"/>
        <w:jc w:val="both"/>
        <w:rPr>
          <w:rFonts w:ascii="Times New Roman" w:hAnsi="Times New Roman"/>
          <w:snapToGrid/>
          <w:color w:val="000000"/>
          <w:szCs w:val="24"/>
          <w:lang w:val="es-ES"/>
        </w:rPr>
      </w:pPr>
    </w:p>
    <w:p w:rsidR="00C55A5E" w:rsidRPr="00C55A5E" w:rsidRDefault="00C55A5E" w:rsidP="00C55A5E">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Van het verbod in artikel 4, eerste lid, van de Tijdelijke regeling maatregelen uitzonderingstoestand COVID-19 pandemie is de volgende categorie vrijgesteld: </w:t>
      </w:r>
    </w:p>
    <w:p w:rsidR="00C55A5E" w:rsidRPr="00C55A5E" w:rsidRDefault="00C55A5E" w:rsidP="00C55A5E">
      <w:pPr>
        <w:widowControl/>
        <w:numPr>
          <w:ilvl w:val="0"/>
          <w:numId w:val="8"/>
        </w:numPr>
        <w:pBdr>
          <w:top w:val="nil"/>
          <w:left w:val="nil"/>
          <w:bottom w:val="nil"/>
          <w:right w:val="nil"/>
          <w:between w:val="nil"/>
        </w:pBdr>
        <w:ind w:left="567"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de medewerkers, de beveiligingsfunctionarissen en chauffeurs van een functionaris als bedoeld in artikel 11, vijfde lid van de Lei Estado di Emergensia, in de uitoefening van hun functie, met dien verstande dat wordt aanbevolen enkel de essentiële ondersteunende medewerkers in het kader van de uitoefening van de functie, in te zetten. </w:t>
      </w:r>
    </w:p>
    <w:p w:rsidR="00C55A5E" w:rsidRPr="00C55A5E" w:rsidRDefault="00C55A5E" w:rsidP="00C55A5E">
      <w:pPr>
        <w:widowControl/>
        <w:numPr>
          <w:ilvl w:val="0"/>
          <w:numId w:val="8"/>
        </w:numPr>
        <w:pBdr>
          <w:top w:val="nil"/>
          <w:left w:val="nil"/>
          <w:bottom w:val="nil"/>
          <w:right w:val="nil"/>
          <w:between w:val="nil"/>
        </w:pBdr>
        <w:ind w:left="567"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personen in dienst van ziekenhuizen, verzorgingstehuizen, Korps Politie Curaçao, Recherche Samenwerkingsteam, Defensie, Koninklijke Marechaussee, Kustwacht Caribisch Gebied, Vrijwilligers Korps Curaçao, Brandweer Curaçao in de uitoefening van hun functie; </w:t>
      </w:r>
    </w:p>
    <w:p w:rsidR="00C55A5E" w:rsidRPr="00C55A5E" w:rsidRDefault="00C55A5E" w:rsidP="00C55A5E">
      <w:pPr>
        <w:widowControl/>
        <w:numPr>
          <w:ilvl w:val="0"/>
          <w:numId w:val="8"/>
        </w:numPr>
        <w:pBdr>
          <w:top w:val="nil"/>
          <w:left w:val="nil"/>
          <w:bottom w:val="nil"/>
          <w:right w:val="nil"/>
          <w:between w:val="nil"/>
        </w:pBdr>
        <w:ind w:left="567"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personen die zich naar of van een medische zorginstelling of een apotheek met avond- en nachtdienst begeven, vanwege een spoedeisende reden; </w:t>
      </w:r>
    </w:p>
    <w:p w:rsidR="00C55A5E" w:rsidRPr="00C55A5E" w:rsidRDefault="00C55A5E" w:rsidP="00C55A5E">
      <w:pPr>
        <w:widowControl/>
        <w:numPr>
          <w:ilvl w:val="0"/>
          <w:numId w:val="8"/>
        </w:numPr>
        <w:pBdr>
          <w:top w:val="nil"/>
          <w:left w:val="nil"/>
          <w:bottom w:val="nil"/>
          <w:right w:val="nil"/>
          <w:between w:val="nil"/>
        </w:pBdr>
        <w:ind w:left="567"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personen die belast zijn met de zorg van een of meer hulpbehoevende personen en die van en naar de hulpbehoevende(n) moeten bewegen voor het uitvoeren van een zorgtaak die aantoonbaar niet tot na 04:30 uur kan worden uitgesteld.</w:t>
      </w:r>
    </w:p>
    <w:p w:rsidR="00C55A5E" w:rsidRPr="00C55A5E" w:rsidRDefault="00C55A5E" w:rsidP="00C55A5E">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Van het verbod in artikel 4, eerste lid, van de Tijdelijke regeling maatregelen uitzonderingstoestand COVID-19 pandemie is de volgende categorie ontheven: personen die bedrijfsmatig- of beroepsmatig voor zichzelf, voor een onderneming of een organisatie één van de in bijlage 1 bij deze beschikking genoemde vitale functies of processen vervullen, voor zover zij in het kader van de uitoefening van hun functie zich op route naar of van hun werkplek begeven of zich bevinden, en voor de uitoefening van de functie of de uitvoering van het proces geen uitstel mogelijk is en zij hiertoe door of namens de Minister van Algemene Zaken over een geldige ontheffingsbrief beschikken. </w:t>
      </w:r>
    </w:p>
    <w:p w:rsidR="00C55A5E" w:rsidRPr="00C55A5E" w:rsidRDefault="00C55A5E" w:rsidP="00C55A5E">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De personen, als bedoeld in het eerste en tweede lid, tonen een geldig identiteitsbewijs op eerste verzoek van een opsporingsambtenaar en geven desgevraagd voldoende aannemelijk aan, dat zij vallen onder de categorieën, genoemd in het eerste of tweede lid.</w:t>
      </w:r>
    </w:p>
    <w:p w:rsidR="00C55A5E" w:rsidRPr="00C55A5E" w:rsidRDefault="00C55A5E" w:rsidP="00C55A5E">
      <w:pPr>
        <w:widowControl/>
        <w:numPr>
          <w:ilvl w:val="0"/>
          <w:numId w:val="7"/>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De personen, ondernemingen of organisaties, als bedoeld in het tweede lid, dragen ervoor zorg dat zij en hun werknemers de geldige ontheffingsbrief bij zich dragen, waaruit blijkt dat zij zich voor het uitvoeren van werkzaamheden zijn ontheven van het verbod in artikel 4, eerste lid van de Tijdelijke regeling maatregelen uitzonderingstoestand COVID-19 pandemie. </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19239D" w:rsidRDefault="0019239D">
      <w:pPr>
        <w:widowControl/>
        <w:rPr>
          <w:rFonts w:ascii="Palatino Linotype" w:eastAsia="Palatino Linotype" w:hAnsi="Palatino Linotype" w:cs="Palatino Linotype"/>
          <w:snapToGrid/>
          <w:sz w:val="22"/>
          <w:szCs w:val="22"/>
          <w:lang w:val="nl-NL"/>
        </w:rPr>
      </w:pPr>
      <w:r>
        <w:rPr>
          <w:rFonts w:ascii="Palatino Linotype" w:eastAsia="Palatino Linotype" w:hAnsi="Palatino Linotype" w:cs="Palatino Linotype"/>
          <w:snapToGrid/>
          <w:sz w:val="22"/>
          <w:szCs w:val="22"/>
          <w:lang w:val="nl-NL"/>
        </w:rPr>
        <w:br w:type="page"/>
      </w: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lastRenderedPageBreak/>
        <w:t>Artikel 2</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19239D">
      <w:pPr>
        <w:widowControl/>
        <w:numPr>
          <w:ilvl w:val="0"/>
          <w:numId w:val="5"/>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De directeur van de Directie Risicobeheersing en Rampenbeleid, hierna: de directeur, is gemandateerd om te beslissen op verzoeken voor ontheffing, als bedoeld in artikel 1, tweede lid.</w:t>
      </w:r>
    </w:p>
    <w:p w:rsidR="00C55A5E" w:rsidRPr="00C55A5E" w:rsidRDefault="00C55A5E" w:rsidP="00C55A5E">
      <w:pPr>
        <w:widowControl/>
        <w:numPr>
          <w:ilvl w:val="0"/>
          <w:numId w:val="5"/>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Indien een krachtens mandaat te nemen beschikking belangrijke politieke, bestuurlijke of maatschappelijke gevolgen kan hebben of anderszins van bijzonder belang is, draagt de directeur zorg voor voorafgaande afstemming met de Minister van Algemene Zaken.</w:t>
      </w:r>
    </w:p>
    <w:p w:rsidR="00C55A5E" w:rsidRPr="00C55A5E" w:rsidRDefault="00C55A5E" w:rsidP="00C55A5E">
      <w:pPr>
        <w:widowControl/>
        <w:numPr>
          <w:ilvl w:val="0"/>
          <w:numId w:val="5"/>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In de ondertekening van beschikkingen die onder het mandaat vallen, wordt tot uitdrukking gebracht dat de beschikking wordt genomen namens de Minister van Algemene Zaken.</w:t>
      </w:r>
    </w:p>
    <w:p w:rsidR="00C55A5E" w:rsidRPr="00C55A5E" w:rsidRDefault="00C55A5E" w:rsidP="00C55A5E">
      <w:pPr>
        <w:widowControl/>
        <w:numPr>
          <w:ilvl w:val="0"/>
          <w:numId w:val="5"/>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 xml:space="preserve">De mandatering laat onverlet dat de minister bevoegd blijft zelf te beslissen dan wel de taken uit te oefenen. </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Artikel 3</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numPr>
          <w:ilvl w:val="0"/>
          <w:numId w:val="6"/>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De directeur kan de bevoegdheden genoemd in artikel 2 eerste lid, na melding aan de Minister van Algemene Zaken, ondermandateren aan personen die onder zijn verantwoordelijkheid werkzaam zijn.</w:t>
      </w:r>
      <w:r w:rsidRPr="00C55A5E">
        <w:rPr>
          <w:rFonts w:ascii="Verdana" w:eastAsia="Verdana" w:hAnsi="Verdana" w:cs="Verdana"/>
          <w:snapToGrid/>
          <w:color w:val="000000"/>
          <w:sz w:val="17"/>
          <w:szCs w:val="17"/>
          <w:highlight w:val="white"/>
          <w:lang w:val="nl-NL"/>
        </w:rPr>
        <w:t xml:space="preserve"> </w:t>
      </w:r>
      <w:r w:rsidRPr="00C55A5E">
        <w:rPr>
          <w:rFonts w:ascii="Palatino Linotype" w:eastAsia="Palatino Linotype" w:hAnsi="Palatino Linotype" w:cs="Palatino Linotype"/>
          <w:snapToGrid/>
          <w:color w:val="000000"/>
          <w:sz w:val="22"/>
          <w:szCs w:val="22"/>
          <w:lang w:val="nl-NL"/>
        </w:rPr>
        <w:t>Ter zake het verlenen van ondermandaat gelden alle bepalingen die ten aanzien van mandaat in, dan wel op grond van deze beschikking zijn of worden vastgesteld.</w:t>
      </w:r>
    </w:p>
    <w:p w:rsidR="00C55A5E" w:rsidRPr="00C55A5E" w:rsidRDefault="00C55A5E" w:rsidP="00C55A5E">
      <w:pPr>
        <w:widowControl/>
        <w:numPr>
          <w:ilvl w:val="0"/>
          <w:numId w:val="6"/>
        </w:numPr>
        <w:pBdr>
          <w:top w:val="nil"/>
          <w:left w:val="nil"/>
          <w:bottom w:val="nil"/>
          <w:right w:val="nil"/>
          <w:between w:val="nil"/>
        </w:pBdr>
        <w:ind w:left="284" w:hanging="284"/>
        <w:jc w:val="both"/>
        <w:rPr>
          <w:rFonts w:ascii="Palatino Linotype" w:eastAsia="Palatino Linotype" w:hAnsi="Palatino Linotype" w:cs="Palatino Linotype"/>
          <w:snapToGrid/>
          <w:color w:val="000000"/>
          <w:sz w:val="22"/>
          <w:szCs w:val="22"/>
          <w:lang w:val="nl-NL"/>
        </w:rPr>
      </w:pPr>
      <w:r w:rsidRPr="00C55A5E">
        <w:rPr>
          <w:rFonts w:ascii="Palatino Linotype" w:eastAsia="Palatino Linotype" w:hAnsi="Palatino Linotype" w:cs="Palatino Linotype"/>
          <w:snapToGrid/>
          <w:color w:val="000000"/>
          <w:sz w:val="22"/>
          <w:szCs w:val="22"/>
          <w:lang w:val="nl-NL"/>
        </w:rPr>
        <w:t>De directeur legt verantwoording af over de uitoefening van de gemandateerde bevoegdheden c.q. de uitgevoerde taken.</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Artikel 4</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Deze beschikking treedt in werking met ingang van de datum van dagtekening ervan.</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Artikel 5</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Deze beschikking wordt bekendgemaakt in het Publicatieblad.</w:t>
      </w:r>
    </w:p>
    <w:p w:rsidR="00C55A5E" w:rsidRPr="00C55A5E" w:rsidRDefault="00C55A5E" w:rsidP="00C55A5E">
      <w:pPr>
        <w:widowControl/>
        <w:ind w:left="284" w:hanging="284"/>
        <w:jc w:val="both"/>
        <w:rPr>
          <w:rFonts w:ascii="Palatino Linotype" w:eastAsia="Palatino Linotype" w:hAnsi="Palatino Linotype" w:cs="Palatino Linotype"/>
          <w:snapToGrid/>
          <w:sz w:val="22"/>
          <w:szCs w:val="22"/>
          <w:lang w:val="nl-NL"/>
        </w:rPr>
      </w:pPr>
    </w:p>
    <w:p w:rsidR="00C55A5E" w:rsidRDefault="00C55A5E" w:rsidP="00C55A5E">
      <w:pPr>
        <w:widowControl/>
        <w:ind w:left="284" w:hanging="284"/>
        <w:jc w:val="center"/>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Artikel 6</w:t>
      </w:r>
    </w:p>
    <w:p w:rsidR="00C55A5E" w:rsidRPr="00C55A5E" w:rsidRDefault="00C55A5E" w:rsidP="00C55A5E">
      <w:pPr>
        <w:widowControl/>
        <w:ind w:left="284" w:hanging="284"/>
        <w:jc w:val="center"/>
        <w:rPr>
          <w:rFonts w:ascii="Palatino Linotype" w:eastAsia="Palatino Linotype" w:hAnsi="Palatino Linotype" w:cs="Palatino Linotype"/>
          <w:snapToGrid/>
          <w:sz w:val="22"/>
          <w:szCs w:val="22"/>
          <w:lang w:val="nl-NL"/>
        </w:rPr>
      </w:pPr>
    </w:p>
    <w:p w:rsidR="00C55A5E" w:rsidRPr="00C55A5E" w:rsidRDefault="00C55A5E" w:rsidP="00C55A5E">
      <w:pPr>
        <w:widowControl/>
        <w:jc w:val="both"/>
        <w:rPr>
          <w:rFonts w:ascii="Palatino Linotype" w:eastAsia="Palatino Linotype" w:hAnsi="Palatino Linotype" w:cs="Palatino Linotype"/>
          <w:snapToGrid/>
          <w:sz w:val="22"/>
          <w:szCs w:val="22"/>
          <w:lang w:val="nl-NL"/>
        </w:rPr>
      </w:pPr>
      <w:r w:rsidRPr="00C55A5E">
        <w:rPr>
          <w:rFonts w:ascii="Palatino Linotype" w:eastAsia="Palatino Linotype" w:hAnsi="Palatino Linotype" w:cs="Palatino Linotype"/>
          <w:snapToGrid/>
          <w:sz w:val="22"/>
          <w:szCs w:val="22"/>
          <w:lang w:val="nl-NL"/>
        </w:rPr>
        <w:t>Deze beschikking wordt aangehaald als: Beschikking vrijstelling en ontheffing avondklok COVID-19.</w:t>
      </w: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1D525D">
        <w:rPr>
          <w:rFonts w:ascii="Palatino Linotype" w:eastAsia="Palatino Linotype" w:hAnsi="Palatino Linotype" w:cs="Palatino Linotype"/>
        </w:rPr>
        <w:t>1</w:t>
      </w:r>
      <w:r w:rsidR="00C55A5E">
        <w:rPr>
          <w:rFonts w:ascii="Palatino Linotype" w:eastAsia="Palatino Linotype" w:hAnsi="Palatino Linotype" w:cs="Palatino Linotype"/>
        </w:rPr>
        <w:t xml:space="preserve">7 </w:t>
      </w:r>
      <w:r w:rsidR="001D525D">
        <w:rPr>
          <w:rFonts w:ascii="Palatino Linotype" w:eastAsia="Palatino Linotype" w:hAnsi="Palatino Linotype" w:cs="Palatino Linotype"/>
        </w:rPr>
        <w:t>december</w:t>
      </w:r>
      <w:r w:rsidR="00815012" w:rsidRPr="00815012">
        <w:rPr>
          <w:rFonts w:ascii="Palatino Linotype" w:eastAsia="Palatino Linotype" w:hAnsi="Palatino Linotype" w:cs="Palatino Linotype"/>
        </w:rPr>
        <w:t xml:space="preserve"> 2020</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0D2F17" w:rsidRDefault="00C55A5E" w:rsidP="0019239D">
      <w:pPr>
        <w:pStyle w:val="HoofdtekstA"/>
        <w:spacing w:after="160" w:line="259" w:lineRule="auto"/>
        <w:ind w:left="4536"/>
        <w:jc w:val="both"/>
        <w:rPr>
          <w:rFonts w:ascii="Palatino Linotype" w:eastAsia="Palatino Linotype" w:hAnsi="Palatino Linotype" w:cs="Palatino Linotype"/>
        </w:rPr>
      </w:pPr>
      <w:r>
        <w:rPr>
          <w:rFonts w:ascii="Palatino Linotype" w:eastAsia="Palatino Linotype" w:hAnsi="Palatino Linotype" w:cs="Palatino Linotype"/>
        </w:rPr>
        <w:tab/>
      </w:r>
      <w:r w:rsidR="0019239D">
        <w:rPr>
          <w:rFonts w:ascii="Palatino Linotype" w:eastAsia="Palatino Linotype" w:hAnsi="Palatino Linotype" w:cs="Palatino Linotype"/>
        </w:rPr>
        <w:t xml:space="preserve">        </w:t>
      </w:r>
      <w:r w:rsidRPr="00C55A5E">
        <w:rPr>
          <w:rFonts w:ascii="Palatino Linotype" w:eastAsia="Palatino Linotype" w:hAnsi="Palatino Linotype" w:cs="Palatino Linotype"/>
        </w:rPr>
        <w:t>E. P. RHUGGENAATH</w:t>
      </w: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0D2F17">
        <w:rPr>
          <w:rFonts w:ascii="Palatino Linotype" w:eastAsia="Palatino Linotype" w:hAnsi="Palatino Linotype" w:cs="Palatino Linotype"/>
        </w:rPr>
        <w:t>1</w:t>
      </w:r>
      <w:r w:rsidR="00C55A5E">
        <w:rPr>
          <w:rFonts w:ascii="Palatino Linotype" w:eastAsia="Palatino Linotype" w:hAnsi="Palatino Linotype" w:cs="Palatino Linotype"/>
        </w:rPr>
        <w:t>7</w:t>
      </w:r>
      <w:r w:rsidR="00C63D67" w:rsidRPr="00C63D67">
        <w:rPr>
          <w:rFonts w:ascii="Palatino Linotype" w:eastAsia="Palatino Linotype" w:hAnsi="Palatino Linotype" w:cs="Palatino Linotype"/>
          <w:vertAlign w:val="superscript"/>
        </w:rPr>
        <w:t>de</w:t>
      </w:r>
      <w:r w:rsidR="00C63D67">
        <w:rPr>
          <w:rFonts w:ascii="Palatino Linotype" w:eastAsia="Palatino Linotype" w:hAnsi="Palatino Linotype" w:cs="Palatino Linotype"/>
        </w:rPr>
        <w:t xml:space="preserve"> </w:t>
      </w:r>
      <w:r w:rsidR="001D525D">
        <w:rPr>
          <w:rFonts w:ascii="Palatino Linotype" w:eastAsia="Palatino Linotype" w:hAnsi="Palatino Linotype" w:cs="Palatino Linotype"/>
        </w:rPr>
        <w:t>decem</w:t>
      </w:r>
      <w:r w:rsidR="00C63D67">
        <w:rPr>
          <w:rFonts w:ascii="Palatino Linotype" w:eastAsia="Palatino Linotype" w:hAnsi="Palatino Linotype" w:cs="Palatino Linotype"/>
        </w:rPr>
        <w:t>ber</w:t>
      </w:r>
      <w:r w:rsidR="00815012" w:rsidRPr="00EE4787">
        <w:rPr>
          <w:rFonts w:ascii="Palatino Linotype" w:eastAsia="Palatino Linotype" w:hAnsi="Palatino Linotype" w:cs="Palatino Linotype"/>
        </w:rPr>
        <w:t xml:space="preserve"> </w:t>
      </w:r>
      <w:r w:rsidR="00625B19">
        <w:rPr>
          <w:rFonts w:ascii="Palatino Linotype" w:eastAsia="Palatino Linotype" w:hAnsi="Palatino Linotype" w:cs="Palatino Linotype"/>
        </w:rPr>
        <w:t xml:space="preserve">2020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19239D"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rsidR="00022D76" w:rsidRDefault="00022D76" w:rsidP="00022D76">
      <w:pPr>
        <w:rPr>
          <w:rFonts w:asciiTheme="minorHAnsi" w:eastAsiaTheme="minorHAnsi" w:hAnsiTheme="minorHAnsi" w:cstheme="minorBidi"/>
          <w:sz w:val="22"/>
          <w:szCs w:val="22"/>
          <w:lang w:val="nl-NL"/>
        </w:rPr>
      </w:pPr>
    </w:p>
    <w:p w:rsidR="00C55A5E" w:rsidRPr="0019239D" w:rsidRDefault="00C55A5E" w:rsidP="00C55A5E">
      <w:pPr>
        <w:jc w:val="both"/>
        <w:rPr>
          <w:rFonts w:ascii="Palatino Linotype" w:eastAsia="Palatino Linotype" w:hAnsi="Palatino Linotype" w:cs="Palatino Linotype"/>
          <w:b/>
          <w:sz w:val="22"/>
          <w:lang w:val="nl-NL"/>
        </w:rPr>
      </w:pPr>
      <w:r w:rsidRPr="0019239D">
        <w:rPr>
          <w:rFonts w:ascii="Palatino Linotype" w:eastAsia="Palatino Linotype" w:hAnsi="Palatino Linotype" w:cs="Palatino Linotype"/>
          <w:b/>
          <w:sz w:val="22"/>
          <w:lang w:val="nl-NL"/>
        </w:rPr>
        <w:t xml:space="preserve">BIJLAGE 1 </w:t>
      </w:r>
      <w:r w:rsidRPr="0019239D">
        <w:rPr>
          <w:rFonts w:ascii="Palatino Linotype" w:eastAsia="Palatino Linotype" w:hAnsi="Palatino Linotype" w:cs="Palatino Linotype"/>
          <w:b/>
          <w:sz w:val="22"/>
          <w:lang w:val="nl-NL"/>
        </w:rPr>
        <w:t xml:space="preserve">behorende </w:t>
      </w:r>
      <w:r w:rsidRPr="0019239D">
        <w:rPr>
          <w:rFonts w:ascii="Palatino Linotype" w:eastAsia="Palatino Linotype" w:hAnsi="Palatino Linotype" w:cs="Palatino Linotype"/>
          <w:b/>
          <w:sz w:val="22"/>
          <w:lang w:val="nl-NL"/>
        </w:rPr>
        <w:t>bij de Beschikking vrijstelling en ontheffing avondklok COVID-19</w:t>
      </w:r>
    </w:p>
    <w:p w:rsidR="00C55A5E" w:rsidRPr="00C55A5E" w:rsidRDefault="00C55A5E" w:rsidP="00C55A5E">
      <w:pPr>
        <w:jc w:val="both"/>
        <w:rPr>
          <w:rFonts w:ascii="Palatino Linotype" w:eastAsia="Palatino Linotype" w:hAnsi="Palatino Linotype" w:cs="Palatino Linotype"/>
          <w:sz w:val="22"/>
          <w:lang w:val="nl-NL"/>
        </w:rPr>
      </w:pPr>
    </w:p>
    <w:p w:rsidR="0019239D" w:rsidRDefault="00C55A5E" w:rsidP="00C55A5E">
      <w:pPr>
        <w:jc w:val="center"/>
        <w:rPr>
          <w:rFonts w:ascii="Palatino Linotype" w:eastAsia="Palatino Linotype" w:hAnsi="Palatino Linotype" w:cs="Palatino Linotype"/>
          <w:sz w:val="22"/>
          <w:lang w:val="nl-NL"/>
        </w:rPr>
      </w:pPr>
      <w:r w:rsidRPr="00C55A5E">
        <w:rPr>
          <w:rFonts w:ascii="Palatino Linotype" w:eastAsia="Palatino Linotype" w:hAnsi="Palatino Linotype" w:cs="Palatino Linotype"/>
          <w:sz w:val="22"/>
          <w:lang w:val="nl-NL"/>
        </w:rPr>
        <w:t xml:space="preserve">VITALE FUNCTIES EN PROCESSEN DIE NOODZAKELIJK </w:t>
      </w:r>
    </w:p>
    <w:p w:rsidR="00C55A5E" w:rsidRPr="00C55A5E" w:rsidRDefault="00C55A5E" w:rsidP="00C55A5E">
      <w:pPr>
        <w:jc w:val="center"/>
        <w:rPr>
          <w:rFonts w:ascii="Palatino Linotype" w:eastAsia="Palatino Linotype" w:hAnsi="Palatino Linotype" w:cs="Palatino Linotype"/>
          <w:sz w:val="22"/>
          <w:lang w:val="nl-NL"/>
        </w:rPr>
      </w:pPr>
      <w:bookmarkStart w:id="1" w:name="_GoBack"/>
      <w:bookmarkEnd w:id="1"/>
      <w:r w:rsidRPr="00C55A5E">
        <w:rPr>
          <w:rFonts w:ascii="Palatino Linotype" w:eastAsia="Palatino Linotype" w:hAnsi="Palatino Linotype" w:cs="Palatino Linotype"/>
          <w:sz w:val="22"/>
          <w:lang w:val="nl-NL"/>
        </w:rPr>
        <w:t>EN URGENT KUNNEN ZIJN TIJDENS DE AVONDKLOK</w:t>
      </w:r>
    </w:p>
    <w:p w:rsidR="00C55A5E" w:rsidRPr="00C55A5E" w:rsidRDefault="00C55A5E" w:rsidP="00C55A5E">
      <w:pPr>
        <w:ind w:left="426" w:hanging="426"/>
        <w:jc w:val="both"/>
        <w:rPr>
          <w:rFonts w:ascii="Palatino Linotype" w:eastAsia="Palatino Linotype" w:hAnsi="Palatino Linotype" w:cs="Palatino Linotype"/>
          <w:sz w:val="22"/>
          <w:lang w:val="nl-NL"/>
        </w:rPr>
      </w:pP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 xml:space="preserve">Essentiële zorg en dienstdoende apotheek en (dieren)artsen; </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Begrafenisondernemingen in het kader van ophalen van lijken;</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Personen belast met handhaving van de openbare orde en opsporing en Politiearts;</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Toezichthouders</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Piketdiensten</w:t>
      </w:r>
      <w:proofErr w:type="spellEnd"/>
      <w:r w:rsidRPr="00C55A5E">
        <w:rPr>
          <w:rFonts w:ascii="Palatino Linotype" w:eastAsia="Palatino Linotype" w:hAnsi="Palatino Linotype" w:cs="Palatino Linotype"/>
          <w:color w:val="000000"/>
          <w:sz w:val="22"/>
        </w:rPr>
        <w:t xml:space="preserve">; </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Gerechtsambtenaren</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0"/>
          <w:numId w:val="10"/>
        </w:numPr>
        <w:pBdr>
          <w:top w:val="nil"/>
          <w:left w:val="nil"/>
          <w:bottom w:val="nil"/>
          <w:right w:val="nil"/>
          <w:between w:val="nil"/>
        </w:pBdr>
        <w:spacing w:line="259"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Kritische functies bij de vertegenwoordiging van derde landen op Curaçao (Consuls);</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Gevangeniswezen en andere justitiële inrichtingen;</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Particuliere</w:t>
      </w:r>
      <w:proofErr w:type="spellEnd"/>
      <w:r w:rsidRPr="00C55A5E">
        <w:rPr>
          <w:rFonts w:ascii="Palatino Linotype" w:eastAsia="Palatino Linotype" w:hAnsi="Palatino Linotype" w:cs="Palatino Linotype"/>
          <w:color w:val="000000"/>
          <w:sz w:val="22"/>
        </w:rPr>
        <w:t xml:space="preserve"> </w:t>
      </w:r>
      <w:proofErr w:type="spellStart"/>
      <w:r w:rsidRPr="00C55A5E">
        <w:rPr>
          <w:rFonts w:ascii="Palatino Linotype" w:eastAsia="Palatino Linotype" w:hAnsi="Palatino Linotype" w:cs="Palatino Linotype"/>
          <w:color w:val="000000"/>
          <w:sz w:val="22"/>
        </w:rPr>
        <w:t>beveiligings</w:t>
      </w:r>
      <w:proofErr w:type="spellEnd"/>
      <w:r w:rsidRPr="00C55A5E">
        <w:rPr>
          <w:rFonts w:ascii="Palatino Linotype" w:eastAsia="Palatino Linotype" w:hAnsi="Palatino Linotype" w:cs="Palatino Linotype"/>
          <w:color w:val="000000"/>
          <w:sz w:val="22"/>
        </w:rPr>
        <w:t xml:space="preserve">- en </w:t>
      </w:r>
      <w:proofErr w:type="spellStart"/>
      <w:r w:rsidRPr="00C55A5E">
        <w:rPr>
          <w:rFonts w:ascii="Palatino Linotype" w:eastAsia="Palatino Linotype" w:hAnsi="Palatino Linotype" w:cs="Palatino Linotype"/>
          <w:color w:val="000000"/>
          <w:sz w:val="22"/>
        </w:rPr>
        <w:t>bewakingsbedrijven</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Luchthaven</w:t>
      </w:r>
      <w:proofErr w:type="spellEnd"/>
      <w:r w:rsidRPr="00C55A5E">
        <w:rPr>
          <w:rFonts w:ascii="Palatino Linotype" w:eastAsia="Palatino Linotype" w:hAnsi="Palatino Linotype" w:cs="Palatino Linotype"/>
          <w:color w:val="000000"/>
          <w:sz w:val="22"/>
        </w:rPr>
        <w:t xml:space="preserve">, </w:t>
      </w:r>
      <w:proofErr w:type="spellStart"/>
      <w:r w:rsidRPr="00C55A5E">
        <w:rPr>
          <w:rFonts w:ascii="Palatino Linotype" w:eastAsia="Palatino Linotype" w:hAnsi="Palatino Linotype" w:cs="Palatino Linotype"/>
          <w:color w:val="000000"/>
          <w:sz w:val="22"/>
        </w:rPr>
        <w:t>luchtverkeersleiding</w:t>
      </w:r>
      <w:proofErr w:type="spellEnd"/>
      <w:r w:rsidRPr="00C55A5E">
        <w:rPr>
          <w:rFonts w:ascii="Palatino Linotype" w:eastAsia="Palatino Linotype" w:hAnsi="Palatino Linotype" w:cs="Palatino Linotype"/>
          <w:color w:val="000000"/>
          <w:sz w:val="22"/>
        </w:rPr>
        <w:t xml:space="preserve"> en </w:t>
      </w:r>
      <w:proofErr w:type="spellStart"/>
      <w:r w:rsidRPr="00C55A5E">
        <w:rPr>
          <w:rFonts w:ascii="Palatino Linotype" w:eastAsia="Palatino Linotype" w:hAnsi="Palatino Linotype" w:cs="Palatino Linotype"/>
          <w:color w:val="000000"/>
          <w:sz w:val="22"/>
        </w:rPr>
        <w:t>luchtverkeersveiligheid</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Meteorologische</w:t>
      </w:r>
      <w:proofErr w:type="spellEnd"/>
      <w:r w:rsidRPr="00C55A5E">
        <w:rPr>
          <w:rFonts w:ascii="Palatino Linotype" w:eastAsia="Palatino Linotype" w:hAnsi="Palatino Linotype" w:cs="Palatino Linotype"/>
          <w:color w:val="000000"/>
          <w:sz w:val="22"/>
        </w:rPr>
        <w:t xml:space="preserve"> </w:t>
      </w:r>
      <w:proofErr w:type="spellStart"/>
      <w:r w:rsidRPr="00C55A5E">
        <w:rPr>
          <w:rFonts w:ascii="Palatino Linotype" w:eastAsia="Palatino Linotype" w:hAnsi="Palatino Linotype" w:cs="Palatino Linotype"/>
          <w:color w:val="000000"/>
          <w:sz w:val="22"/>
        </w:rPr>
        <w:t>dienst</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Havens, loodsdiensten, havenveiligheidsinspectie en havenstaatcontrole;</w:t>
      </w:r>
    </w:p>
    <w:p w:rsidR="00C55A5E" w:rsidRPr="00C55A5E" w:rsidRDefault="00C55A5E" w:rsidP="00C55A5E">
      <w:pPr>
        <w:widowControl/>
        <w:numPr>
          <w:ilvl w:val="0"/>
          <w:numId w:val="10"/>
        </w:numPr>
        <w:pBdr>
          <w:top w:val="nil"/>
          <w:left w:val="nil"/>
          <w:bottom w:val="nil"/>
          <w:right w:val="nil"/>
          <w:between w:val="nil"/>
        </w:pBdr>
        <w:tabs>
          <w:tab w:val="left" w:pos="284"/>
        </w:tabs>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Productie, opslag, transport en distributie van brandstoffen (geraffineerde producten);</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Productie en distributie van water en elektriciteit;</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Journalistieke</w:t>
      </w:r>
      <w:proofErr w:type="spellEnd"/>
      <w:r w:rsidRPr="00C55A5E">
        <w:rPr>
          <w:rFonts w:ascii="Palatino Linotype" w:eastAsia="Palatino Linotype" w:hAnsi="Palatino Linotype" w:cs="Palatino Linotype"/>
          <w:color w:val="000000"/>
          <w:sz w:val="22"/>
        </w:rPr>
        <w:t xml:space="preserve"> media;</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 xml:space="preserve">Telecommunicatie, waaronder radiocommunicatie, internet en datadiensten; </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Schoonmaakbedrijven met buitengewone werktijden ten behoeve van vitale functies en processen;</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Reparatiewerkzaamheden aan de openbare infrastructuur;</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lang w:val="nl-NL"/>
        </w:rPr>
      </w:pPr>
      <w:r w:rsidRPr="00C55A5E">
        <w:rPr>
          <w:rFonts w:ascii="Palatino Linotype" w:eastAsia="Palatino Linotype" w:hAnsi="Palatino Linotype" w:cs="Palatino Linotype"/>
          <w:color w:val="000000"/>
          <w:sz w:val="22"/>
          <w:lang w:val="nl-NL"/>
        </w:rPr>
        <w:t>Banken en andere noodzakelijke financieel administratieve dienstverlening;</w:t>
      </w:r>
    </w:p>
    <w:p w:rsidR="00C55A5E" w:rsidRPr="00C55A5E" w:rsidRDefault="00C55A5E" w:rsidP="00C55A5E">
      <w:pPr>
        <w:widowControl/>
        <w:numPr>
          <w:ilvl w:val="0"/>
          <w:numId w:val="10"/>
        </w:numPr>
        <w:pBdr>
          <w:top w:val="nil"/>
          <w:left w:val="nil"/>
          <w:bottom w:val="nil"/>
          <w:right w:val="nil"/>
          <w:between w:val="nil"/>
        </w:pBdr>
        <w:spacing w:line="276" w:lineRule="auto"/>
        <w:ind w:left="426" w:hanging="426"/>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Continuïteit</w:t>
      </w:r>
      <w:proofErr w:type="spellEnd"/>
      <w:r w:rsidRPr="00C55A5E">
        <w:rPr>
          <w:rFonts w:ascii="Palatino Linotype" w:eastAsia="Palatino Linotype" w:hAnsi="Palatino Linotype" w:cs="Palatino Linotype"/>
          <w:color w:val="000000"/>
          <w:sz w:val="22"/>
        </w:rPr>
        <w:t xml:space="preserve"> </w:t>
      </w:r>
      <w:proofErr w:type="spellStart"/>
      <w:r w:rsidRPr="00C55A5E">
        <w:rPr>
          <w:rFonts w:ascii="Palatino Linotype" w:eastAsia="Palatino Linotype" w:hAnsi="Palatino Linotype" w:cs="Palatino Linotype"/>
          <w:color w:val="000000"/>
          <w:sz w:val="22"/>
        </w:rPr>
        <w:t>hulpverleningsdiensten</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1"/>
          <w:numId w:val="9"/>
        </w:numPr>
        <w:pBdr>
          <w:top w:val="nil"/>
          <w:left w:val="nil"/>
          <w:bottom w:val="nil"/>
          <w:right w:val="nil"/>
          <w:between w:val="nil"/>
        </w:pBdr>
        <w:spacing w:line="276" w:lineRule="auto"/>
        <w:ind w:left="709" w:hanging="283"/>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Meldkamerprocessen</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1"/>
          <w:numId w:val="9"/>
        </w:numPr>
        <w:pBdr>
          <w:top w:val="nil"/>
          <w:left w:val="nil"/>
          <w:bottom w:val="nil"/>
          <w:right w:val="nil"/>
          <w:between w:val="nil"/>
        </w:pBdr>
        <w:spacing w:line="276" w:lineRule="auto"/>
        <w:ind w:left="709" w:hanging="283"/>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Ambulancezorg</w:t>
      </w:r>
      <w:proofErr w:type="spellEnd"/>
      <w:r w:rsidRPr="00C55A5E">
        <w:rPr>
          <w:rFonts w:ascii="Palatino Linotype" w:eastAsia="Palatino Linotype" w:hAnsi="Palatino Linotype" w:cs="Palatino Linotype"/>
          <w:color w:val="000000"/>
          <w:sz w:val="22"/>
        </w:rPr>
        <w:t>;</w:t>
      </w:r>
    </w:p>
    <w:p w:rsidR="00C55A5E" w:rsidRPr="00C55A5E" w:rsidRDefault="00C55A5E" w:rsidP="00C55A5E">
      <w:pPr>
        <w:widowControl/>
        <w:numPr>
          <w:ilvl w:val="1"/>
          <w:numId w:val="9"/>
        </w:numPr>
        <w:pBdr>
          <w:top w:val="nil"/>
          <w:left w:val="nil"/>
          <w:bottom w:val="nil"/>
          <w:right w:val="nil"/>
          <w:between w:val="nil"/>
        </w:pBdr>
        <w:spacing w:line="276" w:lineRule="auto"/>
        <w:ind w:left="709" w:hanging="283"/>
        <w:jc w:val="both"/>
        <w:rPr>
          <w:rFonts w:ascii="Palatino Linotype" w:eastAsia="Palatino Linotype" w:hAnsi="Palatino Linotype" w:cs="Palatino Linotype"/>
          <w:color w:val="000000"/>
          <w:sz w:val="22"/>
        </w:rPr>
      </w:pPr>
      <w:proofErr w:type="spellStart"/>
      <w:r w:rsidRPr="00C55A5E">
        <w:rPr>
          <w:rFonts w:ascii="Palatino Linotype" w:eastAsia="Palatino Linotype" w:hAnsi="Palatino Linotype" w:cs="Palatino Linotype"/>
          <w:color w:val="000000"/>
          <w:sz w:val="22"/>
        </w:rPr>
        <w:t>Crisisbeheersing</w:t>
      </w:r>
      <w:proofErr w:type="spellEnd"/>
      <w:r w:rsidRPr="00C55A5E">
        <w:rPr>
          <w:rFonts w:ascii="Palatino Linotype" w:eastAsia="Palatino Linotype" w:hAnsi="Palatino Linotype" w:cs="Palatino Linotype"/>
          <w:color w:val="000000"/>
          <w:sz w:val="22"/>
        </w:rPr>
        <w:t xml:space="preserve"> en </w:t>
      </w:r>
      <w:proofErr w:type="spellStart"/>
      <w:r w:rsidRPr="00C55A5E">
        <w:rPr>
          <w:rFonts w:ascii="Palatino Linotype" w:eastAsia="Palatino Linotype" w:hAnsi="Palatino Linotype" w:cs="Palatino Linotype"/>
          <w:color w:val="000000"/>
          <w:sz w:val="22"/>
        </w:rPr>
        <w:t>rampenbestrijding</w:t>
      </w:r>
      <w:proofErr w:type="spellEnd"/>
      <w:r w:rsidRPr="00C55A5E">
        <w:rPr>
          <w:rFonts w:ascii="Palatino Linotype" w:eastAsia="Palatino Linotype" w:hAnsi="Palatino Linotype" w:cs="Palatino Linotype"/>
          <w:color w:val="000000"/>
          <w:sz w:val="22"/>
        </w:rPr>
        <w:t>.</w:t>
      </w:r>
    </w:p>
    <w:p w:rsidR="00E65B06" w:rsidRDefault="00E65B06" w:rsidP="00E65B06">
      <w:pPr>
        <w:tabs>
          <w:tab w:val="left" w:pos="-720"/>
          <w:tab w:val="left" w:pos="3195"/>
        </w:tabs>
        <w:suppressAutoHyphens/>
        <w:jc w:val="both"/>
        <w:rPr>
          <w:rFonts w:ascii="Palatino Linotype" w:hAnsi="Palatino Linotype"/>
          <w:sz w:val="22"/>
          <w:szCs w:val="22"/>
          <w:lang w:val="nl-NL"/>
        </w:rPr>
      </w:pPr>
    </w:p>
    <w:sectPr w:rsidR="00E65B06" w:rsidSect="00C55A5E">
      <w:headerReference w:type="even" r:id="rId9"/>
      <w:headerReference w:type="default" r:id="rId10"/>
      <w:endnotePr>
        <w:numFmt w:val="decimal"/>
      </w:endnotePr>
      <w:type w:val="continuous"/>
      <w:pgSz w:w="11906" w:h="16838"/>
      <w:pgMar w:top="1440" w:right="1440" w:bottom="1440" w:left="1440" w:header="1440" w:footer="9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19" w:rsidRDefault="00A82419">
      <w:pPr>
        <w:spacing w:line="20" w:lineRule="exact"/>
      </w:pPr>
    </w:p>
  </w:endnote>
  <w:endnote w:type="continuationSeparator" w:id="0">
    <w:p w:rsidR="00A82419" w:rsidRDefault="00A82419">
      <w:r>
        <w:t xml:space="preserve"> </w:t>
      </w:r>
    </w:p>
  </w:endnote>
  <w:endnote w:type="continuationNotice" w:id="1">
    <w:p w:rsidR="00A82419" w:rsidRDefault="00A824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19" w:rsidRDefault="00A82419">
      <w:r>
        <w:separator/>
      </w:r>
    </w:p>
  </w:footnote>
  <w:footnote w:type="continuationSeparator" w:id="0">
    <w:p w:rsidR="00A82419" w:rsidRDefault="00A82419">
      <w:r>
        <w:continuationSeparator/>
      </w:r>
    </w:p>
  </w:footnote>
  <w:footnote w:id="1">
    <w:p w:rsidR="00C63D67" w:rsidRPr="00C55A5E" w:rsidRDefault="00C63D67" w:rsidP="00C63D67">
      <w:pPr>
        <w:pStyle w:val="FootnoteText"/>
        <w:rPr>
          <w:rFonts w:ascii="Palatino Linotype" w:hAnsi="Palatino Linotype"/>
          <w:sz w:val="18"/>
          <w:szCs w:val="18"/>
        </w:rPr>
      </w:pPr>
      <w:r w:rsidRPr="00C55A5E">
        <w:rPr>
          <w:rStyle w:val="FootnoteReference"/>
          <w:rFonts w:ascii="Palatino Linotype" w:hAnsi="Palatino Linotype"/>
          <w:sz w:val="18"/>
          <w:szCs w:val="18"/>
        </w:rPr>
        <w:footnoteRef/>
      </w:r>
      <w:r w:rsidRPr="00C55A5E">
        <w:rPr>
          <w:rFonts w:ascii="Palatino Linotype" w:hAnsi="Palatino Linotype"/>
          <w:sz w:val="18"/>
          <w:szCs w:val="18"/>
        </w:rPr>
        <w:t xml:space="preserve"> P.B. 2020, no. </w:t>
      </w:r>
      <w:r w:rsidR="00C55A5E" w:rsidRPr="00C55A5E">
        <w:rPr>
          <w:rFonts w:ascii="Palatino Linotype" w:hAnsi="Palatino Linotype"/>
          <w:sz w:val="18"/>
          <w:szCs w:val="18"/>
        </w:rPr>
        <w:t>143.</w:t>
      </w:r>
    </w:p>
  </w:footnote>
  <w:footnote w:id="2">
    <w:p w:rsidR="00C55A5E" w:rsidRPr="00C55A5E" w:rsidRDefault="00C55A5E" w:rsidP="00C55A5E">
      <w:pPr>
        <w:pBdr>
          <w:top w:val="nil"/>
          <w:left w:val="nil"/>
          <w:bottom w:val="nil"/>
          <w:right w:val="nil"/>
          <w:between w:val="nil"/>
        </w:pBdr>
        <w:rPr>
          <w:rFonts w:ascii="Palatino Linotype" w:hAnsi="Palatino Linotype"/>
          <w:color w:val="000000"/>
          <w:sz w:val="18"/>
          <w:szCs w:val="18"/>
          <w:lang w:val="es-ES"/>
        </w:rPr>
      </w:pPr>
      <w:r w:rsidRPr="00C55A5E">
        <w:rPr>
          <w:rFonts w:ascii="Palatino Linotype" w:hAnsi="Palatino Linotype"/>
          <w:sz w:val="18"/>
          <w:szCs w:val="18"/>
          <w:vertAlign w:val="superscript"/>
        </w:rPr>
        <w:footnoteRef/>
      </w:r>
      <w:r w:rsidRPr="00C55A5E">
        <w:rPr>
          <w:rFonts w:ascii="Palatino Linotype" w:hAnsi="Palatino Linotype"/>
          <w:color w:val="000000"/>
          <w:sz w:val="18"/>
          <w:szCs w:val="18"/>
          <w:lang w:val="es-ES"/>
        </w:rPr>
        <w:t xml:space="preserve"> P.B. 2020, no. 136.</w:t>
      </w:r>
    </w:p>
  </w:footnote>
  <w:footnote w:id="3">
    <w:p w:rsidR="00C55A5E" w:rsidRPr="00C55A5E" w:rsidRDefault="00C55A5E" w:rsidP="00C55A5E">
      <w:pPr>
        <w:pBdr>
          <w:top w:val="nil"/>
          <w:left w:val="nil"/>
          <w:bottom w:val="nil"/>
          <w:right w:val="nil"/>
          <w:between w:val="nil"/>
        </w:pBdr>
        <w:rPr>
          <w:rFonts w:ascii="Palatino Linotype" w:hAnsi="Palatino Linotype"/>
          <w:color w:val="000000"/>
          <w:sz w:val="18"/>
          <w:szCs w:val="18"/>
          <w:lang w:val="es-ES"/>
        </w:rPr>
      </w:pPr>
      <w:r w:rsidRPr="00C55A5E">
        <w:rPr>
          <w:rFonts w:ascii="Palatino Linotype" w:hAnsi="Palatino Linotype"/>
          <w:sz w:val="18"/>
          <w:szCs w:val="18"/>
          <w:vertAlign w:val="superscript"/>
        </w:rPr>
        <w:footnoteRef/>
      </w:r>
      <w:r w:rsidRPr="00C55A5E">
        <w:rPr>
          <w:rFonts w:ascii="Palatino Linotype" w:hAnsi="Palatino Linotype"/>
          <w:color w:val="000000"/>
          <w:sz w:val="18"/>
          <w:szCs w:val="18"/>
          <w:lang w:val="es-ES"/>
        </w:rPr>
        <w:t xml:space="preserve"> P.B. 2020, no 141.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33612A" w:rsidP="0033612A">
    <w:pPr>
      <w:tabs>
        <w:tab w:val="left" w:pos="-720"/>
        <w:tab w:val="right" w:pos="9310"/>
      </w:tabs>
      <w:suppressAutoHyphens/>
      <w:jc w:val="both"/>
      <w:rPr>
        <w:rFonts w:ascii="Times New Roman" w:hAnsi="Times New Roman"/>
        <w:spacing w:val="-3"/>
      </w:rPr>
    </w:pPr>
    <w:r>
      <w:rPr>
        <w:rFonts w:ascii="Times New Roman" w:hAnsi="Times New Roman"/>
        <w:b/>
        <w:spacing w:val="-4"/>
        <w:sz w:val="36"/>
      </w:rPr>
      <w:t>1</w:t>
    </w:r>
    <w:r w:rsidR="00022D76">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CE27F3">
      <w:rPr>
        <w:rFonts w:ascii="Times New Roman" w:hAnsi="Times New Roman"/>
        <w:b/>
        <w:spacing w:val="-4"/>
        <w:sz w:val="36"/>
      </w:rPr>
      <w:t>50</w:t>
    </w:r>
    <w:r>
      <w:rPr>
        <w:rFonts w:ascii="Times New Roman" w:hAnsi="Times New Roman"/>
        <w:spacing w:val="-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9239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9239D">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5A5E">
      <w:rPr>
        <w:rFonts w:ascii="Times New Roman" w:hAnsi="Times New Roman"/>
        <w:b/>
        <w:spacing w:val="-4"/>
        <w:sz w:val="36"/>
      </w:rPr>
      <w:tab/>
      <w:t>150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4"/>
  </w:num>
  <w:num w:numId="5">
    <w:abstractNumId w:val="9"/>
  </w:num>
  <w:num w:numId="6">
    <w:abstractNumId w:val="7"/>
  </w:num>
  <w:num w:numId="7">
    <w:abstractNumId w:val="2"/>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0D2F17"/>
    <w:rsid w:val="0014186C"/>
    <w:rsid w:val="00173FBA"/>
    <w:rsid w:val="0019239D"/>
    <w:rsid w:val="001A7D22"/>
    <w:rsid w:val="001C27B0"/>
    <w:rsid w:val="001C384D"/>
    <w:rsid w:val="001D525D"/>
    <w:rsid w:val="00213227"/>
    <w:rsid w:val="00282C3F"/>
    <w:rsid w:val="002B27B9"/>
    <w:rsid w:val="002F0CFE"/>
    <w:rsid w:val="00331A7B"/>
    <w:rsid w:val="00334EF0"/>
    <w:rsid w:val="0033612A"/>
    <w:rsid w:val="00390EC1"/>
    <w:rsid w:val="003B694F"/>
    <w:rsid w:val="003C30EB"/>
    <w:rsid w:val="003D1497"/>
    <w:rsid w:val="003D25AC"/>
    <w:rsid w:val="003E6FF3"/>
    <w:rsid w:val="004E29EE"/>
    <w:rsid w:val="004E2C9C"/>
    <w:rsid w:val="004E799B"/>
    <w:rsid w:val="00582403"/>
    <w:rsid w:val="00593143"/>
    <w:rsid w:val="00597307"/>
    <w:rsid w:val="005B7EA9"/>
    <w:rsid w:val="005D0989"/>
    <w:rsid w:val="005D39A3"/>
    <w:rsid w:val="005E5E9B"/>
    <w:rsid w:val="006147F1"/>
    <w:rsid w:val="006169E6"/>
    <w:rsid w:val="00625B19"/>
    <w:rsid w:val="006725E6"/>
    <w:rsid w:val="006B4862"/>
    <w:rsid w:val="006C19FE"/>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41F4D"/>
    <w:rsid w:val="00B42035"/>
    <w:rsid w:val="00B73573"/>
    <w:rsid w:val="00B747D5"/>
    <w:rsid w:val="00B84E49"/>
    <w:rsid w:val="00B920FE"/>
    <w:rsid w:val="00BE36FD"/>
    <w:rsid w:val="00BF3E97"/>
    <w:rsid w:val="00C00533"/>
    <w:rsid w:val="00C037EF"/>
    <w:rsid w:val="00C55A5E"/>
    <w:rsid w:val="00C63D67"/>
    <w:rsid w:val="00CB1556"/>
    <w:rsid w:val="00CC6CA3"/>
    <w:rsid w:val="00CE18CE"/>
    <w:rsid w:val="00CE27F3"/>
    <w:rsid w:val="00CE5C4F"/>
    <w:rsid w:val="00D03575"/>
    <w:rsid w:val="00D03A15"/>
    <w:rsid w:val="00D16FF1"/>
    <w:rsid w:val="00D50DA5"/>
    <w:rsid w:val="00D67282"/>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823F-0722-455C-B6F4-AEC9176B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2020-12-17T03:08:00Z</cp:lastPrinted>
  <dcterms:created xsi:type="dcterms:W3CDTF">2020-12-18T02:02:00Z</dcterms:created>
  <dcterms:modified xsi:type="dcterms:W3CDTF">2020-12-18T02:02:00Z</dcterms:modified>
</cp:coreProperties>
</file>