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113352">
        <w:rPr>
          <w:b/>
          <w:sz w:val="36"/>
          <w:szCs w:val="36"/>
        </w:rPr>
        <w:fldChar w:fldCharType="begin">
          <w:ffData>
            <w:name w:val="Text2"/>
            <w:enabled/>
            <w:calcOnExit w:val="0"/>
            <w:textInput>
              <w:default w:val="157"/>
            </w:textInput>
          </w:ffData>
        </w:fldChar>
      </w:r>
      <w:bookmarkStart w:id="0" w:name="Text2"/>
      <w:r w:rsidR="00113352">
        <w:rPr>
          <w:b/>
          <w:sz w:val="36"/>
          <w:szCs w:val="36"/>
        </w:rPr>
        <w:instrText xml:space="preserve"> FORMTEXT </w:instrText>
      </w:r>
      <w:r w:rsidR="00113352">
        <w:rPr>
          <w:b/>
          <w:sz w:val="36"/>
          <w:szCs w:val="36"/>
        </w:rPr>
      </w:r>
      <w:r w:rsidR="00113352">
        <w:rPr>
          <w:b/>
          <w:sz w:val="36"/>
          <w:szCs w:val="36"/>
        </w:rPr>
        <w:fldChar w:fldCharType="separate"/>
      </w:r>
      <w:r w:rsidR="00113352">
        <w:rPr>
          <w:b/>
          <w:noProof/>
          <w:sz w:val="36"/>
          <w:szCs w:val="36"/>
        </w:rPr>
        <w:t>157</w:t>
      </w:r>
      <w:r w:rsidR="00113352">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13352" w:rsidRPr="00113352" w:rsidRDefault="00113352" w:rsidP="00113352">
      <w:pPr>
        <w:widowControl/>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b/>
          <w:snapToGrid/>
          <w:szCs w:val="24"/>
          <w:lang w:val="nl-NL"/>
        </w:rPr>
      </w:pPr>
      <w:r w:rsidRPr="00113352">
        <w:rPr>
          <w:rFonts w:ascii="Palatino Linotype" w:eastAsia="Calibri" w:hAnsi="Palatino Linotype"/>
          <w:b/>
          <w:snapToGrid/>
          <w:szCs w:val="24"/>
          <w:lang w:val="nl-NL"/>
        </w:rPr>
        <w:t xml:space="preserve">LANDSBESLUIT, HOUDENDE ALGEMENE MAATREGELEN, van de </w:t>
      </w:r>
      <w:r w:rsidRPr="00113352">
        <w:rPr>
          <w:rFonts w:ascii="Palatino Linotype" w:eastAsia="Calibri" w:hAnsi="Palatino Linotype"/>
          <w:b/>
          <w:snapToGrid/>
          <w:szCs w:val="24"/>
          <w:lang w:val="nl-NL"/>
        </w:rPr>
        <w:t>30</w:t>
      </w:r>
      <w:r w:rsidRPr="00113352">
        <w:rPr>
          <w:rFonts w:ascii="Palatino Linotype" w:eastAsia="Calibri" w:hAnsi="Palatino Linotype"/>
          <w:b/>
          <w:snapToGrid/>
          <w:szCs w:val="24"/>
          <w:vertAlign w:val="superscript"/>
          <w:lang w:val="nl-NL"/>
        </w:rPr>
        <w:t>ste</w:t>
      </w:r>
      <w:r w:rsidRPr="00113352">
        <w:rPr>
          <w:rFonts w:ascii="Palatino Linotype" w:eastAsia="Calibri" w:hAnsi="Palatino Linotype"/>
          <w:b/>
          <w:snapToGrid/>
          <w:szCs w:val="24"/>
          <w:lang w:val="nl-NL"/>
        </w:rPr>
        <w:t xml:space="preserve"> december 2020 </w:t>
      </w:r>
      <w:r w:rsidRPr="00113352">
        <w:rPr>
          <w:rFonts w:ascii="Palatino Linotype" w:eastAsia="Calibri" w:hAnsi="Palatino Linotype"/>
          <w:b/>
          <w:snapToGrid/>
          <w:szCs w:val="24"/>
          <w:lang w:val="nl-NL"/>
        </w:rPr>
        <w:t>ter uitvoering van artikel 13 van de Landsverordening melding ongebruikelijke transacties</w:t>
      </w:r>
      <w:r w:rsidRPr="00113352">
        <w:rPr>
          <w:rFonts w:ascii="Palatino Linotype" w:eastAsia="Calibri" w:hAnsi="Palatino Linotype"/>
          <w:b/>
          <w:snapToGrid/>
          <w:szCs w:val="24"/>
          <w:vertAlign w:val="superscript"/>
          <w:lang w:val="nl-NL"/>
        </w:rPr>
        <w:footnoteReference w:id="1"/>
      </w:r>
      <w:r w:rsidRPr="00113352">
        <w:rPr>
          <w:rFonts w:ascii="Calibri" w:eastAsia="Calibri" w:hAnsi="Calibri"/>
          <w:b/>
          <w:snapToGrid/>
          <w:sz w:val="22"/>
          <w:szCs w:val="22"/>
          <w:lang w:val="nl-NL"/>
        </w:rPr>
        <w:t xml:space="preserve"> (</w:t>
      </w:r>
      <w:bookmarkStart w:id="1" w:name="_GoBack"/>
      <w:r w:rsidRPr="00113352">
        <w:rPr>
          <w:rFonts w:ascii="Palatino Linotype" w:eastAsia="Calibri" w:hAnsi="Palatino Linotype"/>
          <w:b/>
          <w:snapToGrid/>
          <w:szCs w:val="24"/>
          <w:lang w:val="nl-NL"/>
        </w:rPr>
        <w:t xml:space="preserve">Landsbesluit </w:t>
      </w:r>
      <w:proofErr w:type="spellStart"/>
      <w:r w:rsidRPr="00113352">
        <w:rPr>
          <w:rFonts w:ascii="Palatino Linotype" w:eastAsia="Calibri" w:hAnsi="Palatino Linotype"/>
          <w:b/>
          <w:snapToGrid/>
          <w:szCs w:val="24"/>
          <w:lang w:val="nl-NL"/>
        </w:rPr>
        <w:t>goAML</w:t>
      </w:r>
      <w:proofErr w:type="spellEnd"/>
      <w:r w:rsidRPr="00113352">
        <w:rPr>
          <w:rFonts w:ascii="Palatino Linotype" w:eastAsia="Calibri" w:hAnsi="Palatino Linotype"/>
          <w:b/>
          <w:snapToGrid/>
          <w:szCs w:val="24"/>
          <w:lang w:val="nl-NL"/>
        </w:rPr>
        <w:t xml:space="preserve"> meldportaal</w:t>
      </w:r>
      <w:bookmarkEnd w:id="1"/>
      <w:r w:rsidRPr="00113352">
        <w:rPr>
          <w:rFonts w:ascii="Palatino Linotype" w:eastAsia="Calibri" w:hAnsi="Palatino Linotype"/>
          <w:b/>
          <w:snapToGrid/>
          <w:szCs w:val="24"/>
          <w:lang w:val="nl-NL"/>
        </w:rPr>
        <w:t>)</w:t>
      </w:r>
    </w:p>
    <w:p w:rsidR="00113352" w:rsidRPr="00113352" w:rsidRDefault="00113352" w:rsidP="00113352">
      <w:pPr>
        <w:widowControl/>
        <w:jc w:val="both"/>
        <w:rPr>
          <w:rFonts w:ascii="Palatino Linotype" w:eastAsia="Calibri" w:hAnsi="Palatino Linotype"/>
          <w:snapToGrid/>
          <w:szCs w:val="24"/>
          <w:lang w:val="nl-NL"/>
        </w:rPr>
      </w:pPr>
    </w:p>
    <w:p w:rsidR="00113352" w:rsidRPr="00113352" w:rsidRDefault="00113352" w:rsidP="00113352">
      <w:pPr>
        <w:widowControl/>
        <w:spacing w:line="240" w:lineRule="exact"/>
        <w:jc w:val="center"/>
        <w:rPr>
          <w:rFonts w:ascii="Palatino Linotype" w:eastAsia="Calibri" w:hAnsi="Palatino Linotype"/>
          <w:snapToGrid/>
          <w:sz w:val="22"/>
          <w:szCs w:val="22"/>
          <w:lang w:val="nl-NL"/>
        </w:rPr>
      </w:pPr>
      <w:r>
        <w:rPr>
          <w:rFonts w:ascii="Palatino Linotype" w:eastAsia="Calibri" w:hAnsi="Palatino Linotype"/>
          <w:snapToGrid/>
          <w:sz w:val="22"/>
          <w:szCs w:val="22"/>
          <w:lang w:val="nl-NL"/>
        </w:rPr>
        <w:t>____________</w:t>
      </w:r>
    </w:p>
    <w:p w:rsidR="00113352" w:rsidRPr="00113352" w:rsidRDefault="00113352" w:rsidP="00113352">
      <w:pPr>
        <w:widowControl/>
        <w:spacing w:line="240" w:lineRule="exact"/>
        <w:jc w:val="center"/>
        <w:rPr>
          <w:rFonts w:ascii="Palatino Linotype" w:eastAsia="Calibri" w:hAnsi="Palatino Linotype"/>
          <w:snapToGrid/>
          <w:sz w:val="22"/>
          <w:szCs w:val="22"/>
          <w:lang w:val="nl-NL"/>
        </w:rPr>
      </w:pPr>
    </w:p>
    <w:p w:rsidR="00113352" w:rsidRPr="00113352" w:rsidRDefault="00113352" w:rsidP="00113352">
      <w:pPr>
        <w:widowControl/>
        <w:spacing w:line="240" w:lineRule="exact"/>
        <w:jc w:val="center"/>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In naam van de Koning!</w:t>
      </w:r>
    </w:p>
    <w:p w:rsidR="00113352" w:rsidRDefault="00113352" w:rsidP="00113352">
      <w:pPr>
        <w:widowControl/>
        <w:spacing w:line="240" w:lineRule="exact"/>
        <w:jc w:val="center"/>
        <w:rPr>
          <w:rFonts w:ascii="Palatino Linotype" w:eastAsia="Calibri" w:hAnsi="Palatino Linotype"/>
          <w:snapToGrid/>
          <w:sz w:val="22"/>
          <w:szCs w:val="22"/>
          <w:lang w:val="nl-NL"/>
        </w:rPr>
      </w:pPr>
      <w:r>
        <w:rPr>
          <w:rFonts w:ascii="Palatino Linotype" w:eastAsia="Calibri" w:hAnsi="Palatino Linotype"/>
          <w:snapToGrid/>
          <w:sz w:val="22"/>
          <w:szCs w:val="22"/>
          <w:lang w:val="nl-NL"/>
        </w:rPr>
        <w:t>______</w:t>
      </w:r>
    </w:p>
    <w:p w:rsidR="00113352" w:rsidRPr="00113352" w:rsidRDefault="00113352" w:rsidP="00113352">
      <w:pPr>
        <w:widowControl/>
        <w:spacing w:line="240" w:lineRule="exact"/>
        <w:jc w:val="center"/>
        <w:rPr>
          <w:rFonts w:ascii="Palatino Linotype" w:eastAsia="Calibri" w:hAnsi="Palatino Linotype"/>
          <w:snapToGrid/>
          <w:sz w:val="22"/>
          <w:szCs w:val="22"/>
          <w:lang w:val="nl-NL"/>
        </w:rPr>
      </w:pPr>
    </w:p>
    <w:p w:rsidR="00113352" w:rsidRPr="00113352" w:rsidRDefault="00113352" w:rsidP="00113352">
      <w:pPr>
        <w:widowControl/>
        <w:spacing w:line="240" w:lineRule="exact"/>
        <w:jc w:val="center"/>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De Gouverneur van Curaçao,</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In overweging genomen hebbende:</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dat ingevolge artikel 13 van de Landsverordening melding ongebruikelijke transacties   nadere regels kunnen worden gesteld omtrent de wijze waarop een melding moet worden gedaan respectievelijk gegevens en inlichtingen op grond van artikel 12, eerste lid, van de Landsverordening melding ongebruikelijke transacties dienen </w:t>
      </w:r>
      <w:proofErr w:type="gramStart"/>
      <w:r w:rsidRPr="00113352">
        <w:rPr>
          <w:rFonts w:ascii="Palatino Linotype" w:eastAsia="Calibri" w:hAnsi="Palatino Linotype"/>
          <w:snapToGrid/>
          <w:sz w:val="22"/>
          <w:szCs w:val="22"/>
          <w:lang w:val="nl-NL"/>
        </w:rPr>
        <w:t xml:space="preserve">te  </w:t>
      </w:r>
      <w:proofErr w:type="gramEnd"/>
      <w:r w:rsidRPr="00113352">
        <w:rPr>
          <w:rFonts w:ascii="Palatino Linotype" w:eastAsia="Calibri" w:hAnsi="Palatino Linotype"/>
          <w:snapToGrid/>
          <w:sz w:val="22"/>
          <w:szCs w:val="22"/>
          <w:lang w:val="nl-NL"/>
        </w:rPr>
        <w:t>worden verstrekt;</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dat het voor de Financiële Inlichtingen Eenheid Curaçao wenselijk is per 1 januari 2021 een nieuw meldportaal voor het melden van ongebruikelijke transacties en het verstrekken van gegevens en inlichtingen op grond van artikel 12 van de Landsverordening melding ongebruikelijke transacties in te voeren;</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dat het hierdoor noodzakelijk is het Landsbesluit, houdende algemene maatregelen, van de 18</w:t>
      </w:r>
      <w:r w:rsidRPr="00113352">
        <w:rPr>
          <w:rFonts w:ascii="Palatino Linotype" w:eastAsia="Calibri" w:hAnsi="Palatino Linotype"/>
          <w:snapToGrid/>
          <w:sz w:val="22"/>
          <w:szCs w:val="22"/>
          <w:vertAlign w:val="superscript"/>
          <w:lang w:val="nl-NL"/>
        </w:rPr>
        <w:t>de</w:t>
      </w:r>
      <w:r w:rsidRPr="00113352">
        <w:rPr>
          <w:rFonts w:ascii="Palatino Linotype" w:eastAsia="Calibri" w:hAnsi="Palatino Linotype"/>
          <w:snapToGrid/>
          <w:sz w:val="22"/>
          <w:szCs w:val="22"/>
          <w:lang w:val="nl-NL"/>
        </w:rPr>
        <w:t xml:space="preserve"> augustus 2011 ter uitvoering van artikel 13 van de Landsverordening melding ongebruikelijke transacties</w:t>
      </w:r>
      <w:r w:rsidRPr="00113352">
        <w:rPr>
          <w:rFonts w:ascii="Palatino Linotype" w:eastAsia="Calibri" w:hAnsi="Palatino Linotype"/>
          <w:snapToGrid/>
          <w:sz w:val="22"/>
          <w:szCs w:val="22"/>
          <w:vertAlign w:val="superscript"/>
          <w:lang w:val="nl-NL"/>
        </w:rPr>
        <w:footnoteReference w:id="2"/>
      </w:r>
      <w:r w:rsidRPr="00113352">
        <w:rPr>
          <w:rFonts w:ascii="Palatino Linotype" w:eastAsia="Calibri" w:hAnsi="Palatino Linotype"/>
          <w:snapToGrid/>
          <w:sz w:val="22"/>
          <w:szCs w:val="22"/>
          <w:lang w:val="nl-NL"/>
        </w:rPr>
        <w:t xml:space="preserve"> in te trekken en de wijze waarop een melding wordt gedaan en gegevens en inlichtingen worden verstrekt, opnieuw vast te stellen;</w:t>
      </w: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ab/>
      </w:r>
    </w:p>
    <w:p w:rsidR="00113352" w:rsidRPr="00113352" w:rsidRDefault="00113352" w:rsidP="00113352">
      <w:pPr>
        <w:widowControl/>
        <w:ind w:firstLine="708"/>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Heeft, de Raad van Advies gehoord, besloten:</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center"/>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Artikel 1</w:t>
      </w:r>
    </w:p>
    <w:p w:rsidR="00113352" w:rsidRPr="00113352" w:rsidRDefault="00113352" w:rsidP="00113352">
      <w:pPr>
        <w:widowControl/>
        <w:jc w:val="center"/>
        <w:rPr>
          <w:rFonts w:ascii="Palatino Linotype" w:eastAsia="Calibri" w:hAnsi="Palatino Linotype"/>
          <w:snapToGrid/>
          <w:sz w:val="22"/>
          <w:szCs w:val="22"/>
          <w:lang w:val="nl-NL"/>
        </w:rPr>
      </w:pPr>
    </w:p>
    <w:p w:rsidR="00113352" w:rsidRPr="00113352" w:rsidRDefault="00113352" w:rsidP="00113352">
      <w:pPr>
        <w:widowControl/>
        <w:numPr>
          <w:ilvl w:val="0"/>
          <w:numId w:val="2"/>
        </w:numPr>
        <w:spacing w:after="200" w:line="276" w:lineRule="auto"/>
        <w:contextualSpacing/>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Het melden van ongebruikelijke transacties op grond van artikel 11, eerste lid, van de Landsverordening melding ongebruikelijke transacties, alsmede het verstrekken van gegevens en inlichtingen op grond van artikel 12, eerste lid, van de Landsverordening </w:t>
      </w:r>
      <w:r w:rsidRPr="00113352">
        <w:rPr>
          <w:rFonts w:ascii="Palatino Linotype" w:eastAsia="Calibri" w:hAnsi="Palatino Linotype"/>
          <w:snapToGrid/>
          <w:sz w:val="22"/>
          <w:szCs w:val="22"/>
          <w:lang w:val="nl-NL"/>
        </w:rPr>
        <w:lastRenderedPageBreak/>
        <w:t xml:space="preserve">melding ongebruikelijke transacties vindt plaats langs elektronische weg </w:t>
      </w:r>
      <w:proofErr w:type="gramStart"/>
      <w:r w:rsidRPr="00113352">
        <w:rPr>
          <w:rFonts w:ascii="Palatino Linotype" w:eastAsia="Calibri" w:hAnsi="Palatino Linotype"/>
          <w:snapToGrid/>
          <w:sz w:val="22"/>
          <w:szCs w:val="22"/>
          <w:lang w:val="nl-NL"/>
        </w:rPr>
        <w:t>middels</w:t>
      </w:r>
      <w:proofErr w:type="gramEnd"/>
      <w:r w:rsidRPr="00113352">
        <w:rPr>
          <w:rFonts w:ascii="Palatino Linotype" w:eastAsia="Calibri" w:hAnsi="Palatino Linotype"/>
          <w:snapToGrid/>
          <w:sz w:val="22"/>
          <w:szCs w:val="22"/>
          <w:lang w:val="nl-NL"/>
        </w:rPr>
        <w:t xml:space="preserve"> het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meldportaal, waartoe de dienstverlener, na registratie en validatie van zijn registratie door de Financiële Inlichtingen Eenheid Curaçao, toegang krijgt. </w:t>
      </w:r>
    </w:p>
    <w:p w:rsidR="00113352" w:rsidRPr="00113352" w:rsidRDefault="00113352" w:rsidP="00113352">
      <w:pPr>
        <w:widowControl/>
        <w:numPr>
          <w:ilvl w:val="0"/>
          <w:numId w:val="2"/>
        </w:numPr>
        <w:spacing w:after="200" w:line="276" w:lineRule="auto"/>
        <w:contextualSpacing/>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In gevallen, waarin een dienstverlener vanwege een buiten zijn macht gelegen oorzaak geen toegang heeft tot het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meldportaal dan wel in het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meldportaal om buiten zijn macht gelegen oorzaak geen melding kan doen dan wel geen gegevens en inlichtingen kan verstrekken als bedoeld in artikel 12, eerste lid, van de Landsverordening melding ongebruikelijke transacties, kan de dienstverlener het Hoofd van de Financiële Inlichtingen Eenheid Curaçao verzoeken op andere wijze melding te doen van een ongebruikelijke transactie dan wel gegevens en inlichtingen te verstrekken. Het Hoofd van de Financiële Inlichtingen Eenheid Curaçao kan uit oogpunt van volledigheid, betrouwbaarheid en vertrouwelijkheid voorwaarden stellen aan de wijze waarop een zodanige melding of verstrekking van gegevens- en inlichtingen dient te worden gedaan. </w:t>
      </w:r>
    </w:p>
    <w:p w:rsidR="00113352" w:rsidRPr="00113352" w:rsidRDefault="00113352" w:rsidP="00113352">
      <w:pPr>
        <w:widowControl/>
        <w:numPr>
          <w:ilvl w:val="0"/>
          <w:numId w:val="2"/>
        </w:numPr>
        <w:spacing w:after="200" w:line="276" w:lineRule="auto"/>
        <w:contextualSpacing/>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Dienstverleners dienen zich bij het doen van meldingen en het verstrekken van gegevens en inlichtingen aan de Financiële Inlichtingen Eenheid Curaçao te</w:t>
      </w:r>
      <w:r w:rsidRPr="00113352">
        <w:rPr>
          <w:rFonts w:ascii="Palatino Linotype" w:eastAsia="Calibri" w:hAnsi="Palatino Linotype" w:cs="Calibri"/>
          <w:snapToGrid/>
          <w:sz w:val="22"/>
          <w:szCs w:val="22"/>
          <w:lang w:val="nl-NL"/>
        </w:rPr>
        <w:t xml:space="preserve"> bedienen van de Engelse taal. </w:t>
      </w:r>
    </w:p>
    <w:p w:rsidR="00113352" w:rsidRPr="00113352" w:rsidRDefault="00113352" w:rsidP="00113352">
      <w:pPr>
        <w:widowControl/>
        <w:jc w:val="both"/>
        <w:rPr>
          <w:rFonts w:ascii="Palatino Linotype" w:eastAsia="Calibri" w:hAnsi="Palatino Linotype"/>
          <w:snapToGrid/>
          <w:color w:val="000000"/>
          <w:sz w:val="22"/>
          <w:szCs w:val="22"/>
          <w:lang w:val="nl-NL"/>
        </w:rPr>
      </w:pPr>
    </w:p>
    <w:p w:rsidR="00113352" w:rsidRPr="00113352" w:rsidRDefault="00113352" w:rsidP="00113352">
      <w:pPr>
        <w:widowControl/>
        <w:jc w:val="center"/>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Artikel 2</w:t>
      </w:r>
    </w:p>
    <w:p w:rsidR="00113352" w:rsidRPr="00113352" w:rsidRDefault="00113352" w:rsidP="00113352">
      <w:pPr>
        <w:widowControl/>
        <w:jc w:val="center"/>
        <w:rPr>
          <w:rFonts w:ascii="Palatino Linotype" w:eastAsia="Calibri" w:hAnsi="Palatino Linotype"/>
          <w:snapToGrid/>
          <w:color w:val="000000"/>
          <w:sz w:val="22"/>
          <w:szCs w:val="22"/>
          <w:lang w:val="nl-NL"/>
        </w:rPr>
      </w:pPr>
    </w:p>
    <w:p w:rsidR="00113352" w:rsidRPr="00113352" w:rsidRDefault="00113352" w:rsidP="00113352">
      <w:pPr>
        <w:widowControl/>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De </w:t>
      </w:r>
      <w:r w:rsidRPr="00113352">
        <w:rPr>
          <w:rFonts w:ascii="Palatino Linotype" w:eastAsia="Calibri" w:hAnsi="Palatino Linotype"/>
          <w:snapToGrid/>
          <w:sz w:val="22"/>
          <w:szCs w:val="22"/>
          <w:lang w:val="nl-NL"/>
        </w:rPr>
        <w:t xml:space="preserve">Financiële Inlichtingen Eenheid </w:t>
      </w:r>
      <w:r w:rsidRPr="00113352">
        <w:rPr>
          <w:rFonts w:ascii="Palatino Linotype" w:eastAsia="Calibri" w:hAnsi="Palatino Linotype"/>
          <w:snapToGrid/>
          <w:color w:val="000000"/>
          <w:sz w:val="22"/>
          <w:szCs w:val="22"/>
          <w:lang w:val="nl-NL"/>
        </w:rPr>
        <w:t xml:space="preserve">Curaçao draagt er zorg voor dat de wijze waarop een elektronische melding wordt gedaan of gegevens en inlichtingen als bedoeld in artikel 12, eerste lid, worden verstrekt voldoet aan betrouwbaarheids- en vertrouwelijkheidseisen, waaronder in ieder geval wordt verstaan dat de langs elektronische weg gemelde of verstrekte gegevens tijdens transport worden gecodeerd </w:t>
      </w:r>
      <w:proofErr w:type="gramStart"/>
      <w:r w:rsidRPr="00113352">
        <w:rPr>
          <w:rFonts w:ascii="Palatino Linotype" w:eastAsia="Calibri" w:hAnsi="Palatino Linotype"/>
          <w:snapToGrid/>
          <w:color w:val="000000"/>
          <w:sz w:val="22"/>
          <w:szCs w:val="22"/>
          <w:lang w:val="nl-NL"/>
        </w:rPr>
        <w:t>middels</w:t>
      </w:r>
      <w:proofErr w:type="gramEnd"/>
      <w:r w:rsidRPr="00113352">
        <w:rPr>
          <w:rFonts w:ascii="Palatino Linotype" w:eastAsia="Calibri" w:hAnsi="Palatino Linotype"/>
          <w:snapToGrid/>
          <w:color w:val="000000"/>
          <w:sz w:val="22"/>
          <w:szCs w:val="22"/>
          <w:lang w:val="nl-NL"/>
        </w:rPr>
        <w:t xml:space="preserve"> encryptie.</w:t>
      </w:r>
    </w:p>
    <w:p w:rsidR="00113352" w:rsidRPr="00113352" w:rsidRDefault="00113352" w:rsidP="00113352">
      <w:pPr>
        <w:widowControl/>
        <w:jc w:val="both"/>
        <w:rPr>
          <w:rFonts w:ascii="Palatino Linotype" w:eastAsia="Calibri" w:hAnsi="Palatino Linotype"/>
          <w:snapToGrid/>
          <w:color w:val="000000"/>
          <w:sz w:val="22"/>
          <w:szCs w:val="22"/>
          <w:lang w:val="nl-NL"/>
        </w:rPr>
      </w:pPr>
    </w:p>
    <w:p w:rsidR="00113352" w:rsidRPr="00113352" w:rsidRDefault="00113352" w:rsidP="00113352">
      <w:pPr>
        <w:widowControl/>
        <w:jc w:val="center"/>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Artikel 3</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Het Landsbesluit, houdende algemene maatregelen, van 18</w:t>
      </w:r>
      <w:r w:rsidRPr="00113352">
        <w:rPr>
          <w:rFonts w:ascii="Palatino Linotype" w:eastAsia="Calibri" w:hAnsi="Palatino Linotype"/>
          <w:snapToGrid/>
          <w:sz w:val="22"/>
          <w:szCs w:val="22"/>
          <w:vertAlign w:val="superscript"/>
          <w:lang w:val="nl-NL"/>
        </w:rPr>
        <w:t>de</w:t>
      </w:r>
      <w:r w:rsidRPr="00113352">
        <w:rPr>
          <w:rFonts w:ascii="Palatino Linotype" w:eastAsia="Calibri" w:hAnsi="Palatino Linotype"/>
          <w:snapToGrid/>
          <w:sz w:val="22"/>
          <w:szCs w:val="22"/>
          <w:lang w:val="nl-NL"/>
        </w:rPr>
        <w:t xml:space="preserve"> augustus 2011 ter uitvoering van artikel 13 van de Landsverordening melding ongebruikelijke transacties wordt </w:t>
      </w:r>
      <w:proofErr w:type="gramStart"/>
      <w:r w:rsidRPr="00113352">
        <w:rPr>
          <w:rFonts w:ascii="Palatino Linotype" w:eastAsia="Calibri" w:hAnsi="Palatino Linotype"/>
          <w:snapToGrid/>
          <w:sz w:val="22"/>
          <w:szCs w:val="22"/>
          <w:lang w:val="nl-NL"/>
        </w:rPr>
        <w:t>ingetrokken.</w:t>
      </w:r>
      <w:r w:rsidRPr="00113352">
        <w:rPr>
          <w:rFonts w:ascii="Calibri" w:eastAsia="Calibri" w:hAnsi="Calibri"/>
          <w:snapToGrid/>
          <w:sz w:val="22"/>
          <w:szCs w:val="22"/>
          <w:lang w:val="nl-NL"/>
        </w:rPr>
        <w:t xml:space="preserve"> </w:t>
      </w:r>
      <w:r w:rsidRPr="00113352">
        <w:rPr>
          <w:rFonts w:ascii="Palatino Linotype" w:eastAsia="Calibri" w:hAnsi="Palatino Linotype"/>
          <w:snapToGrid/>
          <w:sz w:val="22"/>
          <w:szCs w:val="22"/>
          <w:lang w:val="nl-NL"/>
        </w:rPr>
        <w:t xml:space="preserve"> </w:t>
      </w:r>
      <w:proofErr w:type="gramEnd"/>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 </w:t>
      </w:r>
    </w:p>
    <w:p w:rsidR="00113352" w:rsidRPr="00113352" w:rsidRDefault="00113352" w:rsidP="00113352">
      <w:pPr>
        <w:widowControl/>
        <w:jc w:val="center"/>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Artikel 4</w:t>
      </w:r>
    </w:p>
    <w:p w:rsidR="00113352" w:rsidRPr="00113352" w:rsidRDefault="00113352" w:rsidP="00113352">
      <w:pPr>
        <w:widowControl/>
        <w:jc w:val="center"/>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Dit landsbesluit treedt in werking met ingang van 1 januari </w:t>
      </w:r>
      <w:proofErr w:type="gramStart"/>
      <w:r w:rsidRPr="00113352">
        <w:rPr>
          <w:rFonts w:ascii="Palatino Linotype" w:eastAsia="Calibri" w:hAnsi="Palatino Linotype"/>
          <w:snapToGrid/>
          <w:sz w:val="22"/>
          <w:szCs w:val="22"/>
          <w:lang w:val="nl-NL"/>
        </w:rPr>
        <w:t xml:space="preserve">2021.  </w:t>
      </w:r>
      <w:proofErr w:type="gramEnd"/>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center"/>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Artikel 5</w:t>
      </w:r>
    </w:p>
    <w:p w:rsidR="00113352" w:rsidRPr="00113352" w:rsidRDefault="00113352" w:rsidP="00113352">
      <w:pPr>
        <w:widowControl/>
        <w:jc w:val="center"/>
        <w:rPr>
          <w:rFonts w:ascii="Palatino Linotype" w:eastAsia="Calibri" w:hAnsi="Palatino Linotype"/>
          <w:snapToGrid/>
          <w:sz w:val="22"/>
          <w:szCs w:val="22"/>
          <w:lang w:val="nl-NL"/>
        </w:rPr>
      </w:pPr>
    </w:p>
    <w:p w:rsidR="00113352" w:rsidRPr="00113352" w:rsidRDefault="00113352" w:rsidP="00113352">
      <w:pPr>
        <w:widowControl/>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Dit landsbesluit wordt aangehaald als: Landsbesluit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meldportaal.</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p>
    <w:p w:rsidR="00113352" w:rsidRDefault="00113352" w:rsidP="00113352">
      <w:pPr>
        <w:widowControl/>
        <w:ind w:left="5103"/>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Gegeven te Willemstad, </w:t>
      </w:r>
      <w:r>
        <w:rPr>
          <w:rFonts w:ascii="Palatino Linotype" w:eastAsia="Calibri" w:hAnsi="Palatino Linotype"/>
          <w:snapToGrid/>
          <w:sz w:val="22"/>
          <w:szCs w:val="22"/>
          <w:lang w:val="nl-NL"/>
        </w:rPr>
        <w:t>30 december 2020</w:t>
      </w:r>
    </w:p>
    <w:p w:rsidR="00113352" w:rsidRDefault="00113352" w:rsidP="00113352">
      <w:pPr>
        <w:ind w:left="5103" w:right="96"/>
        <w:jc w:val="center"/>
        <w:rPr>
          <w:rFonts w:ascii="Palatino Linotype" w:hAnsi="Palatino Linotype"/>
          <w:snapToGrid/>
          <w:sz w:val="22"/>
          <w:szCs w:val="22"/>
          <w:lang w:val="nl-NL"/>
        </w:rPr>
      </w:pPr>
      <w:r>
        <w:rPr>
          <w:rFonts w:ascii="Palatino Linotype" w:hAnsi="Palatino Linotype"/>
          <w:sz w:val="22"/>
          <w:szCs w:val="22"/>
          <w:lang w:val="nl-NL"/>
        </w:rPr>
        <w:t>L.A. GEORGE-WOUT</w:t>
      </w:r>
    </w:p>
    <w:p w:rsidR="00113352" w:rsidRDefault="00113352" w:rsidP="00113352">
      <w:pPr>
        <w:widowControl/>
        <w:ind w:left="5103" w:right="96"/>
        <w:jc w:val="both"/>
        <w:rPr>
          <w:rFonts w:ascii="Palatino Linotype" w:eastAsia="Calibri" w:hAnsi="Palatino Linotype"/>
          <w:snapToGrid/>
          <w:sz w:val="22"/>
          <w:szCs w:val="22"/>
          <w:lang w:val="nl-NL"/>
        </w:rPr>
      </w:pPr>
    </w:p>
    <w:p w:rsidR="00113352" w:rsidRPr="00113352" w:rsidRDefault="00113352" w:rsidP="00113352">
      <w:pPr>
        <w:widowControl/>
        <w:ind w:left="5103" w:right="96"/>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De Minister van Financiën,</w:t>
      </w:r>
    </w:p>
    <w:p w:rsidR="00113352" w:rsidRDefault="00113352" w:rsidP="00113352">
      <w:pPr>
        <w:widowControl/>
        <w:ind w:right="6758"/>
        <w:jc w:val="center"/>
        <w:rPr>
          <w:rFonts w:ascii="Palatino Linotype" w:hAnsi="Palatino Linotype"/>
          <w:snapToGrid/>
          <w:sz w:val="22"/>
          <w:szCs w:val="22"/>
          <w:lang w:val="nl-NL"/>
        </w:rPr>
      </w:pPr>
      <w:r>
        <w:rPr>
          <w:rFonts w:ascii="Palatino Linotype" w:hAnsi="Palatino Linotype"/>
          <w:sz w:val="22"/>
          <w:szCs w:val="22"/>
        </w:rPr>
        <w:t>K.A. GIJSBERTHA</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p>
    <w:p w:rsidR="00113352" w:rsidRDefault="00113352" w:rsidP="00ED189F">
      <w:pPr>
        <w:widowControl/>
        <w:ind w:right="6900"/>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De Minister van Justitie,</w:t>
      </w:r>
    </w:p>
    <w:p w:rsidR="00113352" w:rsidRDefault="00113352" w:rsidP="00ED189F">
      <w:pPr>
        <w:widowControl/>
        <w:ind w:right="7042"/>
        <w:jc w:val="center"/>
        <w:rPr>
          <w:rFonts w:ascii="Palatino Linotype" w:eastAsia="Arial Unicode MS" w:hAnsi="Palatino Linotype" w:cs="Arial Unicode MS"/>
          <w:snapToGrid/>
          <w:color w:val="000000"/>
          <w:sz w:val="22"/>
          <w:szCs w:val="22"/>
          <w:bdr w:val="none" w:sz="0" w:space="0" w:color="auto" w:frame="1"/>
          <w:lang w:val="nl-NL"/>
        </w:rPr>
      </w:pPr>
      <w:r>
        <w:rPr>
          <w:rFonts w:ascii="Palatino Linotype" w:eastAsia="Arial Unicode MS" w:hAnsi="Palatino Linotype" w:cs="Arial Unicode MS"/>
          <w:color w:val="000000"/>
          <w:sz w:val="22"/>
          <w:szCs w:val="22"/>
          <w:bdr w:val="none" w:sz="0" w:space="0" w:color="auto" w:frame="1"/>
          <w:lang w:val="nl-NL"/>
        </w:rPr>
        <w:t>Q.C.O. GIRIGORIE</w:t>
      </w:r>
    </w:p>
    <w:p w:rsidR="00113352" w:rsidRPr="00113352" w:rsidRDefault="00113352" w:rsidP="00113352">
      <w:pPr>
        <w:widowControl/>
        <w:ind w:left="5103" w:hanging="5103"/>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ab/>
        <w:t xml:space="preserve">   </w:t>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ab/>
        <w:t xml:space="preserve">                                                                            Uitgegeven de</w:t>
      </w:r>
      <w:r w:rsidR="00ED189F">
        <w:rPr>
          <w:rFonts w:ascii="Palatino Linotype" w:eastAsia="Calibri" w:hAnsi="Palatino Linotype"/>
          <w:snapToGrid/>
          <w:sz w:val="22"/>
          <w:szCs w:val="22"/>
          <w:lang w:val="nl-NL"/>
        </w:rPr>
        <w:t xml:space="preserve"> 31</w:t>
      </w:r>
      <w:r w:rsidR="00ED189F" w:rsidRPr="00ED189F">
        <w:rPr>
          <w:rFonts w:ascii="Palatino Linotype" w:eastAsia="Calibri" w:hAnsi="Palatino Linotype"/>
          <w:snapToGrid/>
          <w:sz w:val="22"/>
          <w:szCs w:val="22"/>
          <w:vertAlign w:val="superscript"/>
          <w:lang w:val="nl-NL"/>
        </w:rPr>
        <w:t>ste</w:t>
      </w:r>
      <w:r w:rsidR="00ED189F">
        <w:rPr>
          <w:rFonts w:ascii="Palatino Linotype" w:eastAsia="Calibri" w:hAnsi="Palatino Linotype"/>
          <w:snapToGrid/>
          <w:sz w:val="22"/>
          <w:szCs w:val="22"/>
          <w:lang w:val="nl-NL"/>
        </w:rPr>
        <w:t xml:space="preserve"> december 2020</w:t>
      </w:r>
    </w:p>
    <w:p w:rsidR="00113352" w:rsidRDefault="00113352" w:rsidP="00113352">
      <w:pPr>
        <w:widowControl/>
        <w:ind w:left="5103"/>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De Minister van Algemene Zaken</w:t>
      </w:r>
      <w:r w:rsidR="00ED189F">
        <w:rPr>
          <w:rFonts w:ascii="Palatino Linotype" w:eastAsia="Calibri" w:hAnsi="Palatino Linotype"/>
          <w:snapToGrid/>
          <w:sz w:val="22"/>
          <w:szCs w:val="22"/>
          <w:lang w:val="nl-NL"/>
        </w:rPr>
        <w:t xml:space="preserve"> a.i.</w:t>
      </w:r>
      <w:r w:rsidRPr="00113352">
        <w:rPr>
          <w:rFonts w:ascii="Palatino Linotype" w:eastAsia="Calibri" w:hAnsi="Palatino Linotype"/>
          <w:snapToGrid/>
          <w:sz w:val="22"/>
          <w:szCs w:val="22"/>
          <w:lang w:val="nl-NL"/>
        </w:rPr>
        <w:t>,</w:t>
      </w:r>
    </w:p>
    <w:p w:rsidR="00ED189F" w:rsidRDefault="00ED189F" w:rsidP="00ED189F">
      <w:pPr>
        <w:widowControl/>
        <w:ind w:left="5103" w:right="663"/>
        <w:jc w:val="center"/>
        <w:rPr>
          <w:rFonts w:ascii="Palatino Linotype" w:eastAsia="Arial Unicode MS" w:hAnsi="Palatino Linotype" w:cs="Arial Unicode MS"/>
          <w:snapToGrid/>
          <w:color w:val="000000"/>
          <w:sz w:val="22"/>
          <w:szCs w:val="22"/>
          <w:bdr w:val="none" w:sz="0" w:space="0" w:color="auto" w:frame="1"/>
          <w:lang w:val="nl-NL"/>
        </w:rPr>
      </w:pPr>
      <w:r>
        <w:rPr>
          <w:rFonts w:ascii="Palatino Linotype" w:eastAsia="Arial Unicode MS" w:hAnsi="Palatino Linotype" w:cs="Arial Unicode MS"/>
          <w:color w:val="000000"/>
          <w:sz w:val="22"/>
          <w:szCs w:val="22"/>
          <w:bdr w:val="none" w:sz="0" w:space="0" w:color="auto" w:frame="1"/>
          <w:lang w:val="nl-NL"/>
        </w:rPr>
        <w:t>Q.C.O. GIRIGORIE</w:t>
      </w:r>
    </w:p>
    <w:p w:rsidR="00ED189F" w:rsidRDefault="00ED189F" w:rsidP="00113352">
      <w:pPr>
        <w:widowControl/>
        <w:ind w:left="5103"/>
        <w:jc w:val="both"/>
        <w:rPr>
          <w:rFonts w:ascii="Palatino Linotype" w:eastAsia="Calibri" w:hAnsi="Palatino Linotype"/>
          <w:snapToGrid/>
          <w:sz w:val="22"/>
          <w:szCs w:val="22"/>
          <w:lang w:val="nl-NL"/>
        </w:rPr>
      </w:pPr>
    </w:p>
    <w:p w:rsidR="00ED189F" w:rsidRPr="00113352" w:rsidRDefault="00ED189F" w:rsidP="00113352">
      <w:pPr>
        <w:widowControl/>
        <w:ind w:left="5103"/>
        <w:jc w:val="both"/>
        <w:rPr>
          <w:rFonts w:ascii="Palatino Linotype" w:eastAsia="Calibri" w:hAnsi="Palatino Linotype"/>
          <w:snapToGrid/>
          <w:sz w:val="22"/>
          <w:szCs w:val="22"/>
          <w:lang w:val="nl-NL"/>
        </w:rPr>
      </w:pPr>
    </w:p>
    <w:p w:rsidR="00113352" w:rsidRPr="00113352" w:rsidRDefault="00113352" w:rsidP="00113352">
      <w:pPr>
        <w:widowControl/>
        <w:ind w:firstLine="708"/>
        <w:jc w:val="both"/>
        <w:rPr>
          <w:rFonts w:ascii="Palatino Linotype" w:eastAsia="Calibri" w:hAnsi="Palatino Linotype"/>
          <w:snapToGrid/>
          <w:sz w:val="22"/>
          <w:szCs w:val="22"/>
          <w:lang w:val="nl-NL"/>
        </w:rPr>
      </w:pPr>
    </w:p>
    <w:p w:rsidR="00113352" w:rsidRPr="00113352" w:rsidRDefault="00113352" w:rsidP="00113352">
      <w:pPr>
        <w:widowControl/>
        <w:ind w:firstLine="708"/>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                                                                             </w:t>
      </w:r>
    </w:p>
    <w:p w:rsidR="00113352" w:rsidRDefault="00113352">
      <w:pPr>
        <w:widowControl/>
        <w:rPr>
          <w:rFonts w:ascii="Palatino Linotype" w:eastAsia="Calibri" w:hAnsi="Palatino Linotype"/>
          <w:snapToGrid/>
          <w:sz w:val="22"/>
          <w:szCs w:val="22"/>
          <w:lang w:val="nl-NL"/>
        </w:rPr>
      </w:pPr>
      <w:r>
        <w:rPr>
          <w:rFonts w:ascii="Palatino Linotype" w:eastAsia="Calibri" w:hAnsi="Palatino Linotype"/>
          <w:snapToGrid/>
          <w:sz w:val="22"/>
          <w:szCs w:val="22"/>
          <w:lang w:val="nl-NL"/>
        </w:rPr>
        <w:br w:type="page"/>
      </w:r>
    </w:p>
    <w:p w:rsidR="00113352" w:rsidRPr="00113352" w:rsidRDefault="00113352" w:rsidP="00113352">
      <w:pPr>
        <w:widowControl/>
        <w:jc w:val="both"/>
        <w:rPr>
          <w:rFonts w:ascii="Palatino Linotype" w:eastAsia="Calibri" w:hAnsi="Palatino Linotype"/>
          <w:b/>
          <w:snapToGrid/>
          <w:sz w:val="22"/>
          <w:szCs w:val="22"/>
          <w:lang w:val="nl-NL"/>
        </w:rPr>
      </w:pPr>
    </w:p>
    <w:p w:rsidR="00113352" w:rsidRPr="00113352" w:rsidRDefault="00113352" w:rsidP="00113352">
      <w:pPr>
        <w:widowControl/>
        <w:jc w:val="both"/>
        <w:rPr>
          <w:rFonts w:ascii="Palatino Linotype" w:eastAsia="Calibri" w:hAnsi="Palatino Linotype"/>
          <w:b/>
          <w:snapToGrid/>
          <w:sz w:val="22"/>
          <w:szCs w:val="22"/>
          <w:lang w:val="nl-NL"/>
        </w:rPr>
      </w:pPr>
      <w:r w:rsidRPr="00113352">
        <w:rPr>
          <w:rFonts w:ascii="Palatino Linotype" w:eastAsia="Calibri" w:hAnsi="Palatino Linotype"/>
          <w:b/>
          <w:snapToGrid/>
          <w:sz w:val="22"/>
          <w:szCs w:val="22"/>
          <w:lang w:val="nl-NL"/>
        </w:rPr>
        <w:t xml:space="preserve">Nota van toelichting behorende bij het Landsbesluit </w:t>
      </w:r>
      <w:proofErr w:type="spellStart"/>
      <w:r w:rsidRPr="00113352">
        <w:rPr>
          <w:rFonts w:ascii="Palatino Linotype" w:eastAsia="Calibri" w:hAnsi="Palatino Linotype"/>
          <w:b/>
          <w:snapToGrid/>
          <w:sz w:val="22"/>
          <w:szCs w:val="22"/>
          <w:lang w:val="nl-NL"/>
        </w:rPr>
        <w:t>goAML</w:t>
      </w:r>
      <w:proofErr w:type="spellEnd"/>
      <w:r w:rsidRPr="00113352">
        <w:rPr>
          <w:rFonts w:ascii="Palatino Linotype" w:eastAsia="Calibri" w:hAnsi="Palatino Linotype"/>
          <w:b/>
          <w:snapToGrid/>
          <w:sz w:val="22"/>
          <w:szCs w:val="22"/>
          <w:lang w:val="nl-NL"/>
        </w:rPr>
        <w:t xml:space="preserve"> meldportaal</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numPr>
          <w:ilvl w:val="0"/>
          <w:numId w:val="1"/>
        </w:numPr>
        <w:spacing w:after="200" w:line="276" w:lineRule="auto"/>
        <w:ind w:left="360"/>
        <w:contextualSpacing/>
        <w:jc w:val="both"/>
        <w:rPr>
          <w:rFonts w:ascii="Palatino Linotype" w:eastAsia="Calibri" w:hAnsi="Palatino Linotype"/>
          <w:snapToGrid/>
          <w:sz w:val="22"/>
          <w:szCs w:val="22"/>
          <w:u w:val="single"/>
          <w:lang w:val="nl-NL"/>
        </w:rPr>
      </w:pPr>
      <w:r w:rsidRPr="00113352">
        <w:rPr>
          <w:rFonts w:ascii="Palatino Linotype" w:eastAsia="Calibri" w:hAnsi="Palatino Linotype"/>
          <w:snapToGrid/>
          <w:sz w:val="22"/>
          <w:szCs w:val="22"/>
          <w:u w:val="single"/>
          <w:lang w:val="nl-NL"/>
        </w:rPr>
        <w:t>Algemeen deel</w:t>
      </w: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Een ieder die beroeps- of bedrijfsmatig een dienst als bedoeld in artikel 1, eerste lid, onderdeel a, van de Landsverordening melding ongebruikelijke transacties</w:t>
      </w:r>
      <w:r w:rsidRPr="00113352">
        <w:rPr>
          <w:rFonts w:ascii="Palatino Linotype" w:eastAsia="Calibri" w:hAnsi="Palatino Linotype"/>
          <w:snapToGrid/>
          <w:sz w:val="22"/>
          <w:szCs w:val="22"/>
          <w:vertAlign w:val="superscript"/>
          <w:lang w:val="nl-NL"/>
        </w:rPr>
        <w:footnoteReference w:id="3"/>
      </w:r>
      <w:r w:rsidRPr="00113352">
        <w:rPr>
          <w:rFonts w:ascii="Palatino Linotype" w:eastAsia="Calibri" w:hAnsi="Palatino Linotype"/>
          <w:snapToGrid/>
          <w:sz w:val="22"/>
          <w:szCs w:val="22"/>
          <w:lang w:val="nl-NL"/>
        </w:rPr>
        <w:t xml:space="preserve"> (hierna: de Landsverordening) verleent, is conform artikel 11, eerste lid, van de Landsverordening verplicht een daarbij verrichte of voorgenomen ongebruikelijke transactie </w:t>
      </w:r>
      <w:proofErr w:type="gramStart"/>
      <w:r w:rsidRPr="00113352">
        <w:rPr>
          <w:rFonts w:ascii="Palatino Linotype" w:eastAsia="Calibri" w:hAnsi="Palatino Linotype"/>
          <w:snapToGrid/>
          <w:sz w:val="22"/>
          <w:szCs w:val="22"/>
          <w:lang w:val="nl-NL"/>
        </w:rPr>
        <w:t>onverwijld</w:t>
      </w:r>
      <w:proofErr w:type="gramEnd"/>
      <w:r w:rsidRPr="00113352">
        <w:rPr>
          <w:rFonts w:ascii="Palatino Linotype" w:eastAsia="Calibri" w:hAnsi="Palatino Linotype"/>
          <w:snapToGrid/>
          <w:sz w:val="22"/>
          <w:szCs w:val="22"/>
          <w:lang w:val="nl-NL"/>
        </w:rPr>
        <w:t xml:space="preserve"> te melden aan de Financiële Inlichtingen Eenheid Curaçao, ook wel FIU Curaçao geheten. Conform artikel 12, eerste lid, van de Landsverordening is de FIU Curaçao bevoegd bij degene die een melding heeft gedaan, alsmede bij degene die door het verlenen van een dienst als bedoeld in artikel 1, eerste lid, onderdeel a, sub 7</w:t>
      </w:r>
      <w:r w:rsidRPr="00113352">
        <w:rPr>
          <w:rFonts w:ascii="Palatino Linotype" w:eastAsia="Calibri" w:hAnsi="Palatino Linotype"/>
          <w:snapToGrid/>
          <w:sz w:val="22"/>
          <w:szCs w:val="22"/>
          <w:vertAlign w:val="superscript"/>
          <w:lang w:val="nl-NL"/>
        </w:rPr>
        <w:t>o</w:t>
      </w:r>
      <w:r w:rsidRPr="00113352">
        <w:rPr>
          <w:rFonts w:ascii="Palatino Linotype" w:eastAsia="Calibri" w:hAnsi="Palatino Linotype"/>
          <w:snapToGrid/>
          <w:sz w:val="22"/>
          <w:szCs w:val="22"/>
          <w:lang w:val="nl-NL"/>
        </w:rPr>
        <w:t xml:space="preserve"> of 8</w:t>
      </w:r>
      <w:r w:rsidRPr="00113352">
        <w:rPr>
          <w:rFonts w:ascii="Palatino Linotype" w:eastAsia="Calibri" w:hAnsi="Palatino Linotype"/>
          <w:snapToGrid/>
          <w:sz w:val="22"/>
          <w:szCs w:val="22"/>
          <w:vertAlign w:val="superscript"/>
          <w:lang w:val="nl-NL"/>
        </w:rPr>
        <w:t>o</w:t>
      </w:r>
      <w:r w:rsidRPr="00113352">
        <w:rPr>
          <w:rFonts w:ascii="Palatino Linotype" w:eastAsia="Calibri" w:hAnsi="Palatino Linotype"/>
          <w:snapToGrid/>
          <w:sz w:val="22"/>
          <w:szCs w:val="22"/>
          <w:lang w:val="nl-NL"/>
        </w:rPr>
        <w:t>, bij een transactie is betrokken waarover de FIU Curaçao gegevens heeft verzameld, nadere gegevens of inlichtingen te vragen. De in dat artikel genoemde dienstverlener is verplicht nadere gegevens of inlichtingen te verstrekken. Ingevolge</w:t>
      </w:r>
      <w:r w:rsidRPr="00113352">
        <w:rPr>
          <w:rFonts w:ascii="Calibri" w:eastAsia="Calibri" w:hAnsi="Calibri"/>
          <w:snapToGrid/>
          <w:sz w:val="22"/>
          <w:szCs w:val="22"/>
          <w:lang w:val="nl-NL"/>
        </w:rPr>
        <w:t xml:space="preserve"> </w:t>
      </w:r>
      <w:r w:rsidRPr="00113352">
        <w:rPr>
          <w:rFonts w:ascii="Palatino Linotype" w:eastAsia="Calibri" w:hAnsi="Palatino Linotype"/>
          <w:snapToGrid/>
          <w:sz w:val="22"/>
          <w:szCs w:val="22"/>
          <w:lang w:val="nl-NL"/>
        </w:rPr>
        <w:t xml:space="preserve">artikel 15a van de Landsverordening zijn personen en instellingen die diensten als bedoeld in artikel 1, eerste lid, onderdeel a, van de Landsverordening verlenen of voornemens zijn die diensten te verlenen verplicht zich bij de FIU Curaçao te registreren. </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Del="00335F9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Ingevolge artikel 13 van de Landsverordening kunnen bij landsbesluit, houdende algemene maatregelen, nadere regels worden gesteld omtrent de wijze waarop een melding moet worden gedaan, </w:t>
      </w:r>
      <w:proofErr w:type="gramStart"/>
      <w:r w:rsidRPr="00113352">
        <w:rPr>
          <w:rFonts w:ascii="Palatino Linotype" w:eastAsia="Calibri" w:hAnsi="Palatino Linotype"/>
          <w:snapToGrid/>
          <w:sz w:val="22"/>
          <w:szCs w:val="22"/>
          <w:lang w:val="nl-NL"/>
        </w:rPr>
        <w:t>respectievelijk</w:t>
      </w:r>
      <w:proofErr w:type="gramEnd"/>
      <w:r w:rsidRPr="00113352">
        <w:rPr>
          <w:rFonts w:ascii="Palatino Linotype" w:eastAsia="Calibri" w:hAnsi="Palatino Linotype"/>
          <w:snapToGrid/>
          <w:sz w:val="22"/>
          <w:szCs w:val="22"/>
          <w:lang w:val="nl-NL"/>
        </w:rPr>
        <w:t xml:space="preserve"> nadere gegevens en inlichtingen, gevraagd op grond van artikel 12, eerste lid, van de Landsverordening, moeten worden verstrekt. Het betreft hier regels van procedurele aard. Onderhavig landsbesluit dient ter vervanging van het Landsbesluit, houdende algemene maatregelen, van 18 augustus 2011 ter uitvoering van artikel 13 van de Landsverordening melding ongebruikelijk </w:t>
      </w:r>
      <w:proofErr w:type="gramStart"/>
      <w:r w:rsidRPr="00113352">
        <w:rPr>
          <w:rFonts w:ascii="Palatino Linotype" w:eastAsia="Calibri" w:hAnsi="Palatino Linotype"/>
          <w:snapToGrid/>
          <w:sz w:val="22"/>
          <w:szCs w:val="22"/>
          <w:lang w:val="nl-NL"/>
        </w:rPr>
        <w:t>transacties</w:t>
      </w:r>
      <w:r w:rsidRPr="00113352">
        <w:rPr>
          <w:rFonts w:ascii="Palatino Linotype" w:eastAsia="Calibri" w:hAnsi="Palatino Linotype"/>
          <w:snapToGrid/>
          <w:sz w:val="22"/>
          <w:szCs w:val="22"/>
          <w:vertAlign w:val="superscript"/>
          <w:lang w:val="nl-NL"/>
        </w:rPr>
        <w:footnoteReference w:id="4"/>
      </w:r>
      <w:r w:rsidRPr="00113352">
        <w:rPr>
          <w:rFonts w:ascii="Palatino Linotype" w:eastAsia="Calibri" w:hAnsi="Palatino Linotype"/>
          <w:snapToGrid/>
          <w:sz w:val="22"/>
          <w:szCs w:val="22"/>
          <w:lang w:val="nl-NL"/>
        </w:rPr>
        <w:t xml:space="preserve">.         </w:t>
      </w:r>
      <w:proofErr w:type="gramEnd"/>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Per 1 januari 2021 voert de Financiële Inlichtingen Eenheid Curaçao een nieuw elektronisch meldportaal in voor dienstverleners, genaamd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Vanaf die datum dienen dienstverleners te melden alsmede gegevens en inlichtingen te verstrekken via dit elektronisch portaal. De Financiële Inlichtingen Eenheid Curaçao ontvangt jaarlijkse vele duizenden meldingen. Het verwerken van meldingen dan wel verstrekte gegevens en inlichtingen die op een andere wijze gedaan worden, zou dan ook teveel resources vergen. Melden op een andere wijze,</w:t>
      </w:r>
      <w:r w:rsidRPr="00113352">
        <w:rPr>
          <w:rFonts w:ascii="Calibri" w:eastAsia="Calibri" w:hAnsi="Calibri"/>
          <w:snapToGrid/>
          <w:sz w:val="22"/>
          <w:szCs w:val="22"/>
          <w:lang w:val="nl-NL"/>
        </w:rPr>
        <w:t xml:space="preserve"> </w:t>
      </w:r>
      <w:r w:rsidRPr="00113352">
        <w:rPr>
          <w:rFonts w:ascii="Palatino Linotype" w:eastAsia="Calibri" w:hAnsi="Palatino Linotype"/>
          <w:snapToGrid/>
          <w:sz w:val="22"/>
          <w:szCs w:val="22"/>
          <w:lang w:val="nl-NL"/>
        </w:rPr>
        <w:t xml:space="preserve">dan wel het verstrekken van gegevens en inlichtingen, bijvoorbeeld via een papieren meldformulier, kan daarom slechts in uitzonderingsgevallen worden gedaan, waarin de melder geen toegang heeft tot het meldportaal om buiten zijn macht gelegen redenen. Te denken valt bijvoorbeeld aan langdurige stroomuitval of langdurige storing van het internetverkeer. Indien een dienstverlener er zelf bijvoorbeeld voor kiest geen toegang te nemen tot internet of niet met een computer te werken, kan een dergelijke uitzondering niet worden verzocht. </w:t>
      </w:r>
    </w:p>
    <w:p w:rsidR="00113352" w:rsidRPr="00113352" w:rsidRDefault="00113352" w:rsidP="00113352">
      <w:pPr>
        <w:widowControl/>
        <w:jc w:val="both"/>
        <w:rPr>
          <w:rFonts w:ascii="Palatino Linotype" w:eastAsia="Calibri" w:hAnsi="Palatino Linotype"/>
          <w:snapToGrid/>
          <w:sz w:val="22"/>
          <w:szCs w:val="22"/>
          <w:u w:val="single"/>
          <w:lang w:val="nl-NL"/>
        </w:rPr>
      </w:pPr>
    </w:p>
    <w:p w:rsidR="00113352" w:rsidRPr="00113352" w:rsidRDefault="00113352" w:rsidP="00113352">
      <w:pPr>
        <w:widowControl/>
        <w:jc w:val="both"/>
        <w:rPr>
          <w:rFonts w:ascii="Palatino Linotype" w:eastAsia="Calibri" w:hAnsi="Palatino Linotype"/>
          <w:snapToGrid/>
          <w:sz w:val="22"/>
          <w:szCs w:val="22"/>
          <w:u w:val="single"/>
          <w:lang w:val="nl-NL"/>
        </w:rPr>
      </w:pPr>
    </w:p>
    <w:p w:rsidR="00113352" w:rsidRPr="00113352" w:rsidRDefault="00113352" w:rsidP="00113352">
      <w:pPr>
        <w:widowControl/>
        <w:jc w:val="both"/>
        <w:rPr>
          <w:rFonts w:ascii="Palatino Linotype" w:eastAsia="Calibri" w:hAnsi="Palatino Linotype"/>
          <w:snapToGrid/>
          <w:sz w:val="22"/>
          <w:szCs w:val="22"/>
          <w:u w:val="single"/>
          <w:lang w:val="nl-NL"/>
        </w:rPr>
      </w:pPr>
    </w:p>
    <w:p w:rsidR="00113352" w:rsidRPr="00113352" w:rsidRDefault="00113352" w:rsidP="00113352">
      <w:pPr>
        <w:widowControl/>
        <w:jc w:val="both"/>
        <w:rPr>
          <w:rFonts w:ascii="Palatino Linotype" w:eastAsia="Calibri" w:hAnsi="Palatino Linotype"/>
          <w:snapToGrid/>
          <w:sz w:val="22"/>
          <w:szCs w:val="22"/>
          <w:u w:val="single"/>
          <w:lang w:val="nl-NL"/>
        </w:rPr>
      </w:pPr>
    </w:p>
    <w:p w:rsidR="00113352" w:rsidRPr="00113352" w:rsidRDefault="00113352" w:rsidP="00113352">
      <w:pPr>
        <w:widowControl/>
        <w:jc w:val="both"/>
        <w:rPr>
          <w:rFonts w:ascii="Palatino Linotype" w:eastAsia="Calibri" w:hAnsi="Palatino Linotype"/>
          <w:snapToGrid/>
          <w:sz w:val="22"/>
          <w:szCs w:val="22"/>
          <w:u w:val="single"/>
          <w:lang w:val="nl-NL"/>
        </w:rPr>
      </w:pPr>
      <w:r w:rsidRPr="00113352">
        <w:rPr>
          <w:rFonts w:ascii="Palatino Linotype" w:eastAsia="Calibri" w:hAnsi="Palatino Linotype"/>
          <w:snapToGrid/>
          <w:sz w:val="22"/>
          <w:szCs w:val="22"/>
          <w:u w:val="single"/>
          <w:lang w:val="nl-NL"/>
        </w:rPr>
        <w:lastRenderedPageBreak/>
        <w:t>Betrouwbaarheid en vertrouwelijkheid</w:t>
      </w: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De elektronische verzending en ontvangst van gegevens door en van een overheidsorgaan of een door de overheid ingesteld orgaan, dienen in voldoende mate beveiligd te zijn. Deze eis wordt tot uitdrukking gebracht door te spreken van betrouwbaarheid en vertrouwelijkheid. </w:t>
      </w: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De volgende aanduidingen geven een goede uitwerking aan de open normen van betrouwbaarheid en vertrouwelijkheid:</w:t>
      </w:r>
    </w:p>
    <w:p w:rsidR="00113352" w:rsidRPr="00113352" w:rsidRDefault="00113352" w:rsidP="00ED189F">
      <w:pPr>
        <w:widowControl/>
        <w:tabs>
          <w:tab w:val="left" w:pos="2268"/>
        </w:tabs>
        <w:ind w:left="2552" w:hanging="2552"/>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Authenticiteit           </w:t>
      </w:r>
      <w:r w:rsidR="00ED189F">
        <w:rPr>
          <w:rFonts w:ascii="Palatino Linotype" w:eastAsia="Calibri" w:hAnsi="Palatino Linotype"/>
          <w:snapToGrid/>
          <w:sz w:val="22"/>
          <w:szCs w:val="22"/>
          <w:lang w:val="nl-NL"/>
        </w:rPr>
        <w:tab/>
        <w:t xml:space="preserve">  </w:t>
      </w:r>
      <w:r w:rsidRPr="00113352">
        <w:rPr>
          <w:rFonts w:ascii="Palatino Linotype" w:eastAsia="Calibri" w:hAnsi="Palatino Linotype"/>
          <w:snapToGrid/>
          <w:sz w:val="22"/>
          <w:szCs w:val="22"/>
          <w:lang w:val="nl-NL"/>
        </w:rPr>
        <w:t xml:space="preserve">= oorsprong van het document; zijn de gegevens werkelijk van    </w:t>
      </w:r>
      <w:proofErr w:type="gramStart"/>
      <w:r w:rsidRPr="00113352">
        <w:rPr>
          <w:rFonts w:ascii="Palatino Linotype" w:eastAsia="Calibri" w:hAnsi="Palatino Linotype"/>
          <w:snapToGrid/>
          <w:sz w:val="22"/>
          <w:szCs w:val="22"/>
          <w:lang w:val="nl-NL"/>
        </w:rPr>
        <w:t xml:space="preserve">de </w:t>
      </w:r>
      <w:r w:rsidR="00ED189F">
        <w:rPr>
          <w:rFonts w:ascii="Palatino Linotype" w:eastAsia="Calibri" w:hAnsi="Palatino Linotype"/>
          <w:snapToGrid/>
          <w:sz w:val="22"/>
          <w:szCs w:val="22"/>
          <w:lang w:val="nl-NL"/>
        </w:rPr>
        <w:t xml:space="preserve"> </w:t>
      </w:r>
      <w:proofErr w:type="gramEnd"/>
      <w:r w:rsidRPr="00113352">
        <w:rPr>
          <w:rFonts w:ascii="Palatino Linotype" w:eastAsia="Calibri" w:hAnsi="Palatino Linotype"/>
          <w:snapToGrid/>
          <w:sz w:val="22"/>
          <w:szCs w:val="22"/>
          <w:lang w:val="nl-NL"/>
        </w:rPr>
        <w:t>afzender afkomstig?;</w:t>
      </w:r>
    </w:p>
    <w:p w:rsidR="00113352" w:rsidRPr="00113352" w:rsidRDefault="00113352" w:rsidP="00ED189F">
      <w:pPr>
        <w:widowControl/>
        <w:ind w:left="2552" w:hanging="2552"/>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Integriteit                 = de zekerheid dat gegevens volledig zijn en niet onbevoegdelijk </w:t>
      </w:r>
      <w:proofErr w:type="gramStart"/>
      <w:r w:rsidRPr="00113352">
        <w:rPr>
          <w:rFonts w:ascii="Palatino Linotype" w:eastAsia="Calibri" w:hAnsi="Palatino Linotype"/>
          <w:snapToGrid/>
          <w:sz w:val="22"/>
          <w:szCs w:val="22"/>
          <w:lang w:val="nl-NL"/>
        </w:rPr>
        <w:t xml:space="preserve">zijn   </w:t>
      </w:r>
      <w:proofErr w:type="gramEnd"/>
      <w:r w:rsidRPr="00113352">
        <w:rPr>
          <w:rFonts w:ascii="Palatino Linotype" w:eastAsia="Calibri" w:hAnsi="Palatino Linotype"/>
          <w:snapToGrid/>
          <w:sz w:val="22"/>
          <w:szCs w:val="22"/>
          <w:lang w:val="nl-NL"/>
        </w:rPr>
        <w:t>gewijzigd;</w:t>
      </w:r>
    </w:p>
    <w:p w:rsidR="00113352" w:rsidRPr="00113352" w:rsidRDefault="00113352" w:rsidP="00ED189F">
      <w:pPr>
        <w:widowControl/>
        <w:tabs>
          <w:tab w:val="left" w:pos="2268"/>
        </w:tabs>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Onweerlegbaarheid</w:t>
      </w:r>
      <w:r w:rsidRPr="00113352">
        <w:rPr>
          <w:rFonts w:ascii="Palatino Linotype" w:eastAsia="Calibri" w:hAnsi="Palatino Linotype"/>
          <w:snapToGrid/>
          <w:sz w:val="22"/>
          <w:szCs w:val="22"/>
          <w:lang w:val="nl-NL"/>
        </w:rPr>
        <w:tab/>
        <w:t xml:space="preserve"> </w:t>
      </w:r>
      <w:proofErr w:type="gramStart"/>
      <w:r w:rsidRPr="00113352">
        <w:rPr>
          <w:rFonts w:ascii="Palatino Linotype" w:eastAsia="Calibri" w:hAnsi="Palatino Linotype"/>
          <w:snapToGrid/>
          <w:sz w:val="22"/>
          <w:szCs w:val="22"/>
          <w:lang w:val="nl-NL"/>
        </w:rPr>
        <w:t xml:space="preserve">=  </w:t>
      </w:r>
      <w:proofErr w:type="gramEnd"/>
      <w:r w:rsidRPr="00113352">
        <w:rPr>
          <w:rFonts w:ascii="Palatino Linotype" w:eastAsia="Calibri" w:hAnsi="Palatino Linotype"/>
          <w:snapToGrid/>
          <w:sz w:val="22"/>
          <w:szCs w:val="22"/>
          <w:lang w:val="nl-NL"/>
        </w:rPr>
        <w:t xml:space="preserve">het voorkomen van weerlegbaarheid; </w:t>
      </w:r>
      <w:proofErr w:type="spellStart"/>
      <w:r w:rsidRPr="00113352">
        <w:rPr>
          <w:rFonts w:ascii="Palatino Linotype" w:eastAsia="Calibri" w:hAnsi="Palatino Linotype"/>
          <w:snapToGrid/>
          <w:sz w:val="22"/>
          <w:szCs w:val="22"/>
          <w:lang w:val="nl-NL"/>
        </w:rPr>
        <w:t>onloochenbaarheid</w:t>
      </w:r>
      <w:proofErr w:type="spellEnd"/>
      <w:r w:rsidRPr="00113352">
        <w:rPr>
          <w:rFonts w:ascii="Palatino Linotype" w:eastAsia="Calibri" w:hAnsi="Palatino Linotype"/>
          <w:snapToGrid/>
          <w:sz w:val="22"/>
          <w:szCs w:val="22"/>
          <w:lang w:val="nl-NL"/>
        </w:rPr>
        <w:t>;</w:t>
      </w:r>
    </w:p>
    <w:p w:rsidR="00113352" w:rsidRPr="00113352" w:rsidRDefault="00ED189F" w:rsidP="00ED189F">
      <w:pPr>
        <w:widowControl/>
        <w:tabs>
          <w:tab w:val="left" w:pos="2268"/>
        </w:tabs>
        <w:ind w:left="2552" w:hanging="2552"/>
        <w:jc w:val="both"/>
        <w:rPr>
          <w:rFonts w:ascii="Palatino Linotype" w:eastAsia="Calibri" w:hAnsi="Palatino Linotype"/>
          <w:snapToGrid/>
          <w:sz w:val="22"/>
          <w:szCs w:val="22"/>
          <w:lang w:val="nl-NL"/>
        </w:rPr>
      </w:pPr>
      <w:r>
        <w:rPr>
          <w:rFonts w:ascii="Palatino Linotype" w:eastAsia="Calibri" w:hAnsi="Palatino Linotype"/>
          <w:snapToGrid/>
          <w:sz w:val="22"/>
          <w:szCs w:val="22"/>
          <w:lang w:val="nl-NL"/>
        </w:rPr>
        <w:t>Transparantie</w:t>
      </w:r>
      <w:r>
        <w:rPr>
          <w:rFonts w:ascii="Palatino Linotype" w:eastAsia="Calibri" w:hAnsi="Palatino Linotype"/>
          <w:snapToGrid/>
          <w:sz w:val="22"/>
          <w:szCs w:val="22"/>
          <w:lang w:val="nl-NL"/>
        </w:rPr>
        <w:tab/>
        <w:t xml:space="preserve"> </w:t>
      </w:r>
      <w:r w:rsidR="00113352" w:rsidRPr="00113352">
        <w:rPr>
          <w:rFonts w:ascii="Palatino Linotype" w:eastAsia="Calibri" w:hAnsi="Palatino Linotype"/>
          <w:snapToGrid/>
          <w:sz w:val="22"/>
          <w:szCs w:val="22"/>
          <w:lang w:val="nl-NL"/>
        </w:rPr>
        <w:t>= de mogelijkheid dat wijzigingen van de gegevens achteraf kunnen worden opgespoord en inzichtelijk kunnen worden gemaakt;</w:t>
      </w:r>
    </w:p>
    <w:p w:rsidR="00113352" w:rsidRPr="00113352" w:rsidRDefault="00113352" w:rsidP="00113352">
      <w:pPr>
        <w:widowControl/>
        <w:tabs>
          <w:tab w:val="left" w:pos="2340"/>
        </w:tabs>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Beschikbaarheid        </w:t>
      </w:r>
      <w:proofErr w:type="gramStart"/>
      <w:r w:rsidR="00ED189F">
        <w:rPr>
          <w:rFonts w:ascii="Palatino Linotype" w:eastAsia="Calibri" w:hAnsi="Palatino Linotype"/>
          <w:snapToGrid/>
          <w:sz w:val="22"/>
          <w:szCs w:val="22"/>
          <w:lang w:val="nl-NL"/>
        </w:rPr>
        <w:tab/>
      </w:r>
      <w:r w:rsidRPr="00113352">
        <w:rPr>
          <w:rFonts w:ascii="Palatino Linotype" w:eastAsia="Calibri" w:hAnsi="Palatino Linotype"/>
          <w:snapToGrid/>
          <w:sz w:val="22"/>
          <w:szCs w:val="22"/>
          <w:lang w:val="nl-NL"/>
        </w:rPr>
        <w:t xml:space="preserve">=  </w:t>
      </w:r>
      <w:proofErr w:type="gramEnd"/>
      <w:r w:rsidRPr="00113352">
        <w:rPr>
          <w:rFonts w:ascii="Palatino Linotype" w:eastAsia="Calibri" w:hAnsi="Palatino Linotype"/>
          <w:snapToGrid/>
          <w:sz w:val="22"/>
          <w:szCs w:val="22"/>
          <w:lang w:val="nl-NL"/>
        </w:rPr>
        <w:t>toegankelijkheid en bereikbaarheid van het document;</w:t>
      </w:r>
    </w:p>
    <w:p w:rsidR="00113352" w:rsidRPr="00113352" w:rsidRDefault="00113352" w:rsidP="00ED189F">
      <w:pPr>
        <w:widowControl/>
        <w:tabs>
          <w:tab w:val="left" w:pos="2268"/>
        </w:tabs>
        <w:ind w:left="2552" w:hanging="2552"/>
        <w:jc w:val="both"/>
        <w:rPr>
          <w:rFonts w:ascii="Palatino Linotype" w:eastAsia="Calibri" w:hAnsi="Palatino Linotype"/>
          <w:snapToGrid/>
          <w:sz w:val="22"/>
          <w:szCs w:val="22"/>
          <w:lang w:val="nl-NL"/>
        </w:rPr>
      </w:pPr>
      <w:proofErr w:type="gramStart"/>
      <w:r w:rsidRPr="00113352">
        <w:rPr>
          <w:rFonts w:ascii="Palatino Linotype" w:eastAsia="Calibri" w:hAnsi="Palatino Linotype"/>
          <w:snapToGrid/>
          <w:sz w:val="22"/>
          <w:szCs w:val="22"/>
          <w:lang w:val="nl-NL"/>
        </w:rPr>
        <w:t xml:space="preserve">Flexibiliteit           </w:t>
      </w:r>
      <w:proofErr w:type="gramEnd"/>
      <w:r w:rsidR="00ED189F">
        <w:rPr>
          <w:rFonts w:ascii="Palatino Linotype" w:eastAsia="Calibri" w:hAnsi="Palatino Linotype"/>
          <w:snapToGrid/>
          <w:sz w:val="22"/>
          <w:szCs w:val="22"/>
          <w:lang w:val="nl-NL"/>
        </w:rPr>
        <w:tab/>
        <w:t xml:space="preserve"> </w:t>
      </w:r>
      <w:r w:rsidRPr="00113352">
        <w:rPr>
          <w:rFonts w:ascii="Palatino Linotype" w:eastAsia="Calibri" w:hAnsi="Palatino Linotype"/>
          <w:snapToGrid/>
          <w:sz w:val="22"/>
          <w:szCs w:val="22"/>
          <w:lang w:val="nl-NL"/>
        </w:rPr>
        <w:t>= de mate waarin aan nieuwe of oude gebruikerseisen kan worden voldaan;</w:t>
      </w:r>
    </w:p>
    <w:p w:rsidR="00113352" w:rsidRPr="00113352" w:rsidRDefault="00113352" w:rsidP="0083378A">
      <w:pPr>
        <w:widowControl/>
        <w:tabs>
          <w:tab w:val="left" w:pos="2268"/>
        </w:tabs>
        <w:ind w:left="2552" w:hanging="2552"/>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Vertrouwelijkheid    </w:t>
      </w:r>
      <w:r w:rsidR="00ED189F">
        <w:rPr>
          <w:rFonts w:ascii="Palatino Linotype" w:eastAsia="Calibri" w:hAnsi="Palatino Linotype"/>
          <w:snapToGrid/>
          <w:sz w:val="22"/>
          <w:szCs w:val="22"/>
          <w:lang w:val="nl-NL"/>
        </w:rPr>
        <w:tab/>
      </w:r>
      <w:r w:rsidR="0083378A">
        <w:rPr>
          <w:rFonts w:ascii="Palatino Linotype" w:eastAsia="Calibri" w:hAnsi="Palatino Linotype"/>
          <w:snapToGrid/>
          <w:sz w:val="22"/>
          <w:szCs w:val="22"/>
          <w:lang w:val="nl-NL"/>
        </w:rPr>
        <w:t xml:space="preserve"> </w:t>
      </w:r>
      <w:r w:rsidRPr="00113352">
        <w:rPr>
          <w:rFonts w:ascii="Palatino Linotype" w:eastAsia="Calibri" w:hAnsi="Palatino Linotype"/>
          <w:snapToGrid/>
          <w:sz w:val="22"/>
          <w:szCs w:val="22"/>
          <w:lang w:val="nl-NL"/>
        </w:rPr>
        <w:t xml:space="preserve">= exclusiviteit: het document is alleen toegankelijk voor hen voor </w:t>
      </w:r>
      <w:proofErr w:type="gramStart"/>
      <w:r w:rsidRPr="00113352">
        <w:rPr>
          <w:rFonts w:ascii="Palatino Linotype" w:eastAsia="Calibri" w:hAnsi="Palatino Linotype"/>
          <w:snapToGrid/>
          <w:sz w:val="22"/>
          <w:szCs w:val="22"/>
          <w:lang w:val="nl-NL"/>
        </w:rPr>
        <w:t xml:space="preserve">wie  </w:t>
      </w:r>
      <w:r w:rsidR="0083378A">
        <w:rPr>
          <w:rFonts w:ascii="Palatino Linotype" w:eastAsia="Calibri" w:hAnsi="Palatino Linotype"/>
          <w:snapToGrid/>
          <w:sz w:val="22"/>
          <w:szCs w:val="22"/>
          <w:lang w:val="nl-NL"/>
        </w:rPr>
        <w:t xml:space="preserve"> </w:t>
      </w:r>
      <w:proofErr w:type="gramEnd"/>
      <w:r w:rsidRPr="00113352">
        <w:rPr>
          <w:rFonts w:ascii="Palatino Linotype" w:eastAsia="Calibri" w:hAnsi="Palatino Linotype"/>
          <w:snapToGrid/>
          <w:sz w:val="22"/>
          <w:szCs w:val="22"/>
          <w:lang w:val="nl-NL"/>
        </w:rPr>
        <w:t>het is bestemd;</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In de </w:t>
      </w:r>
      <w:proofErr w:type="gramStart"/>
      <w:r w:rsidRPr="00113352">
        <w:rPr>
          <w:rFonts w:ascii="Palatino Linotype" w:eastAsia="Calibri" w:hAnsi="Palatino Linotype"/>
          <w:snapToGrid/>
          <w:sz w:val="22"/>
          <w:szCs w:val="22"/>
          <w:lang w:val="nl-NL"/>
        </w:rPr>
        <w:t xml:space="preserve">literatuur  </w:t>
      </w:r>
      <w:proofErr w:type="gramEnd"/>
      <w:r w:rsidRPr="00113352">
        <w:rPr>
          <w:rFonts w:ascii="Palatino Linotype" w:eastAsia="Calibri" w:hAnsi="Palatino Linotype"/>
          <w:snapToGrid/>
          <w:sz w:val="22"/>
          <w:szCs w:val="22"/>
          <w:lang w:val="nl-NL"/>
        </w:rPr>
        <w:t xml:space="preserve">wordt in dit verband wel gesproken van de beginselen van </w:t>
      </w:r>
      <w:r w:rsidR="005F73B0" w:rsidRPr="00113352">
        <w:rPr>
          <w:rFonts w:ascii="Palatino Linotype" w:eastAsia="Calibri" w:hAnsi="Palatino Linotype"/>
          <w:snapToGrid/>
          <w:sz w:val="22"/>
          <w:szCs w:val="22"/>
          <w:lang w:val="nl-NL"/>
        </w:rPr>
        <w:t xml:space="preserve">behoorlijk </w:t>
      </w:r>
      <w:r w:rsidRPr="00113352">
        <w:rPr>
          <w:rFonts w:ascii="Palatino Linotype" w:eastAsia="Calibri" w:hAnsi="Palatino Linotype"/>
          <w:snapToGrid/>
          <w:sz w:val="22"/>
          <w:szCs w:val="22"/>
          <w:lang w:val="nl-NL"/>
        </w:rPr>
        <w:t>IT-gebruik.</w:t>
      </w:r>
      <w:r w:rsidRPr="00113352">
        <w:rPr>
          <w:rFonts w:ascii="Palatino Linotype" w:eastAsia="Calibri" w:hAnsi="Palatino Linotype"/>
          <w:snapToGrid/>
          <w:sz w:val="22"/>
          <w:szCs w:val="22"/>
          <w:vertAlign w:val="superscript"/>
          <w:lang w:val="nl-NL"/>
        </w:rPr>
        <w:footnoteReference w:id="5"/>
      </w:r>
      <w:r w:rsidRPr="00113352">
        <w:rPr>
          <w:rFonts w:ascii="Palatino Linotype" w:eastAsia="Calibri" w:hAnsi="Palatino Linotype"/>
          <w:snapToGrid/>
          <w:sz w:val="22"/>
          <w:szCs w:val="22"/>
          <w:lang w:val="nl-NL"/>
        </w:rPr>
        <w:t xml:space="preserve"> Bij elektronisch verkeer zal de overheid of een door de overheid ingesteld orgaan deze beginselen in acht moeten nemen. De mate waarin deze beginselen in acht moeten worden genomen, kan variëren. </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contextualSpacing/>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Omdat de Financiële Inlichtingen Eenheid Curaçao (privacy-) gevoelige gegevens ontvangt en verwerkt dient deze de nodige betrouwbaarheid en vertrouwelijkheid te garanderen. </w:t>
      </w:r>
      <w:proofErr w:type="gramStart"/>
      <w:r w:rsidRPr="00113352">
        <w:rPr>
          <w:rFonts w:ascii="Palatino Linotype" w:eastAsia="Calibri" w:hAnsi="Palatino Linotype"/>
          <w:snapToGrid/>
          <w:sz w:val="22"/>
          <w:szCs w:val="22"/>
          <w:lang w:val="nl-NL"/>
        </w:rPr>
        <w:t>Teneinde</w:t>
      </w:r>
      <w:proofErr w:type="gramEnd"/>
      <w:r w:rsidRPr="00113352">
        <w:rPr>
          <w:rFonts w:ascii="Palatino Linotype" w:eastAsia="Calibri" w:hAnsi="Palatino Linotype"/>
          <w:snapToGrid/>
          <w:sz w:val="22"/>
          <w:szCs w:val="22"/>
          <w:lang w:val="nl-NL"/>
        </w:rPr>
        <w:t xml:space="preserve"> deze garantie een wettelijke basis te geven, is artikel 2 in dit landsbesluit opgenomen.</w:t>
      </w:r>
    </w:p>
    <w:p w:rsidR="00113352" w:rsidRPr="00113352" w:rsidRDefault="00113352" w:rsidP="00113352">
      <w:pPr>
        <w:widowControl/>
        <w:contextualSpacing/>
        <w:jc w:val="both"/>
        <w:rPr>
          <w:rFonts w:ascii="Palatino Linotype" w:eastAsia="Calibri" w:hAnsi="Palatino Linotype"/>
          <w:snapToGrid/>
          <w:sz w:val="22"/>
          <w:szCs w:val="22"/>
          <w:lang w:val="nl-NL"/>
        </w:rPr>
      </w:pPr>
    </w:p>
    <w:p w:rsidR="00113352" w:rsidRPr="00113352" w:rsidRDefault="00113352" w:rsidP="00113352">
      <w:pPr>
        <w:widowControl/>
        <w:contextualSpacing/>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Van de dienstverlener mag, zoals dat gebruikelijk is met persoonlijke inloggegevens, wel worden verwacht dat deze met de nodige zorg omgaat met inloggegevens voor het meldportaal van de Financiële Inlichtingen Eenheid Curaçao. </w:t>
      </w:r>
      <w:proofErr w:type="gramStart"/>
      <w:r w:rsidRPr="00113352">
        <w:rPr>
          <w:rFonts w:ascii="Palatino Linotype" w:eastAsia="Calibri" w:hAnsi="Palatino Linotype"/>
          <w:snapToGrid/>
          <w:sz w:val="22"/>
          <w:szCs w:val="22"/>
          <w:lang w:val="nl-NL"/>
        </w:rPr>
        <w:t>Indien de dienstverlener de inloggegevens (al dan niet tijdelijk) niet of niet meer heeft, ontslaat dit de dienstverlener ook niet van de verplichting voortvloeiende uit artikel 11 van de Landsverordening om tijdig per omgaande te melden aan</w:t>
      </w:r>
      <w:r w:rsidRPr="00113352">
        <w:rPr>
          <w:rFonts w:ascii="Calibri" w:eastAsia="Calibri" w:hAnsi="Calibri"/>
          <w:snapToGrid/>
          <w:sz w:val="22"/>
          <w:szCs w:val="22"/>
          <w:lang w:val="nl-NL"/>
        </w:rPr>
        <w:t xml:space="preserve"> </w:t>
      </w:r>
      <w:r w:rsidRPr="00113352">
        <w:rPr>
          <w:rFonts w:ascii="Palatino Linotype" w:eastAsia="Calibri" w:hAnsi="Palatino Linotype"/>
          <w:snapToGrid/>
          <w:sz w:val="22"/>
          <w:szCs w:val="22"/>
          <w:lang w:val="nl-NL"/>
        </w:rPr>
        <w:t xml:space="preserve">de Financiële Inlichtingen Eenheid Curaçao. </w:t>
      </w:r>
      <w:proofErr w:type="gramEnd"/>
    </w:p>
    <w:p w:rsidR="00113352" w:rsidRPr="00113352" w:rsidRDefault="00113352" w:rsidP="00113352">
      <w:pPr>
        <w:widowControl/>
        <w:contextualSpacing/>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 </w:t>
      </w:r>
    </w:p>
    <w:p w:rsidR="00113352" w:rsidRPr="00113352" w:rsidRDefault="00113352" w:rsidP="00113352">
      <w:pPr>
        <w:widowControl/>
        <w:contextualSpacing/>
        <w:jc w:val="both"/>
        <w:rPr>
          <w:rFonts w:ascii="Palatino Linotype" w:eastAsia="Calibri" w:hAnsi="Palatino Linotype"/>
          <w:snapToGrid/>
          <w:sz w:val="22"/>
          <w:szCs w:val="22"/>
          <w:lang w:val="nl-NL"/>
        </w:rPr>
      </w:pPr>
    </w:p>
    <w:p w:rsidR="00113352" w:rsidRPr="00113352" w:rsidRDefault="00113352" w:rsidP="00113352">
      <w:pPr>
        <w:widowControl/>
        <w:numPr>
          <w:ilvl w:val="0"/>
          <w:numId w:val="1"/>
        </w:numPr>
        <w:spacing w:after="200" w:line="276" w:lineRule="auto"/>
        <w:ind w:left="360"/>
        <w:contextualSpacing/>
        <w:jc w:val="both"/>
        <w:rPr>
          <w:rFonts w:ascii="Palatino Linotype" w:eastAsia="Calibri" w:hAnsi="Palatino Linotype"/>
          <w:snapToGrid/>
          <w:sz w:val="22"/>
          <w:szCs w:val="22"/>
          <w:u w:val="single"/>
          <w:lang w:val="nl-NL"/>
        </w:rPr>
      </w:pPr>
      <w:r w:rsidRPr="00113352">
        <w:rPr>
          <w:rFonts w:ascii="Palatino Linotype" w:eastAsia="Calibri" w:hAnsi="Palatino Linotype" w:cs="Calibri"/>
          <w:snapToGrid/>
          <w:sz w:val="22"/>
          <w:szCs w:val="22"/>
          <w:u w:val="single"/>
          <w:lang w:val="nl-NL"/>
        </w:rPr>
        <w:t xml:space="preserve">Het </w:t>
      </w:r>
      <w:proofErr w:type="spellStart"/>
      <w:r w:rsidRPr="00113352">
        <w:rPr>
          <w:rFonts w:ascii="Palatino Linotype" w:eastAsia="Calibri" w:hAnsi="Palatino Linotype" w:cs="Calibri"/>
          <w:snapToGrid/>
          <w:sz w:val="22"/>
          <w:szCs w:val="22"/>
          <w:u w:val="single"/>
          <w:lang w:val="nl-NL"/>
        </w:rPr>
        <w:t>goAML</w:t>
      </w:r>
      <w:proofErr w:type="spellEnd"/>
      <w:r w:rsidRPr="00113352">
        <w:rPr>
          <w:rFonts w:ascii="Palatino Linotype" w:eastAsia="Calibri" w:hAnsi="Palatino Linotype" w:cs="Calibri"/>
          <w:snapToGrid/>
          <w:sz w:val="22"/>
          <w:szCs w:val="22"/>
          <w:u w:val="single"/>
          <w:lang w:val="nl-NL"/>
        </w:rPr>
        <w:t xml:space="preserve"> meldsysteem</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is een door het “United Nations Office on Drugs </w:t>
      </w:r>
      <w:proofErr w:type="spellStart"/>
      <w:r w:rsidRPr="00113352">
        <w:rPr>
          <w:rFonts w:ascii="Palatino Linotype" w:eastAsia="Calibri" w:hAnsi="Palatino Linotype"/>
          <w:snapToGrid/>
          <w:color w:val="000000"/>
          <w:sz w:val="22"/>
          <w:szCs w:val="22"/>
          <w:lang w:val="nl-NL"/>
        </w:rPr>
        <w:t>and</w:t>
      </w:r>
      <w:proofErr w:type="spellEnd"/>
      <w:r w:rsidRPr="00113352">
        <w:rPr>
          <w:rFonts w:ascii="Palatino Linotype" w:eastAsia="Calibri" w:hAnsi="Palatino Linotype"/>
          <w:snapToGrid/>
          <w:color w:val="000000"/>
          <w:sz w:val="22"/>
          <w:szCs w:val="22"/>
          <w:lang w:val="nl-NL"/>
        </w:rPr>
        <w:t xml:space="preserve"> Crime” (UNODC) ontwikkeld geïntegreerd en modulair systeem, dat is ontworpen om te voldoen aan de behoeften van elke “Financial Intelligence Unit”. Het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systeem wordt wereldwijd door vele </w:t>
      </w:r>
      <w:proofErr w:type="spellStart"/>
      <w:r w:rsidRPr="00113352">
        <w:rPr>
          <w:rFonts w:ascii="Palatino Linotype" w:eastAsia="Calibri" w:hAnsi="Palatino Linotype"/>
          <w:snapToGrid/>
          <w:color w:val="000000"/>
          <w:sz w:val="22"/>
          <w:szCs w:val="22"/>
          <w:lang w:val="nl-NL"/>
        </w:rPr>
        <w:t>FIUs</w:t>
      </w:r>
      <w:proofErr w:type="spellEnd"/>
      <w:r w:rsidRPr="00113352">
        <w:rPr>
          <w:rFonts w:ascii="Palatino Linotype" w:eastAsia="Calibri" w:hAnsi="Palatino Linotype"/>
          <w:snapToGrid/>
          <w:color w:val="000000"/>
          <w:sz w:val="22"/>
          <w:szCs w:val="22"/>
          <w:lang w:val="nl-NL"/>
        </w:rPr>
        <w:t xml:space="preserve"> gebruikt. De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-oplossing kent de volgende stappen: verzameling, sortering, analyse (op regels gebaseerd, risicoscores en -profilering), “case-workflow” en verspreiding van informatie. De door melders verzonden gegevens gaan naar een “</w:t>
      </w:r>
      <w:proofErr w:type="spellStart"/>
      <w:r w:rsidRPr="00113352">
        <w:rPr>
          <w:rFonts w:ascii="Palatino Linotype" w:eastAsia="Calibri" w:hAnsi="Palatino Linotype"/>
          <w:snapToGrid/>
          <w:color w:val="000000"/>
          <w:sz w:val="22"/>
          <w:szCs w:val="22"/>
          <w:lang w:val="nl-NL"/>
        </w:rPr>
        <w:t>encrypted</w:t>
      </w:r>
      <w:proofErr w:type="spellEnd"/>
      <w:r w:rsidRPr="00113352">
        <w:rPr>
          <w:rFonts w:ascii="Palatino Linotype" w:eastAsia="Calibri" w:hAnsi="Palatino Linotype"/>
          <w:snapToGrid/>
          <w:color w:val="000000"/>
          <w:sz w:val="22"/>
          <w:szCs w:val="22"/>
          <w:lang w:val="nl-NL"/>
        </w:rPr>
        <w:t xml:space="preserve">” database en worden toegankelijk </w:t>
      </w:r>
      <w:r w:rsidRPr="00113352">
        <w:rPr>
          <w:rFonts w:ascii="Palatino Linotype" w:eastAsia="Calibri" w:hAnsi="Palatino Linotype"/>
          <w:snapToGrid/>
          <w:color w:val="000000"/>
          <w:sz w:val="22"/>
          <w:szCs w:val="22"/>
          <w:lang w:val="nl-NL"/>
        </w:rPr>
        <w:lastRenderedPageBreak/>
        <w:t xml:space="preserve">voor het FIU-analysepersoneel. Met het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systeem kan de FIU Curaçao vervolgens uitgebreide analyses uitvoeren. Het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systeem produceert grote hoeveelheden rapporten over transacties, van welke aard dan ook. De rapporten zijn gevuld met alle informatie die nodig is om met de analyse te beginnen, van volledige klantgegevens tot transactiegegevens voor meerdere tijdsbestekken. </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p>
    <w:p w:rsidR="00113352" w:rsidRPr="00113352" w:rsidRDefault="00113352" w:rsidP="00113352">
      <w:pPr>
        <w:widowControl/>
        <w:contextualSpacing/>
        <w:jc w:val="both"/>
        <w:rPr>
          <w:rFonts w:ascii="Palatino Linotype" w:eastAsia="Calibri" w:hAnsi="Palatino Linotype"/>
          <w:snapToGrid/>
          <w:color w:val="000000"/>
          <w:sz w:val="22"/>
          <w:szCs w:val="22"/>
          <w:u w:val="single"/>
          <w:lang w:val="nl-NL"/>
        </w:rPr>
      </w:pPr>
      <w:r w:rsidRPr="00113352">
        <w:rPr>
          <w:rFonts w:ascii="Palatino Linotype" w:eastAsia="Calibri" w:hAnsi="Palatino Linotype"/>
          <w:snapToGrid/>
          <w:color w:val="000000"/>
          <w:sz w:val="22"/>
          <w:szCs w:val="22"/>
          <w:u w:val="single"/>
          <w:lang w:val="nl-NL"/>
        </w:rPr>
        <w:t xml:space="preserve">Het </w:t>
      </w:r>
      <w:proofErr w:type="spellStart"/>
      <w:r w:rsidRPr="00113352">
        <w:rPr>
          <w:rFonts w:ascii="Palatino Linotype" w:eastAsia="Calibri" w:hAnsi="Palatino Linotype"/>
          <w:snapToGrid/>
          <w:color w:val="000000"/>
          <w:sz w:val="22"/>
          <w:szCs w:val="22"/>
          <w:u w:val="single"/>
          <w:lang w:val="nl-NL"/>
        </w:rPr>
        <w:t>goAML</w:t>
      </w:r>
      <w:proofErr w:type="spellEnd"/>
      <w:r w:rsidRPr="00113352">
        <w:rPr>
          <w:rFonts w:ascii="Palatino Linotype" w:eastAsia="Calibri" w:hAnsi="Palatino Linotype"/>
          <w:snapToGrid/>
          <w:color w:val="000000"/>
          <w:sz w:val="22"/>
          <w:szCs w:val="22"/>
          <w:u w:val="single"/>
          <w:lang w:val="nl-NL"/>
        </w:rPr>
        <w:t xml:space="preserve"> portaal</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Het nieuwe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meldportaal is een web applicatie waarmee gebruikers gemakkelijk en veilig meldingen kunnen doen van ongebruikelijke transacties en nadere gegevens en inlichtingen kunnen verstrekken via een gewone webbrowser met een internetverbinding, en beheer en rapportages over hun eigen meldgegevens kunnen uitvoeren.</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De gebruikers melden ongebruikelijke transacties via het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meldportaal en ontvangen een elektronische bevestiging (via e-mail) dat de specifieke transacties zijn ontvangen </w:t>
      </w:r>
      <w:r w:rsidR="005F73B0" w:rsidRPr="00113352">
        <w:rPr>
          <w:rFonts w:ascii="Palatino Linotype" w:eastAsia="Calibri" w:hAnsi="Palatino Linotype"/>
          <w:snapToGrid/>
          <w:color w:val="000000"/>
          <w:sz w:val="22"/>
          <w:szCs w:val="22"/>
          <w:lang w:val="nl-NL"/>
        </w:rPr>
        <w:t xml:space="preserve">door </w:t>
      </w:r>
      <w:r w:rsidRPr="00113352">
        <w:rPr>
          <w:rFonts w:ascii="Palatino Linotype" w:eastAsia="Calibri" w:hAnsi="Palatino Linotype"/>
          <w:snapToGrid/>
          <w:color w:val="000000"/>
          <w:sz w:val="22"/>
          <w:szCs w:val="22"/>
          <w:lang w:val="nl-NL"/>
        </w:rPr>
        <w:t>de Financiële Inlichtingen Eenheid Curaçao.</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De Financiële Inlichtingen Eenheid Curaçao zal de melderook (via email en het meldportaal) informeren wanneer een gemelde transactie nog niet is geaccepteerd wegens tekortkomingen. Ook indien een transactie verdacht wordt verklaard zal de melder een elektronisch bericht ontvangen. De Financiële Inlichtingen Eenheid Curaçao zal ook haar bevragingen aan dienstverleners via het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meldportaal uitvoeren. Verder zal het portaal als veilig communicatieplatform met ketenpartners en Anti Money </w:t>
      </w:r>
      <w:proofErr w:type="spellStart"/>
      <w:r w:rsidRPr="00113352">
        <w:rPr>
          <w:rFonts w:ascii="Palatino Linotype" w:eastAsia="Calibri" w:hAnsi="Palatino Linotype"/>
          <w:snapToGrid/>
          <w:color w:val="000000"/>
          <w:sz w:val="22"/>
          <w:szCs w:val="22"/>
          <w:lang w:val="nl-NL"/>
        </w:rPr>
        <w:t>Laundering</w:t>
      </w:r>
      <w:proofErr w:type="spellEnd"/>
      <w:r w:rsidRPr="00113352">
        <w:rPr>
          <w:rFonts w:ascii="Palatino Linotype" w:eastAsia="Calibri" w:hAnsi="Palatino Linotype"/>
          <w:snapToGrid/>
          <w:color w:val="000000"/>
          <w:sz w:val="22"/>
          <w:szCs w:val="22"/>
          <w:lang w:val="nl-NL"/>
        </w:rPr>
        <w:t>/</w:t>
      </w:r>
      <w:proofErr w:type="spellStart"/>
      <w:r w:rsidRPr="00113352">
        <w:rPr>
          <w:rFonts w:ascii="Palatino Linotype" w:eastAsia="Calibri" w:hAnsi="Palatino Linotype"/>
          <w:snapToGrid/>
          <w:color w:val="000000"/>
          <w:sz w:val="22"/>
          <w:szCs w:val="22"/>
          <w:lang w:val="nl-NL"/>
        </w:rPr>
        <w:t>the</w:t>
      </w:r>
      <w:proofErr w:type="spellEnd"/>
      <w:r w:rsidRPr="00113352">
        <w:rPr>
          <w:rFonts w:ascii="Palatino Linotype" w:eastAsia="Calibri" w:hAnsi="Palatino Linotype"/>
          <w:snapToGrid/>
          <w:color w:val="000000"/>
          <w:sz w:val="22"/>
          <w:szCs w:val="22"/>
          <w:lang w:val="nl-NL"/>
        </w:rPr>
        <w:t xml:space="preserve"> </w:t>
      </w:r>
      <w:proofErr w:type="spellStart"/>
      <w:r w:rsidRPr="00113352">
        <w:rPr>
          <w:rFonts w:ascii="Palatino Linotype" w:eastAsia="Calibri" w:hAnsi="Palatino Linotype"/>
          <w:snapToGrid/>
          <w:color w:val="000000"/>
          <w:sz w:val="22"/>
          <w:szCs w:val="22"/>
          <w:lang w:val="nl-NL"/>
        </w:rPr>
        <w:t>Countering</w:t>
      </w:r>
      <w:proofErr w:type="spellEnd"/>
      <w:r w:rsidRPr="00113352">
        <w:rPr>
          <w:rFonts w:ascii="Palatino Linotype" w:eastAsia="Calibri" w:hAnsi="Palatino Linotype"/>
          <w:snapToGrid/>
          <w:color w:val="000000"/>
          <w:sz w:val="22"/>
          <w:szCs w:val="22"/>
          <w:lang w:val="nl-NL"/>
        </w:rPr>
        <w:t xml:space="preserve"> of </w:t>
      </w:r>
      <w:proofErr w:type="spellStart"/>
      <w:r w:rsidRPr="00113352">
        <w:rPr>
          <w:rFonts w:ascii="Palatino Linotype" w:eastAsia="Calibri" w:hAnsi="Palatino Linotype"/>
          <w:snapToGrid/>
          <w:color w:val="000000"/>
          <w:sz w:val="22"/>
          <w:szCs w:val="22"/>
          <w:lang w:val="nl-NL"/>
        </w:rPr>
        <w:t>Financing</w:t>
      </w:r>
      <w:proofErr w:type="spellEnd"/>
      <w:r w:rsidRPr="00113352">
        <w:rPr>
          <w:rFonts w:ascii="Palatino Linotype" w:eastAsia="Calibri" w:hAnsi="Palatino Linotype"/>
          <w:snapToGrid/>
          <w:color w:val="000000"/>
          <w:sz w:val="22"/>
          <w:szCs w:val="22"/>
          <w:lang w:val="nl-NL"/>
        </w:rPr>
        <w:t xml:space="preserve"> of </w:t>
      </w:r>
      <w:proofErr w:type="spellStart"/>
      <w:r w:rsidRPr="00113352">
        <w:rPr>
          <w:rFonts w:ascii="Palatino Linotype" w:eastAsia="Calibri" w:hAnsi="Palatino Linotype"/>
          <w:snapToGrid/>
          <w:color w:val="000000"/>
          <w:sz w:val="22"/>
          <w:szCs w:val="22"/>
          <w:lang w:val="nl-NL"/>
        </w:rPr>
        <w:t>Terrorism</w:t>
      </w:r>
      <w:proofErr w:type="spellEnd"/>
      <w:r w:rsidRPr="00113352">
        <w:rPr>
          <w:rFonts w:ascii="Palatino Linotype" w:eastAsia="Calibri" w:hAnsi="Palatino Linotype"/>
          <w:snapToGrid/>
          <w:color w:val="000000"/>
          <w:sz w:val="22"/>
          <w:szCs w:val="22"/>
          <w:lang w:val="nl-NL"/>
        </w:rPr>
        <w:t xml:space="preserve"> Toezichthouders (hierna: AML/CFT Toezichthouders) kunnen worden gebruikt. </w:t>
      </w:r>
    </w:p>
    <w:p w:rsidR="00113352" w:rsidRPr="00113352" w:rsidRDefault="00113352" w:rsidP="00113352">
      <w:pPr>
        <w:widowControl/>
        <w:ind w:left="720"/>
        <w:contextualSpacing/>
        <w:jc w:val="both"/>
        <w:rPr>
          <w:rFonts w:ascii="Palatino Linotype" w:eastAsia="Calibri" w:hAnsi="Palatino Linotype"/>
          <w:snapToGrid/>
          <w:color w:val="000000"/>
          <w:sz w:val="22"/>
          <w:szCs w:val="22"/>
          <w:lang w:val="nl-NL"/>
        </w:rPr>
      </w:pPr>
    </w:p>
    <w:p w:rsidR="00113352" w:rsidRPr="00113352" w:rsidRDefault="00113352" w:rsidP="00113352">
      <w:pPr>
        <w:widowControl/>
        <w:contextualSpacing/>
        <w:jc w:val="both"/>
        <w:rPr>
          <w:rFonts w:ascii="Palatino Linotype" w:eastAsia="Calibri" w:hAnsi="Palatino Linotype"/>
          <w:snapToGrid/>
          <w:color w:val="000000"/>
          <w:sz w:val="22"/>
          <w:szCs w:val="22"/>
          <w:u w:val="single"/>
          <w:lang w:val="nl-NL"/>
        </w:rPr>
      </w:pPr>
      <w:r w:rsidRPr="00113352">
        <w:rPr>
          <w:rFonts w:ascii="Palatino Linotype" w:eastAsia="Calibri" w:hAnsi="Palatino Linotype"/>
          <w:snapToGrid/>
          <w:color w:val="000000"/>
          <w:sz w:val="22"/>
          <w:szCs w:val="22"/>
          <w:u w:val="single"/>
          <w:lang w:val="nl-NL"/>
        </w:rPr>
        <w:t xml:space="preserve">Toegang en beveiliging van het </w:t>
      </w:r>
      <w:proofErr w:type="spellStart"/>
      <w:r w:rsidRPr="00113352">
        <w:rPr>
          <w:rFonts w:ascii="Palatino Linotype" w:eastAsia="Calibri" w:hAnsi="Palatino Linotype"/>
          <w:snapToGrid/>
          <w:color w:val="000000"/>
          <w:sz w:val="22"/>
          <w:szCs w:val="22"/>
          <w:u w:val="single"/>
          <w:lang w:val="nl-NL"/>
        </w:rPr>
        <w:t>goAML</w:t>
      </w:r>
      <w:proofErr w:type="spellEnd"/>
      <w:r w:rsidRPr="00113352">
        <w:rPr>
          <w:rFonts w:ascii="Palatino Linotype" w:eastAsia="Calibri" w:hAnsi="Palatino Linotype"/>
          <w:snapToGrid/>
          <w:color w:val="000000"/>
          <w:sz w:val="22"/>
          <w:szCs w:val="22"/>
          <w:u w:val="single"/>
          <w:lang w:val="nl-NL"/>
        </w:rPr>
        <w:t xml:space="preserve"> portaal</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De bescherming van informatie is van het grootste belang en daarom is het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portaal zeer hoog beveiligd. Gebruikers krijgen toegang met gebruikersnaam en wachtwoord die beheerd worden door een door de melder zelf aangewezen administrator (waarbij de voorkeur uitgaat naar de “compliance </w:t>
      </w:r>
      <w:proofErr w:type="spellStart"/>
      <w:r w:rsidRPr="00113352">
        <w:rPr>
          <w:rFonts w:ascii="Palatino Linotype" w:eastAsia="Calibri" w:hAnsi="Palatino Linotype"/>
          <w:snapToGrid/>
          <w:color w:val="000000"/>
          <w:sz w:val="22"/>
          <w:szCs w:val="22"/>
          <w:lang w:val="nl-NL"/>
        </w:rPr>
        <w:t>officer</w:t>
      </w:r>
      <w:proofErr w:type="spellEnd"/>
      <w:r w:rsidRPr="00113352">
        <w:rPr>
          <w:rFonts w:ascii="Palatino Linotype" w:eastAsia="Calibri" w:hAnsi="Palatino Linotype"/>
          <w:snapToGrid/>
          <w:color w:val="000000"/>
          <w:sz w:val="22"/>
          <w:szCs w:val="22"/>
          <w:lang w:val="nl-NL"/>
        </w:rPr>
        <w:t>”). Uiteindelijke toegang wordt na validatie, verleend door het ondersteuningsteam van de Financiële Inlichtingen Eenheid Curaçao.</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p>
    <w:p w:rsidR="00113352" w:rsidRPr="00113352" w:rsidRDefault="00113352" w:rsidP="00113352">
      <w:pPr>
        <w:widowControl/>
        <w:contextualSpacing/>
        <w:jc w:val="both"/>
        <w:rPr>
          <w:rFonts w:ascii="Palatino Linotype" w:eastAsia="Calibri" w:hAnsi="Palatino Linotype"/>
          <w:snapToGrid/>
          <w:color w:val="000000"/>
          <w:sz w:val="22"/>
          <w:szCs w:val="22"/>
          <w:u w:val="single"/>
          <w:lang w:val="nl-NL"/>
        </w:rPr>
      </w:pPr>
      <w:r w:rsidRPr="00113352">
        <w:rPr>
          <w:rFonts w:ascii="Palatino Linotype" w:eastAsia="Calibri" w:hAnsi="Palatino Linotype"/>
          <w:snapToGrid/>
          <w:color w:val="000000"/>
          <w:sz w:val="22"/>
          <w:szCs w:val="22"/>
          <w:u w:val="single"/>
          <w:lang w:val="nl-NL"/>
        </w:rPr>
        <w:t>Melden</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Het melden van een transactie via het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Meldportaal vindt plaats door het invullen van een </w:t>
      </w:r>
      <w:proofErr w:type="spellStart"/>
      <w:r w:rsidRPr="00113352">
        <w:rPr>
          <w:rFonts w:ascii="Palatino Linotype" w:eastAsia="Calibri" w:hAnsi="Palatino Linotype"/>
          <w:snapToGrid/>
          <w:color w:val="000000"/>
          <w:sz w:val="22"/>
          <w:szCs w:val="22"/>
          <w:lang w:val="nl-NL"/>
        </w:rPr>
        <w:t>webform</w:t>
      </w:r>
      <w:proofErr w:type="spellEnd"/>
      <w:r w:rsidRPr="00113352">
        <w:rPr>
          <w:rFonts w:ascii="Palatino Linotype" w:eastAsia="Calibri" w:hAnsi="Palatino Linotype"/>
          <w:snapToGrid/>
          <w:color w:val="000000"/>
          <w:sz w:val="22"/>
          <w:szCs w:val="22"/>
          <w:lang w:val="nl-NL"/>
        </w:rPr>
        <w:t xml:space="preserve">. Het </w:t>
      </w:r>
      <w:proofErr w:type="spellStart"/>
      <w:r w:rsidRPr="00113352">
        <w:rPr>
          <w:rFonts w:ascii="Palatino Linotype" w:eastAsia="Calibri" w:hAnsi="Palatino Linotype"/>
          <w:snapToGrid/>
          <w:color w:val="000000"/>
          <w:sz w:val="22"/>
          <w:szCs w:val="22"/>
          <w:lang w:val="nl-NL"/>
        </w:rPr>
        <w:t>webform</w:t>
      </w:r>
      <w:proofErr w:type="spellEnd"/>
      <w:r w:rsidRPr="00113352">
        <w:rPr>
          <w:rFonts w:ascii="Palatino Linotype" w:eastAsia="Calibri" w:hAnsi="Palatino Linotype"/>
          <w:snapToGrid/>
          <w:color w:val="000000"/>
          <w:sz w:val="22"/>
          <w:szCs w:val="22"/>
          <w:lang w:val="nl-NL"/>
        </w:rPr>
        <w:t xml:space="preserve"> bestaat uit twee delen:</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1. Informatie over de meldende dienstverlener en de door deze aangewezen meldende persoon. Deze informatie blijft hetzelfde voor elke melding die door deze persoon wordt gemaakt.</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2. De feitelijke transactie-informatie, die per transactie wordt ingevuld, naargelang de gemaakte keuzes bij het invullen van het </w:t>
      </w:r>
      <w:proofErr w:type="spellStart"/>
      <w:r w:rsidRPr="00113352">
        <w:rPr>
          <w:rFonts w:ascii="Palatino Linotype" w:eastAsia="Calibri" w:hAnsi="Palatino Linotype"/>
          <w:snapToGrid/>
          <w:color w:val="000000"/>
          <w:sz w:val="22"/>
          <w:szCs w:val="22"/>
          <w:lang w:val="nl-NL"/>
        </w:rPr>
        <w:t>webform</w:t>
      </w:r>
      <w:proofErr w:type="spellEnd"/>
      <w:r w:rsidRPr="00113352">
        <w:rPr>
          <w:rFonts w:ascii="Palatino Linotype" w:eastAsia="Calibri" w:hAnsi="Palatino Linotype"/>
          <w:snapToGrid/>
          <w:color w:val="000000"/>
          <w:sz w:val="22"/>
          <w:szCs w:val="22"/>
          <w:lang w:val="nl-NL"/>
        </w:rPr>
        <w:t xml:space="preserve">. De Financiële Inlichtingen Eenheid Curaçao geeft aan welke velden verplicht zijn en ingevuld moeten worden voor indiening. Informatie dient per transactierapport te worden ingevuld, zoals toepasselijke indicator(en) en verdere transactie-specifieke details en eventuele bijlagen. </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Het meldportaal is gesteld in de Engelse taal. Ook van dienstverleners wordt verwacht dat zij in de Engelse taal communiceren. Dit vanwege het internationale karakter van de werkzaamheden van de Financiële Inlichtingen Eenheid </w:t>
      </w:r>
      <w:proofErr w:type="gramStart"/>
      <w:r w:rsidRPr="00113352">
        <w:rPr>
          <w:rFonts w:ascii="Palatino Linotype" w:eastAsia="Calibri" w:hAnsi="Palatino Linotype"/>
          <w:snapToGrid/>
          <w:color w:val="000000"/>
          <w:sz w:val="22"/>
          <w:szCs w:val="22"/>
          <w:lang w:val="nl-NL"/>
        </w:rPr>
        <w:t xml:space="preserve">Curaçao.  </w:t>
      </w:r>
      <w:proofErr w:type="gramEnd"/>
    </w:p>
    <w:p w:rsidR="00113352" w:rsidRPr="00113352" w:rsidRDefault="00113352" w:rsidP="00113352">
      <w:pPr>
        <w:widowControl/>
        <w:ind w:left="720"/>
        <w:contextualSpacing/>
        <w:jc w:val="both"/>
        <w:rPr>
          <w:rFonts w:ascii="Palatino Linotype" w:eastAsia="Calibri" w:hAnsi="Palatino Linotype"/>
          <w:snapToGrid/>
          <w:color w:val="000000"/>
          <w:sz w:val="22"/>
          <w:szCs w:val="22"/>
          <w:lang w:val="nl-NL"/>
        </w:rPr>
      </w:pP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Meldende dienstverleners kunnen ook kiezen om transacties geautomatiseerd in batchvorm aan te leveren via het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Meldportaal. </w:t>
      </w:r>
    </w:p>
    <w:p w:rsidR="00113352" w:rsidRPr="00113352" w:rsidRDefault="00113352" w:rsidP="00113352">
      <w:pPr>
        <w:widowControl/>
        <w:contextualSpacing/>
        <w:jc w:val="both"/>
        <w:rPr>
          <w:rFonts w:ascii="Palatino Linotype" w:eastAsia="Calibri" w:hAnsi="Palatino Linotype"/>
          <w:snapToGrid/>
          <w:sz w:val="22"/>
          <w:szCs w:val="22"/>
          <w:lang w:val="nl-NL"/>
        </w:rPr>
      </w:pPr>
    </w:p>
    <w:p w:rsidR="00113352" w:rsidRPr="00113352" w:rsidRDefault="00113352" w:rsidP="00113352">
      <w:pPr>
        <w:widowControl/>
        <w:numPr>
          <w:ilvl w:val="0"/>
          <w:numId w:val="1"/>
        </w:numPr>
        <w:spacing w:after="200" w:line="276" w:lineRule="auto"/>
        <w:ind w:left="270" w:hanging="270"/>
        <w:contextualSpacing/>
        <w:jc w:val="both"/>
        <w:rPr>
          <w:rFonts w:ascii="Palatino Linotype" w:eastAsia="Calibri" w:hAnsi="Palatino Linotype"/>
          <w:snapToGrid/>
          <w:sz w:val="22"/>
          <w:szCs w:val="22"/>
          <w:u w:val="single"/>
          <w:lang w:val="nl-NL"/>
        </w:rPr>
      </w:pPr>
      <w:r w:rsidRPr="00113352">
        <w:rPr>
          <w:rFonts w:ascii="Palatino Linotype" w:eastAsia="Calibri" w:hAnsi="Palatino Linotype" w:cs="Calibri"/>
          <w:snapToGrid/>
          <w:sz w:val="22"/>
          <w:szCs w:val="22"/>
          <w:lang w:val="nl-NL"/>
        </w:rPr>
        <w:t xml:space="preserve"> </w:t>
      </w:r>
      <w:r w:rsidRPr="00113352">
        <w:rPr>
          <w:rFonts w:ascii="Palatino Linotype" w:eastAsia="Calibri" w:hAnsi="Palatino Linotype" w:cs="Calibri"/>
          <w:snapToGrid/>
          <w:sz w:val="22"/>
          <w:szCs w:val="22"/>
          <w:u w:val="single"/>
          <w:lang w:val="nl-NL"/>
        </w:rPr>
        <w:t xml:space="preserve">Financiële gevolgen </w:t>
      </w:r>
    </w:p>
    <w:p w:rsidR="007D69AE"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Er zijn geen negatieve financiële consequenties voor het Land te verwachten. Vanwege technisch en functioneel sterke veroudering van het </w:t>
      </w:r>
      <w:proofErr w:type="spellStart"/>
      <w:r w:rsidRPr="00113352">
        <w:rPr>
          <w:rFonts w:ascii="Palatino Linotype" w:eastAsia="Calibri" w:hAnsi="Palatino Linotype"/>
          <w:snapToGrid/>
          <w:color w:val="000000"/>
          <w:sz w:val="22"/>
          <w:szCs w:val="22"/>
          <w:lang w:val="nl-NL"/>
        </w:rPr>
        <w:t>Corsys</w:t>
      </w:r>
      <w:proofErr w:type="spellEnd"/>
      <w:r w:rsidRPr="00113352">
        <w:rPr>
          <w:rFonts w:ascii="Palatino Linotype" w:eastAsia="Calibri" w:hAnsi="Palatino Linotype"/>
          <w:snapToGrid/>
          <w:color w:val="000000"/>
          <w:sz w:val="22"/>
          <w:szCs w:val="22"/>
          <w:lang w:val="nl-NL"/>
        </w:rPr>
        <w:t xml:space="preserve"> meldsysteem was reeds enige tijd voorzien dat de FIU Curaçao over zou gaan naar het nieuw meldsysteem. Veel kosten voor introductie van het nieuwe meld- en analyse systeem, het </w:t>
      </w:r>
      <w:proofErr w:type="spellStart"/>
      <w:r w:rsidRPr="00113352">
        <w:rPr>
          <w:rFonts w:ascii="Palatino Linotype" w:eastAsia="Calibri" w:hAnsi="Palatino Linotype"/>
          <w:snapToGrid/>
          <w:color w:val="000000"/>
          <w:sz w:val="22"/>
          <w:szCs w:val="22"/>
          <w:lang w:val="nl-NL"/>
        </w:rPr>
        <w:t>goAML</w:t>
      </w:r>
      <w:proofErr w:type="spellEnd"/>
      <w:r w:rsidRPr="00113352">
        <w:rPr>
          <w:rFonts w:ascii="Palatino Linotype" w:eastAsia="Calibri" w:hAnsi="Palatino Linotype"/>
          <w:snapToGrid/>
          <w:color w:val="000000"/>
          <w:sz w:val="22"/>
          <w:szCs w:val="22"/>
          <w:lang w:val="nl-NL"/>
        </w:rPr>
        <w:t xml:space="preserve"> meldportaal, zijn daarom via de begroting van FIU Curaçao over de voorgaande jaren reeds gefinancierd. De nu nog voorziene waaronder de kosten voor licentie, onderhoud, helpdesk, aansluiting op database en software updates, zijn opgenomen in de ontwerpbegroting voor het jaar 2021 van het </w:t>
      </w:r>
      <w:proofErr w:type="gramStart"/>
      <w:r w:rsidRPr="00113352">
        <w:rPr>
          <w:rFonts w:ascii="Palatino Linotype" w:eastAsia="Calibri" w:hAnsi="Palatino Linotype"/>
          <w:snapToGrid/>
          <w:color w:val="000000"/>
          <w:sz w:val="22"/>
          <w:szCs w:val="22"/>
          <w:lang w:val="nl-NL"/>
        </w:rPr>
        <w:t xml:space="preserve">Land.  </w:t>
      </w:r>
      <w:proofErr w:type="gramEnd"/>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r w:rsidRPr="00113352">
        <w:rPr>
          <w:rFonts w:ascii="Palatino Linotype" w:eastAsia="Calibri" w:hAnsi="Palatino Linotype"/>
          <w:snapToGrid/>
          <w:color w:val="000000"/>
          <w:sz w:val="22"/>
          <w:szCs w:val="22"/>
          <w:lang w:val="nl-NL"/>
        </w:rPr>
        <w:t xml:space="preserve">De kosten zijn als volgt: </w:t>
      </w:r>
    </w:p>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p>
    <w:tbl>
      <w:tblPr>
        <w:tblStyle w:val="TableGrid1"/>
        <w:tblW w:w="0" w:type="auto"/>
        <w:tblLook w:val="04A0" w:firstRow="1" w:lastRow="0" w:firstColumn="1" w:lastColumn="0" w:noHBand="0" w:noVBand="1"/>
      </w:tblPr>
      <w:tblGrid>
        <w:gridCol w:w="3080"/>
        <w:gridCol w:w="3081"/>
        <w:gridCol w:w="3081"/>
      </w:tblGrid>
      <w:tr w:rsidR="00113352" w:rsidRPr="00113352" w:rsidTr="005964B5">
        <w:tc>
          <w:tcPr>
            <w:tcW w:w="3080"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Titel</w:t>
            </w:r>
          </w:p>
        </w:tc>
        <w:tc>
          <w:tcPr>
            <w:tcW w:w="3081" w:type="dxa"/>
          </w:tcPr>
          <w:p w:rsidR="00113352" w:rsidRPr="00113352" w:rsidRDefault="00113352" w:rsidP="00113352">
            <w:pPr>
              <w:widowControl/>
              <w:contextualSpacing/>
              <w:jc w:val="center"/>
              <w:rPr>
                <w:rFonts w:ascii="Palatino Linotype" w:hAnsi="Palatino Linotype"/>
                <w:color w:val="000000"/>
                <w:sz w:val="22"/>
              </w:rPr>
            </w:pPr>
            <w:r w:rsidRPr="00113352">
              <w:rPr>
                <w:rFonts w:ascii="Palatino Linotype" w:hAnsi="Palatino Linotype"/>
                <w:color w:val="000000"/>
                <w:sz w:val="22"/>
              </w:rPr>
              <w:t xml:space="preserve">Bedrag </w:t>
            </w:r>
            <w:proofErr w:type="spellStart"/>
            <w:r w:rsidRPr="00113352">
              <w:rPr>
                <w:rFonts w:ascii="Palatino Linotype" w:hAnsi="Palatino Linotype"/>
                <w:color w:val="000000"/>
                <w:sz w:val="22"/>
              </w:rPr>
              <w:t>NAf</w:t>
            </w:r>
            <w:proofErr w:type="spellEnd"/>
          </w:p>
        </w:tc>
        <w:tc>
          <w:tcPr>
            <w:tcW w:w="3081"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Opmerkingen</w:t>
            </w:r>
          </w:p>
        </w:tc>
      </w:tr>
      <w:tr w:rsidR="00113352" w:rsidRPr="00113352" w:rsidTr="005964B5">
        <w:tc>
          <w:tcPr>
            <w:tcW w:w="3080"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Licentie en onderhoud fee aan UNODC</w:t>
            </w:r>
            <w:r w:rsidRPr="00113352">
              <w:rPr>
                <w:rFonts w:ascii="Palatino Linotype" w:hAnsi="Palatino Linotype"/>
                <w:color w:val="000000"/>
                <w:sz w:val="22"/>
                <w:vertAlign w:val="superscript"/>
              </w:rPr>
              <w:footnoteReference w:id="6"/>
            </w:r>
          </w:p>
        </w:tc>
        <w:tc>
          <w:tcPr>
            <w:tcW w:w="3081" w:type="dxa"/>
          </w:tcPr>
          <w:p w:rsidR="00113352" w:rsidRPr="00113352" w:rsidRDefault="00113352" w:rsidP="00113352">
            <w:pPr>
              <w:widowControl/>
              <w:contextualSpacing/>
              <w:jc w:val="center"/>
              <w:rPr>
                <w:rFonts w:ascii="Palatino Linotype" w:hAnsi="Palatino Linotype"/>
                <w:color w:val="000000"/>
                <w:sz w:val="22"/>
              </w:rPr>
            </w:pPr>
            <w:r w:rsidRPr="00113352">
              <w:rPr>
                <w:rFonts w:ascii="Palatino Linotype" w:hAnsi="Palatino Linotype"/>
                <w:color w:val="000000"/>
                <w:sz w:val="22"/>
              </w:rPr>
              <w:t>109.000,00</w:t>
            </w:r>
          </w:p>
        </w:tc>
        <w:tc>
          <w:tcPr>
            <w:tcW w:w="3081"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Structureel jaarlijks</w:t>
            </w:r>
          </w:p>
        </w:tc>
      </w:tr>
      <w:tr w:rsidR="00113352" w:rsidRPr="00113352" w:rsidTr="005964B5">
        <w:tc>
          <w:tcPr>
            <w:tcW w:w="3080"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 xml:space="preserve">Meld Kiosk voor </w:t>
            </w:r>
            <w:proofErr w:type="spellStart"/>
            <w:r w:rsidRPr="00113352">
              <w:rPr>
                <w:rFonts w:ascii="Palatino Linotype" w:hAnsi="Palatino Linotype"/>
                <w:color w:val="000000"/>
                <w:sz w:val="22"/>
              </w:rPr>
              <w:t>goAML</w:t>
            </w:r>
            <w:proofErr w:type="spellEnd"/>
            <w:r w:rsidRPr="00113352">
              <w:rPr>
                <w:rFonts w:ascii="Palatino Linotype" w:hAnsi="Palatino Linotype"/>
                <w:color w:val="000000"/>
                <w:sz w:val="22"/>
              </w:rPr>
              <w:t xml:space="preserve"> bij de Douane</w:t>
            </w:r>
          </w:p>
        </w:tc>
        <w:tc>
          <w:tcPr>
            <w:tcW w:w="3081" w:type="dxa"/>
          </w:tcPr>
          <w:p w:rsidR="00113352" w:rsidRPr="00113352" w:rsidRDefault="00113352" w:rsidP="00113352">
            <w:pPr>
              <w:widowControl/>
              <w:contextualSpacing/>
              <w:jc w:val="center"/>
              <w:rPr>
                <w:rFonts w:ascii="Palatino Linotype" w:hAnsi="Palatino Linotype"/>
                <w:color w:val="000000"/>
                <w:sz w:val="22"/>
              </w:rPr>
            </w:pPr>
            <w:r w:rsidRPr="00113352">
              <w:rPr>
                <w:rFonts w:ascii="Palatino Linotype" w:hAnsi="Palatino Linotype"/>
                <w:color w:val="000000"/>
                <w:sz w:val="22"/>
              </w:rPr>
              <w:t>100.000,00</w:t>
            </w:r>
          </w:p>
        </w:tc>
        <w:tc>
          <w:tcPr>
            <w:tcW w:w="3081"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Eenmalig</w:t>
            </w:r>
          </w:p>
        </w:tc>
      </w:tr>
      <w:tr w:rsidR="00113352" w:rsidRPr="00113352" w:rsidTr="005964B5">
        <w:tc>
          <w:tcPr>
            <w:tcW w:w="3080"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 xml:space="preserve">Advieskosten bij de introductie van </w:t>
            </w:r>
            <w:proofErr w:type="spellStart"/>
            <w:r w:rsidRPr="00113352">
              <w:rPr>
                <w:rFonts w:ascii="Palatino Linotype" w:hAnsi="Palatino Linotype"/>
                <w:color w:val="000000"/>
                <w:sz w:val="22"/>
              </w:rPr>
              <w:t>goAML</w:t>
            </w:r>
            <w:proofErr w:type="spellEnd"/>
          </w:p>
        </w:tc>
        <w:tc>
          <w:tcPr>
            <w:tcW w:w="3081" w:type="dxa"/>
          </w:tcPr>
          <w:p w:rsidR="00113352" w:rsidRPr="00113352" w:rsidRDefault="00113352" w:rsidP="00113352">
            <w:pPr>
              <w:widowControl/>
              <w:contextualSpacing/>
              <w:jc w:val="center"/>
              <w:rPr>
                <w:rFonts w:ascii="Palatino Linotype" w:hAnsi="Palatino Linotype"/>
                <w:color w:val="000000"/>
                <w:sz w:val="22"/>
              </w:rPr>
            </w:pPr>
            <w:r w:rsidRPr="00113352">
              <w:rPr>
                <w:rFonts w:ascii="Palatino Linotype" w:hAnsi="Palatino Linotype"/>
                <w:color w:val="000000"/>
                <w:sz w:val="22"/>
              </w:rPr>
              <w:t>55.000,00</w:t>
            </w:r>
          </w:p>
        </w:tc>
        <w:tc>
          <w:tcPr>
            <w:tcW w:w="3081"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Eenmalig ter ondersteuning</w:t>
            </w:r>
          </w:p>
        </w:tc>
      </w:tr>
      <w:tr w:rsidR="00113352" w:rsidRPr="00113352" w:rsidTr="005964B5">
        <w:tc>
          <w:tcPr>
            <w:tcW w:w="3080"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Analyse software</w:t>
            </w:r>
          </w:p>
        </w:tc>
        <w:tc>
          <w:tcPr>
            <w:tcW w:w="3081" w:type="dxa"/>
          </w:tcPr>
          <w:p w:rsidR="00113352" w:rsidRPr="00113352" w:rsidRDefault="00113352" w:rsidP="00113352">
            <w:pPr>
              <w:widowControl/>
              <w:contextualSpacing/>
              <w:jc w:val="center"/>
              <w:rPr>
                <w:rFonts w:ascii="Palatino Linotype" w:hAnsi="Palatino Linotype"/>
                <w:color w:val="000000"/>
                <w:sz w:val="22"/>
              </w:rPr>
            </w:pPr>
            <w:r w:rsidRPr="00113352">
              <w:rPr>
                <w:rFonts w:ascii="Palatino Linotype" w:hAnsi="Palatino Linotype"/>
                <w:color w:val="000000"/>
                <w:sz w:val="22"/>
              </w:rPr>
              <w:t>100.000,00</w:t>
            </w:r>
          </w:p>
        </w:tc>
        <w:tc>
          <w:tcPr>
            <w:tcW w:w="3081"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Structureel jaarlijks</w:t>
            </w:r>
          </w:p>
        </w:tc>
      </w:tr>
      <w:tr w:rsidR="00113352" w:rsidRPr="00113352" w:rsidTr="005964B5">
        <w:tc>
          <w:tcPr>
            <w:tcW w:w="3080"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Aansluiting op het database van KPC</w:t>
            </w:r>
          </w:p>
        </w:tc>
        <w:tc>
          <w:tcPr>
            <w:tcW w:w="3081" w:type="dxa"/>
          </w:tcPr>
          <w:p w:rsidR="00113352" w:rsidRPr="00113352" w:rsidRDefault="00113352" w:rsidP="00113352">
            <w:pPr>
              <w:widowControl/>
              <w:contextualSpacing/>
              <w:jc w:val="center"/>
              <w:rPr>
                <w:rFonts w:ascii="Palatino Linotype" w:hAnsi="Palatino Linotype"/>
                <w:color w:val="000000"/>
                <w:sz w:val="22"/>
              </w:rPr>
            </w:pPr>
            <w:r w:rsidRPr="00113352">
              <w:rPr>
                <w:rFonts w:ascii="Palatino Linotype" w:hAnsi="Palatino Linotype"/>
                <w:color w:val="000000"/>
                <w:sz w:val="22"/>
              </w:rPr>
              <w:t>75.000,00</w:t>
            </w:r>
          </w:p>
        </w:tc>
        <w:tc>
          <w:tcPr>
            <w:tcW w:w="3081"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Eenmalig</w:t>
            </w:r>
          </w:p>
        </w:tc>
      </w:tr>
      <w:tr w:rsidR="00113352" w:rsidRPr="00113352" w:rsidTr="005964B5">
        <w:tc>
          <w:tcPr>
            <w:tcW w:w="3080"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Technische Helpdesk voor melders</w:t>
            </w:r>
          </w:p>
        </w:tc>
        <w:tc>
          <w:tcPr>
            <w:tcW w:w="3081" w:type="dxa"/>
          </w:tcPr>
          <w:p w:rsidR="00113352" w:rsidRPr="00113352" w:rsidRDefault="00113352" w:rsidP="00113352">
            <w:pPr>
              <w:widowControl/>
              <w:contextualSpacing/>
              <w:jc w:val="center"/>
              <w:rPr>
                <w:rFonts w:ascii="Palatino Linotype" w:hAnsi="Palatino Linotype"/>
                <w:color w:val="000000"/>
                <w:sz w:val="22"/>
              </w:rPr>
            </w:pPr>
            <w:r w:rsidRPr="00113352">
              <w:rPr>
                <w:rFonts w:ascii="Palatino Linotype" w:hAnsi="Palatino Linotype"/>
                <w:color w:val="000000"/>
                <w:sz w:val="22"/>
              </w:rPr>
              <w:t>5.500,00</w:t>
            </w:r>
          </w:p>
        </w:tc>
        <w:tc>
          <w:tcPr>
            <w:tcW w:w="3081"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Structureel jaarlijks</w:t>
            </w:r>
          </w:p>
        </w:tc>
      </w:tr>
      <w:tr w:rsidR="00113352" w:rsidRPr="00113352" w:rsidTr="005964B5">
        <w:tc>
          <w:tcPr>
            <w:tcW w:w="3080" w:type="dxa"/>
          </w:tcPr>
          <w:p w:rsidR="00113352" w:rsidRPr="00113352" w:rsidRDefault="00113352" w:rsidP="00113352">
            <w:pPr>
              <w:widowControl/>
              <w:contextualSpacing/>
              <w:jc w:val="both"/>
              <w:rPr>
                <w:rFonts w:ascii="Palatino Linotype" w:hAnsi="Palatino Linotype"/>
                <w:color w:val="000000"/>
                <w:sz w:val="22"/>
              </w:rPr>
            </w:pPr>
            <w:proofErr w:type="gramStart"/>
            <w:r w:rsidRPr="00113352">
              <w:rPr>
                <w:rFonts w:ascii="Palatino Linotype" w:hAnsi="Palatino Linotype"/>
                <w:color w:val="000000"/>
                <w:sz w:val="22"/>
              </w:rPr>
              <w:t>Update</w:t>
            </w:r>
            <w:proofErr w:type="gramEnd"/>
            <w:r w:rsidRPr="00113352">
              <w:rPr>
                <w:rFonts w:ascii="Palatino Linotype" w:hAnsi="Palatino Linotype"/>
                <w:color w:val="000000"/>
                <w:sz w:val="22"/>
              </w:rPr>
              <w:t xml:space="preserve"> hardware in lijn met het nieuwe meld- en analysesysteem</w:t>
            </w:r>
          </w:p>
        </w:tc>
        <w:tc>
          <w:tcPr>
            <w:tcW w:w="3081" w:type="dxa"/>
          </w:tcPr>
          <w:p w:rsidR="00113352" w:rsidRPr="00113352" w:rsidRDefault="00113352" w:rsidP="00113352">
            <w:pPr>
              <w:widowControl/>
              <w:contextualSpacing/>
              <w:jc w:val="center"/>
              <w:rPr>
                <w:rFonts w:ascii="Palatino Linotype" w:hAnsi="Palatino Linotype"/>
                <w:color w:val="000000"/>
                <w:sz w:val="22"/>
              </w:rPr>
            </w:pPr>
            <w:r w:rsidRPr="00113352">
              <w:rPr>
                <w:rFonts w:ascii="Palatino Linotype" w:hAnsi="Palatino Linotype"/>
                <w:color w:val="000000"/>
                <w:sz w:val="22"/>
              </w:rPr>
              <w:t>100.000,00</w:t>
            </w:r>
          </w:p>
        </w:tc>
        <w:tc>
          <w:tcPr>
            <w:tcW w:w="3081"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Eenmalig</w:t>
            </w:r>
          </w:p>
        </w:tc>
      </w:tr>
      <w:tr w:rsidR="00113352" w:rsidRPr="00113352" w:rsidTr="005964B5">
        <w:tc>
          <w:tcPr>
            <w:tcW w:w="3080"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Totaal</w:t>
            </w:r>
          </w:p>
        </w:tc>
        <w:tc>
          <w:tcPr>
            <w:tcW w:w="3081" w:type="dxa"/>
          </w:tcPr>
          <w:p w:rsidR="00113352" w:rsidRPr="00113352" w:rsidRDefault="00113352" w:rsidP="00113352">
            <w:pPr>
              <w:widowControl/>
              <w:contextualSpacing/>
              <w:jc w:val="center"/>
              <w:rPr>
                <w:rFonts w:ascii="Palatino Linotype" w:hAnsi="Palatino Linotype"/>
                <w:color w:val="000000"/>
                <w:sz w:val="22"/>
              </w:rPr>
            </w:pPr>
            <w:r w:rsidRPr="00113352">
              <w:rPr>
                <w:rFonts w:ascii="Palatino Linotype" w:hAnsi="Palatino Linotype"/>
                <w:color w:val="000000"/>
                <w:sz w:val="22"/>
              </w:rPr>
              <w:t>544.500,00</w:t>
            </w:r>
          </w:p>
        </w:tc>
        <w:tc>
          <w:tcPr>
            <w:tcW w:w="3081" w:type="dxa"/>
          </w:tcPr>
          <w:p w:rsidR="00113352" w:rsidRPr="00113352" w:rsidRDefault="00113352" w:rsidP="00113352">
            <w:pPr>
              <w:widowControl/>
              <w:contextualSpacing/>
              <w:jc w:val="both"/>
              <w:rPr>
                <w:rFonts w:ascii="Palatino Linotype" w:hAnsi="Palatino Linotype"/>
                <w:color w:val="000000"/>
                <w:sz w:val="22"/>
              </w:rPr>
            </w:pPr>
            <w:r w:rsidRPr="00113352">
              <w:rPr>
                <w:rFonts w:ascii="Palatino Linotype" w:hAnsi="Palatino Linotype"/>
                <w:color w:val="000000"/>
                <w:sz w:val="22"/>
              </w:rPr>
              <w:t xml:space="preserve">Waarvan </w:t>
            </w:r>
            <w:proofErr w:type="spellStart"/>
            <w:r w:rsidRPr="00113352">
              <w:rPr>
                <w:rFonts w:ascii="Palatino Linotype" w:hAnsi="Palatino Linotype"/>
                <w:color w:val="000000"/>
                <w:sz w:val="22"/>
              </w:rPr>
              <w:t>NAf</w:t>
            </w:r>
            <w:proofErr w:type="spellEnd"/>
            <w:r w:rsidRPr="00113352">
              <w:rPr>
                <w:rFonts w:ascii="Palatino Linotype" w:hAnsi="Palatino Linotype"/>
                <w:color w:val="000000"/>
                <w:sz w:val="22"/>
              </w:rPr>
              <w:t xml:space="preserve"> 239.500,00 meerjarig</w:t>
            </w:r>
          </w:p>
        </w:tc>
      </w:tr>
    </w:tbl>
    <w:p w:rsidR="00113352" w:rsidRPr="00113352" w:rsidRDefault="00113352" w:rsidP="00113352">
      <w:pPr>
        <w:widowControl/>
        <w:contextualSpacing/>
        <w:jc w:val="both"/>
        <w:rPr>
          <w:rFonts w:ascii="Palatino Linotype" w:eastAsia="Calibri" w:hAnsi="Palatino Linotype"/>
          <w:snapToGrid/>
          <w:color w:val="000000"/>
          <w:sz w:val="22"/>
          <w:szCs w:val="22"/>
          <w:lang w:val="nl-NL"/>
        </w:rPr>
      </w:pPr>
    </w:p>
    <w:p w:rsidR="00113352" w:rsidRPr="00113352" w:rsidRDefault="00113352" w:rsidP="00113352">
      <w:pPr>
        <w:widowControl/>
        <w:contextualSpacing/>
        <w:jc w:val="both"/>
        <w:rPr>
          <w:rFonts w:ascii="Palatino Linotype" w:eastAsia="Calibri" w:hAnsi="Palatino Linotype" w:cs="Calibri"/>
          <w:snapToGrid/>
          <w:sz w:val="22"/>
          <w:szCs w:val="22"/>
          <w:lang w:val="nl-NL"/>
        </w:rPr>
      </w:pPr>
    </w:p>
    <w:p w:rsidR="00113352" w:rsidRPr="00113352" w:rsidRDefault="00113352" w:rsidP="00113352">
      <w:pPr>
        <w:widowControl/>
        <w:numPr>
          <w:ilvl w:val="0"/>
          <w:numId w:val="3"/>
        </w:numPr>
        <w:spacing w:after="200" w:line="276" w:lineRule="auto"/>
        <w:ind w:left="270" w:hanging="270"/>
        <w:contextualSpacing/>
        <w:jc w:val="both"/>
        <w:rPr>
          <w:rFonts w:ascii="Palatino Linotype" w:eastAsia="Calibri" w:hAnsi="Palatino Linotype" w:cs="Calibri"/>
          <w:snapToGrid/>
          <w:sz w:val="22"/>
          <w:szCs w:val="22"/>
          <w:u w:val="single"/>
          <w:lang w:val="nl-NL"/>
        </w:rPr>
      </w:pPr>
      <w:r w:rsidRPr="00113352">
        <w:rPr>
          <w:rFonts w:ascii="Palatino Linotype" w:eastAsia="Calibri" w:hAnsi="Palatino Linotype" w:cs="Calibri"/>
          <w:snapToGrid/>
          <w:sz w:val="22"/>
          <w:szCs w:val="22"/>
          <w:u w:val="single"/>
          <w:lang w:val="nl-NL"/>
        </w:rPr>
        <w:t>Raad van Advies</w:t>
      </w:r>
    </w:p>
    <w:p w:rsidR="00113352" w:rsidRPr="00113352" w:rsidRDefault="00113352" w:rsidP="00113352">
      <w:pPr>
        <w:widowControl/>
        <w:jc w:val="both"/>
        <w:rPr>
          <w:rFonts w:ascii="Palatino Linotype" w:eastAsia="Calibri" w:hAnsi="Palatino Linotype" w:cs="Calibri"/>
          <w:snapToGrid/>
          <w:sz w:val="22"/>
          <w:szCs w:val="22"/>
          <w:lang w:val="nl-NL"/>
        </w:rPr>
      </w:pPr>
      <w:r w:rsidRPr="00113352">
        <w:rPr>
          <w:rFonts w:ascii="Palatino Linotype" w:eastAsia="Calibri" w:hAnsi="Palatino Linotype" w:cs="Calibri"/>
          <w:snapToGrid/>
          <w:sz w:val="22"/>
          <w:szCs w:val="22"/>
          <w:lang w:val="nl-NL"/>
        </w:rPr>
        <w:t xml:space="preserve">Op 3 december 2020 heeft de Raad van Advies van Curaçao advies uitgebracht inzake dit landsbesluit (RvA no. RA/55-20-LB). </w:t>
      </w:r>
    </w:p>
    <w:p w:rsidR="00113352" w:rsidRPr="00113352" w:rsidRDefault="00113352" w:rsidP="00113352">
      <w:pPr>
        <w:widowControl/>
        <w:jc w:val="both"/>
        <w:rPr>
          <w:rFonts w:ascii="Palatino Linotype" w:eastAsia="Calibri" w:hAnsi="Palatino Linotype" w:cs="Calibri"/>
          <w:snapToGrid/>
          <w:sz w:val="22"/>
          <w:szCs w:val="22"/>
          <w:lang w:val="nl-NL"/>
        </w:rPr>
      </w:pPr>
      <w:proofErr w:type="gramStart"/>
      <w:r w:rsidRPr="00113352">
        <w:rPr>
          <w:rFonts w:ascii="Palatino Linotype" w:eastAsia="Calibri" w:hAnsi="Palatino Linotype" w:cs="Calibri"/>
          <w:snapToGrid/>
          <w:sz w:val="22"/>
          <w:szCs w:val="22"/>
          <w:lang w:val="nl-NL"/>
        </w:rPr>
        <w:t xml:space="preserve">De Raad refereert aan het feit dat de Financiële Inlichtingen Eenheid Curaçao heeft aangegeven dat meldende instellingen per 1 januari 2020 geen toegang meer zullen hebben tot het oude elektronische meldportaal CORSYS. </w:t>
      </w:r>
      <w:proofErr w:type="gramEnd"/>
      <w:r w:rsidRPr="00113352">
        <w:rPr>
          <w:rFonts w:ascii="Palatino Linotype" w:eastAsia="Calibri" w:hAnsi="Palatino Linotype" w:cs="Calibri"/>
          <w:snapToGrid/>
          <w:sz w:val="22"/>
          <w:szCs w:val="22"/>
          <w:lang w:val="nl-NL"/>
        </w:rPr>
        <w:t xml:space="preserve">De reden hiervan is buiten de macht van de Financiële Inlichtingen Eenheid Curaçao gelegen, en heeft een technische achtergrond. </w:t>
      </w:r>
      <w:r w:rsidRPr="00113352">
        <w:rPr>
          <w:rFonts w:ascii="Palatino Linotype" w:eastAsia="Calibri" w:hAnsi="Palatino Linotype"/>
          <w:snapToGrid/>
          <w:sz w:val="22"/>
          <w:szCs w:val="22"/>
          <w:lang w:val="nl-NL"/>
        </w:rPr>
        <w:t xml:space="preserve">Per die datum zullen browsers wereldwijd de plug-in Flash niet meer ondersteunen, en Flash is noodzakelijk om vele websites en applicaties te kunnen gebruiken, evenzo dus het oude meldportaal </w:t>
      </w:r>
      <w:proofErr w:type="spellStart"/>
      <w:r w:rsidRPr="00113352">
        <w:rPr>
          <w:rFonts w:ascii="Palatino Linotype" w:eastAsia="Calibri" w:hAnsi="Palatino Linotype"/>
          <w:snapToGrid/>
          <w:sz w:val="22"/>
          <w:szCs w:val="22"/>
          <w:lang w:val="nl-NL"/>
        </w:rPr>
        <w:t>Corsys</w:t>
      </w:r>
      <w:proofErr w:type="spellEnd"/>
      <w:r w:rsidRPr="00113352">
        <w:rPr>
          <w:rFonts w:ascii="Palatino Linotype" w:eastAsia="Calibri" w:hAnsi="Palatino Linotype"/>
          <w:snapToGrid/>
          <w:sz w:val="22"/>
          <w:szCs w:val="22"/>
          <w:lang w:val="nl-NL"/>
        </w:rPr>
        <w:t xml:space="preserve">. </w:t>
      </w:r>
      <w:r w:rsidRPr="00113352">
        <w:rPr>
          <w:rFonts w:ascii="Palatino Linotype" w:eastAsia="Calibri" w:hAnsi="Palatino Linotype" w:cs="Calibri"/>
          <w:snapToGrid/>
          <w:sz w:val="22"/>
          <w:szCs w:val="22"/>
          <w:lang w:val="nl-NL"/>
        </w:rPr>
        <w:t xml:space="preserve">Het </w:t>
      </w:r>
      <w:proofErr w:type="spellStart"/>
      <w:r w:rsidRPr="00113352">
        <w:rPr>
          <w:rFonts w:ascii="Palatino Linotype" w:eastAsia="Calibri" w:hAnsi="Palatino Linotype" w:cs="Calibri"/>
          <w:snapToGrid/>
          <w:sz w:val="22"/>
          <w:szCs w:val="22"/>
          <w:lang w:val="nl-NL"/>
        </w:rPr>
        <w:t>Corsys</w:t>
      </w:r>
      <w:proofErr w:type="spellEnd"/>
      <w:r w:rsidRPr="00113352">
        <w:rPr>
          <w:rFonts w:ascii="Palatino Linotype" w:eastAsia="Calibri" w:hAnsi="Palatino Linotype" w:cs="Calibri"/>
          <w:snapToGrid/>
          <w:sz w:val="22"/>
          <w:szCs w:val="22"/>
          <w:lang w:val="nl-NL"/>
        </w:rPr>
        <w:t xml:space="preserve"> portaal is daarnaast sterk verouderd en voldoet niet meer aan de eisen van de moderne tijd. </w:t>
      </w:r>
    </w:p>
    <w:p w:rsidR="00113352" w:rsidRPr="00113352" w:rsidRDefault="00113352" w:rsidP="00113352">
      <w:pPr>
        <w:widowControl/>
        <w:jc w:val="both"/>
        <w:rPr>
          <w:rFonts w:ascii="Palatino Linotype" w:eastAsia="Calibri" w:hAnsi="Palatino Linotype" w:cs="Calibri"/>
          <w:snapToGrid/>
          <w:sz w:val="22"/>
          <w:szCs w:val="22"/>
          <w:lang w:val="nl-NL"/>
        </w:rPr>
      </w:pPr>
      <w:r w:rsidRPr="00113352">
        <w:rPr>
          <w:rFonts w:ascii="Palatino Linotype" w:eastAsia="Calibri" w:hAnsi="Palatino Linotype" w:cs="Calibri"/>
          <w:snapToGrid/>
          <w:sz w:val="22"/>
          <w:szCs w:val="22"/>
          <w:lang w:val="nl-NL"/>
        </w:rPr>
        <w:t xml:space="preserve">De Raad vraagt op welke wijze omgegaan zal worden met de informatie die per 1 januari 2021 niet meer raadpleegbaar zal zijn in </w:t>
      </w:r>
      <w:proofErr w:type="spellStart"/>
      <w:r w:rsidRPr="00113352">
        <w:rPr>
          <w:rFonts w:ascii="Palatino Linotype" w:eastAsia="Calibri" w:hAnsi="Palatino Linotype" w:cs="Calibri"/>
          <w:snapToGrid/>
          <w:sz w:val="22"/>
          <w:szCs w:val="22"/>
          <w:lang w:val="nl-NL"/>
        </w:rPr>
        <w:t>Corsys</w:t>
      </w:r>
      <w:proofErr w:type="spellEnd"/>
      <w:r w:rsidRPr="00113352">
        <w:rPr>
          <w:rFonts w:ascii="Palatino Linotype" w:eastAsia="Calibri" w:hAnsi="Palatino Linotype" w:cs="Calibri"/>
          <w:snapToGrid/>
          <w:sz w:val="22"/>
          <w:szCs w:val="22"/>
          <w:lang w:val="nl-NL"/>
        </w:rPr>
        <w:t xml:space="preserve"> en welke gevolgen dit heeft voor reeds lopende opsporingsonderzoeken, vervolgingen en rechtsprocedures. </w:t>
      </w:r>
    </w:p>
    <w:p w:rsidR="00113352" w:rsidRPr="00113352" w:rsidRDefault="00113352" w:rsidP="00113352">
      <w:pPr>
        <w:widowControl/>
        <w:jc w:val="both"/>
        <w:rPr>
          <w:rFonts w:ascii="Palatino Linotype" w:eastAsia="Calibri" w:hAnsi="Palatino Linotype" w:cs="Calibri"/>
          <w:snapToGrid/>
          <w:sz w:val="22"/>
          <w:szCs w:val="22"/>
          <w:lang w:val="nl-NL"/>
        </w:rPr>
      </w:pPr>
      <w:r w:rsidRPr="00113352">
        <w:rPr>
          <w:rFonts w:ascii="Palatino Linotype" w:eastAsia="Calibri" w:hAnsi="Palatino Linotype" w:cs="Calibri"/>
          <w:snapToGrid/>
          <w:sz w:val="22"/>
          <w:szCs w:val="22"/>
          <w:lang w:val="nl-NL"/>
        </w:rPr>
        <w:lastRenderedPageBreak/>
        <w:t xml:space="preserve">De Regering merkt op dat er geen gevolgen zullen zijn voor lopende opsporingsonderzoeken, vervolgingen en rechtsprocedures, omdat het niet meer via het internet toegankelijk zijn van het </w:t>
      </w:r>
      <w:proofErr w:type="spellStart"/>
      <w:r w:rsidRPr="00113352">
        <w:rPr>
          <w:rFonts w:ascii="Palatino Linotype" w:eastAsia="Calibri" w:hAnsi="Palatino Linotype" w:cs="Calibri"/>
          <w:snapToGrid/>
          <w:sz w:val="22"/>
          <w:szCs w:val="22"/>
          <w:lang w:val="nl-NL"/>
        </w:rPr>
        <w:t>Corsys</w:t>
      </w:r>
      <w:proofErr w:type="spellEnd"/>
      <w:r w:rsidRPr="00113352">
        <w:rPr>
          <w:rFonts w:ascii="Palatino Linotype" w:eastAsia="Calibri" w:hAnsi="Palatino Linotype" w:cs="Calibri"/>
          <w:snapToGrid/>
          <w:sz w:val="22"/>
          <w:szCs w:val="22"/>
          <w:lang w:val="nl-NL"/>
        </w:rPr>
        <w:t xml:space="preserve"> systeem slechts voor meldende instellingen geldt, en slechts waar het betreft het meldportaal. De aan de Financiële Inlichtingen Eenheid Curaçao gemelde transacties blijven gewoon beschikbaar en toegankelijk bij de Financiële Inlichtingen Eenheid Curaçao in haar database, in een separaat analysesysteem. De Financiële Inlichtingen Eenheid Curaçao zal de komende jaren het </w:t>
      </w:r>
      <w:proofErr w:type="spellStart"/>
      <w:r w:rsidRPr="00113352">
        <w:rPr>
          <w:rFonts w:ascii="Palatino Linotype" w:eastAsia="Calibri" w:hAnsi="Palatino Linotype" w:cs="Calibri"/>
          <w:snapToGrid/>
          <w:sz w:val="22"/>
          <w:szCs w:val="22"/>
          <w:lang w:val="nl-NL"/>
        </w:rPr>
        <w:t>Corsys</w:t>
      </w:r>
      <w:proofErr w:type="spellEnd"/>
      <w:r w:rsidRPr="00113352">
        <w:rPr>
          <w:rFonts w:ascii="Palatino Linotype" w:eastAsia="Calibri" w:hAnsi="Palatino Linotype" w:cs="Calibri"/>
          <w:snapToGrid/>
          <w:sz w:val="22"/>
          <w:szCs w:val="22"/>
          <w:lang w:val="nl-NL"/>
        </w:rPr>
        <w:t xml:space="preserve"> </w:t>
      </w:r>
      <w:proofErr w:type="spellStart"/>
      <w:r w:rsidRPr="00113352">
        <w:rPr>
          <w:rFonts w:ascii="Palatino Linotype" w:eastAsia="Calibri" w:hAnsi="Palatino Linotype" w:cs="Calibri"/>
          <w:snapToGrid/>
          <w:sz w:val="22"/>
          <w:szCs w:val="22"/>
          <w:lang w:val="nl-NL"/>
        </w:rPr>
        <w:t>analysesyssteem</w:t>
      </w:r>
      <w:proofErr w:type="spellEnd"/>
      <w:r w:rsidRPr="00113352">
        <w:rPr>
          <w:rFonts w:ascii="Palatino Linotype" w:eastAsia="Calibri" w:hAnsi="Palatino Linotype" w:cs="Calibri"/>
          <w:snapToGrid/>
          <w:sz w:val="22"/>
          <w:szCs w:val="22"/>
          <w:lang w:val="nl-NL"/>
        </w:rPr>
        <w:t xml:space="preserve"> intern </w:t>
      </w:r>
      <w:proofErr w:type="spellStart"/>
      <w:r w:rsidRPr="00113352">
        <w:rPr>
          <w:rFonts w:ascii="Palatino Linotype" w:eastAsia="Calibri" w:hAnsi="Palatino Linotype" w:cs="Calibri"/>
          <w:snapToGrid/>
          <w:sz w:val="22"/>
          <w:szCs w:val="22"/>
          <w:lang w:val="nl-NL"/>
        </w:rPr>
        <w:t>uitfaseren</w:t>
      </w:r>
      <w:proofErr w:type="spellEnd"/>
      <w:r w:rsidRPr="00113352">
        <w:rPr>
          <w:rFonts w:ascii="Palatino Linotype" w:eastAsia="Calibri" w:hAnsi="Palatino Linotype" w:cs="Calibri"/>
          <w:snapToGrid/>
          <w:sz w:val="22"/>
          <w:szCs w:val="22"/>
          <w:lang w:val="nl-NL"/>
        </w:rPr>
        <w:t xml:space="preserve"> en tot die tijd met twee systemen blijven werken.</w:t>
      </w:r>
    </w:p>
    <w:p w:rsidR="00113352" w:rsidRPr="00113352" w:rsidRDefault="00113352" w:rsidP="00113352">
      <w:pPr>
        <w:widowControl/>
        <w:jc w:val="both"/>
        <w:rPr>
          <w:rFonts w:ascii="Palatino Linotype" w:eastAsia="Calibri" w:hAnsi="Palatino Linotype" w:cs="Calibri"/>
          <w:snapToGrid/>
          <w:sz w:val="22"/>
          <w:szCs w:val="22"/>
          <w:lang w:val="nl-NL"/>
        </w:rPr>
      </w:pPr>
    </w:p>
    <w:p w:rsidR="00113352" w:rsidRPr="00113352" w:rsidRDefault="00113352" w:rsidP="00113352">
      <w:pPr>
        <w:widowControl/>
        <w:jc w:val="both"/>
        <w:rPr>
          <w:rFonts w:ascii="Palatino Linotype" w:eastAsia="Calibri" w:hAnsi="Palatino Linotype" w:cs="Calibri"/>
          <w:snapToGrid/>
          <w:sz w:val="22"/>
          <w:szCs w:val="22"/>
          <w:lang w:val="nl-NL"/>
        </w:rPr>
      </w:pPr>
      <w:r w:rsidRPr="00113352">
        <w:rPr>
          <w:rFonts w:ascii="Palatino Linotype" w:eastAsia="Calibri" w:hAnsi="Palatino Linotype" w:cs="Calibri"/>
          <w:snapToGrid/>
          <w:sz w:val="22"/>
          <w:szCs w:val="22"/>
          <w:lang w:val="nl-NL"/>
        </w:rPr>
        <w:t xml:space="preserve">De Raad adviseert om een bepaling in het ontwerp op te nemen dat in uitzonderingsgevallen op andere wijze kan worden gemeld. Hiertoe is een nieuwe tweede lid in artikel 1 geïntroduceerd. De Raad adviseert, met het oog op harmonisatie, ook om een model op te nemen van invoerschermen van het </w:t>
      </w:r>
      <w:proofErr w:type="spellStart"/>
      <w:r w:rsidRPr="00113352">
        <w:rPr>
          <w:rFonts w:ascii="Palatino Linotype" w:eastAsia="Calibri" w:hAnsi="Palatino Linotype" w:cs="Calibri"/>
          <w:snapToGrid/>
          <w:sz w:val="22"/>
          <w:szCs w:val="22"/>
          <w:lang w:val="nl-NL"/>
        </w:rPr>
        <w:t>goAML</w:t>
      </w:r>
      <w:proofErr w:type="spellEnd"/>
      <w:r w:rsidRPr="00113352">
        <w:rPr>
          <w:rFonts w:ascii="Palatino Linotype" w:eastAsia="Calibri" w:hAnsi="Palatino Linotype" w:cs="Calibri"/>
          <w:snapToGrid/>
          <w:sz w:val="22"/>
          <w:szCs w:val="22"/>
          <w:lang w:val="nl-NL"/>
        </w:rPr>
        <w:t xml:space="preserve"> meldportaal, alsmede een model voor het doen van een melding op andere wijze, in uitzonderingsgevallen. De Raad adviseert om daarbij rekening te houden met de officiële taal of talen die op grond van de Landsverordening officiële talen geldt of gelden. </w:t>
      </w:r>
    </w:p>
    <w:p w:rsidR="00113352" w:rsidRPr="00113352" w:rsidRDefault="00113352" w:rsidP="00113352">
      <w:pPr>
        <w:widowControl/>
        <w:contextualSpacing/>
        <w:jc w:val="both"/>
        <w:rPr>
          <w:rFonts w:ascii="Palatino Linotype" w:eastAsia="Calibri" w:hAnsi="Palatino Linotype"/>
          <w:snapToGrid/>
          <w:sz w:val="22"/>
          <w:szCs w:val="22"/>
          <w:lang w:val="nl-NL"/>
        </w:rPr>
      </w:pPr>
      <w:r w:rsidRPr="00113352">
        <w:rPr>
          <w:rFonts w:ascii="Palatino Linotype" w:eastAsia="Calibri" w:hAnsi="Palatino Linotype"/>
          <w:snapToGrid/>
          <w:color w:val="000000"/>
          <w:sz w:val="22"/>
          <w:szCs w:val="22"/>
          <w:lang w:val="nl-NL"/>
        </w:rPr>
        <w:t xml:space="preserve">De Regering merkt op dat het meldportaal is in de Engelse taal opgesteld. Ook van meldende instellingen wordt verwacht dat zij in de Engelse taal communiceren. Dit vanwege het internationale karakter van de werkzaamheden van de Financiële Inlichtingen Eenheid Curaçao. Artikel 1, derde lid, is nieuw. In dit nieuwe derde lid wordt bepaald dat dienstverleners bij het doen van meldingen en het verstrekken van gegevens en inlichtingen aan de Financiële Inlichtingen Eenheid Curaçao zich dienen te bedienen van de Engelse taal. </w:t>
      </w:r>
      <w:r w:rsidRPr="00113352">
        <w:rPr>
          <w:rFonts w:ascii="Palatino Linotype" w:eastAsia="Calibri" w:hAnsi="Palatino Linotype"/>
          <w:snapToGrid/>
          <w:sz w:val="22"/>
          <w:szCs w:val="22"/>
          <w:lang w:val="nl-NL"/>
        </w:rPr>
        <w:t xml:space="preserve">De Raad is van oordeel dat bij het onderhavige landsbesluit een model van de bij het </w:t>
      </w:r>
      <w:proofErr w:type="spellStart"/>
      <w:r w:rsidRPr="00113352">
        <w:rPr>
          <w:rFonts w:ascii="Palatino Linotype" w:eastAsia="Calibri" w:hAnsi="Palatino Linotype"/>
          <w:snapToGrid/>
          <w:sz w:val="22"/>
          <w:szCs w:val="22"/>
          <w:lang w:val="nl-NL"/>
        </w:rPr>
        <w:t>webportaal</w:t>
      </w:r>
      <w:proofErr w:type="spellEnd"/>
      <w:r w:rsidRPr="00113352">
        <w:rPr>
          <w:rFonts w:ascii="Palatino Linotype" w:eastAsia="Calibri" w:hAnsi="Palatino Linotype"/>
          <w:snapToGrid/>
          <w:sz w:val="22"/>
          <w:szCs w:val="22"/>
          <w:lang w:val="nl-NL"/>
        </w:rPr>
        <w:t xml:space="preserve"> behorende invoerscherm met bijbehorende gebruiksinstructie moet worden vastgesteld. </w:t>
      </w:r>
    </w:p>
    <w:p w:rsidR="00113352" w:rsidRPr="00113352" w:rsidRDefault="00113352" w:rsidP="00113352">
      <w:pPr>
        <w:widowControl/>
        <w:jc w:val="both"/>
        <w:rPr>
          <w:rFonts w:ascii="Palatino Linotype" w:eastAsia="Calibri" w:hAnsi="Palatino Linotype" w:cs="Calibri"/>
          <w:snapToGrid/>
          <w:sz w:val="22"/>
          <w:szCs w:val="22"/>
          <w:lang w:val="nl-NL"/>
        </w:rPr>
      </w:pPr>
      <w:r w:rsidRPr="00113352">
        <w:rPr>
          <w:rFonts w:ascii="Palatino Linotype" w:eastAsia="Calibri" w:hAnsi="Palatino Linotype"/>
          <w:snapToGrid/>
          <w:sz w:val="22"/>
          <w:szCs w:val="22"/>
          <w:lang w:val="nl-NL"/>
        </w:rPr>
        <w:t xml:space="preserve">De Regering geeft aan dat het, gezien de complexiteit van hedendaagse software als het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portaal, technisch niet mogelijk is bij dit landsbesluit invoerschermen als bijlage op te nemen die weergeven op welke wijze een melding dient te worden gedaan. Voor het doen van een melding op andere wijze, bijvoorbeeld op papier, conform de regeling voor uitzonderingen als weergegeven in artikel 1, tweede lid, van het onderhavige besluit, geldt dat gelijke informatie dient te worden aangeleverd als benodigd voor het doen van een melding in het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meldportaal. De </w:t>
      </w:r>
      <w:r w:rsidRPr="00113352">
        <w:rPr>
          <w:rFonts w:ascii="Palatino Linotype" w:eastAsia="Calibri" w:hAnsi="Palatino Linotype" w:cs="Calibri"/>
          <w:snapToGrid/>
          <w:sz w:val="22"/>
          <w:szCs w:val="22"/>
          <w:lang w:val="nl-NL"/>
        </w:rPr>
        <w:t>Financiële Inlichtingen Eenheid Curaçao brengt een handleiding uit voor meldende instellingen waarin een en ander operationeel wordt verduidelijkt.</w:t>
      </w:r>
    </w:p>
    <w:p w:rsidR="00113352" w:rsidRPr="00113352" w:rsidRDefault="00113352" w:rsidP="00113352">
      <w:pPr>
        <w:widowControl/>
        <w:jc w:val="both"/>
        <w:rPr>
          <w:rFonts w:ascii="Palatino Linotype" w:eastAsia="Calibri" w:hAnsi="Palatino Linotype" w:cs="Calibri"/>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De Raad adviseert de nota van toelichting aan te vullen op het punt van de voorlichting en training voor meldende instellingen, welke is uitgevoerd ter introductie van het nieuwe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meldportaal. Dit om te verzekeren dat enerzijds de betrokken bedrijven en instellingen en anderzijds de uitvoeringsorganen redelijkerwijze in staat zijn de gestelde bepalingen na te komen en uit te voeren. De afgelopen maanden heeft de Financiële Inlichtingen Eenheid Curaçao de melders en hun AML/CFT-Toezichthouders, zo goed als mogelijk binnen de beperkingen van de COVID-19 pandemie, geïnformeerd over alle wijzigingen die er voor hen aankomen per 1 januari 2021 bij de introductie van het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meldportaal. Alle bij de FIU Curaçao bekende melders zijn per email diverse keren geïnformeerd over aankomende stappen, over trainingen en over wat er van hen verwacht wordt. De FIU Curaçao heeft daarnaast ook regelmatig persberichten uitgebracht en informatie op haar website en op andere overheidswebsites laten plaatsen over de gevolgen van het nieuwe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meldportaal per 1 januari 2021. Vanaf het derde kwartaal van het jaar 2020 heeft de FIU Curaçao met een select groepje melders testen uitgevoerd van het portaal. In november en december 2020 zijn tientallen virtuele </w:t>
      </w:r>
      <w:r w:rsidRPr="00113352">
        <w:rPr>
          <w:rFonts w:ascii="Palatino Linotype" w:eastAsia="Calibri" w:hAnsi="Palatino Linotype"/>
          <w:snapToGrid/>
          <w:sz w:val="22"/>
          <w:szCs w:val="22"/>
          <w:lang w:val="nl-NL"/>
        </w:rPr>
        <w:lastRenderedPageBreak/>
        <w:t xml:space="preserve">trainingssessies door de FIU Curaçao georganiseerd en gehouden voor meldende sectoren, eerst over hoe opnieuw te registreren in het portaal, vervolgens over hoe te melden in het portaal. Dit omdat het melden in het geavanceerde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sterk afwijkt van het melden in het verouderde en ‘platte’ </w:t>
      </w:r>
      <w:proofErr w:type="spellStart"/>
      <w:r w:rsidRPr="00113352">
        <w:rPr>
          <w:rFonts w:ascii="Palatino Linotype" w:eastAsia="Calibri" w:hAnsi="Palatino Linotype"/>
          <w:snapToGrid/>
          <w:sz w:val="22"/>
          <w:szCs w:val="22"/>
          <w:lang w:val="nl-NL"/>
        </w:rPr>
        <w:t>Corsys</w:t>
      </w:r>
      <w:proofErr w:type="spellEnd"/>
      <w:r w:rsidRPr="00113352">
        <w:rPr>
          <w:rFonts w:ascii="Palatino Linotype" w:eastAsia="Calibri" w:hAnsi="Palatino Linotype"/>
          <w:snapToGrid/>
          <w:sz w:val="22"/>
          <w:szCs w:val="22"/>
          <w:lang w:val="nl-NL"/>
        </w:rPr>
        <w:t xml:space="preserve"> portaal. </w:t>
      </w: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Om te ondervangen dat niet alle uitgenodigde melders aan de virtuele trainingssessies hebben meegedaan, voorziet de FIU Curaçao dat de reeks van trainingen </w:t>
      </w:r>
      <w:proofErr w:type="gramStart"/>
      <w:r w:rsidRPr="00113352">
        <w:rPr>
          <w:rFonts w:ascii="Palatino Linotype" w:eastAsia="Calibri" w:hAnsi="Palatino Linotype"/>
          <w:snapToGrid/>
          <w:sz w:val="22"/>
          <w:szCs w:val="22"/>
          <w:lang w:val="nl-NL"/>
        </w:rPr>
        <w:t>nogmaals</w:t>
      </w:r>
      <w:proofErr w:type="gramEnd"/>
      <w:r w:rsidRPr="00113352">
        <w:rPr>
          <w:rFonts w:ascii="Palatino Linotype" w:eastAsia="Calibri" w:hAnsi="Palatino Linotype"/>
          <w:snapToGrid/>
          <w:sz w:val="22"/>
          <w:szCs w:val="22"/>
          <w:lang w:val="nl-NL"/>
        </w:rPr>
        <w:t xml:space="preserve"> wordt uitgevoerd in 2021. Tevens heeft de FIU Curaçao opnames van virtuele trainingen gemaakt; deze zullen eveneens op de website van de FIU Curaçao en in het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portaal beschikbaar worden gesteld. Daarnaast zullen ook de AML/CFT Toezichthouders in het eerste kwartaal van 2021 virtueel geïntroduceerd worden in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Op advies van de Raad van Advies zijn de kosten verbonden aan de invoering van het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meldsysteem verwerkt in de financiële paragraaf.</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numPr>
          <w:ilvl w:val="0"/>
          <w:numId w:val="3"/>
        </w:numPr>
        <w:spacing w:after="200" w:line="276" w:lineRule="auto"/>
        <w:ind w:left="270" w:hanging="270"/>
        <w:contextualSpacing/>
        <w:jc w:val="both"/>
        <w:rPr>
          <w:rFonts w:ascii="Palatino Linotype" w:eastAsia="Calibri" w:hAnsi="Palatino Linotype" w:cs="Calibri"/>
          <w:snapToGrid/>
          <w:sz w:val="22"/>
          <w:szCs w:val="22"/>
          <w:u w:val="single"/>
          <w:lang w:val="nl-NL"/>
        </w:rPr>
      </w:pPr>
      <w:r w:rsidRPr="00113352">
        <w:rPr>
          <w:rFonts w:ascii="Palatino Linotype" w:eastAsia="Calibri" w:hAnsi="Palatino Linotype" w:cs="Calibri"/>
          <w:snapToGrid/>
          <w:sz w:val="22"/>
          <w:szCs w:val="22"/>
          <w:u w:val="single"/>
          <w:lang w:val="nl-NL"/>
        </w:rPr>
        <w:t>Artikelsgewijze toelichting</w:t>
      </w:r>
    </w:p>
    <w:p w:rsidR="00113352" w:rsidRPr="00113352" w:rsidRDefault="00113352" w:rsidP="00113352">
      <w:pPr>
        <w:widowControl/>
        <w:ind w:left="360"/>
        <w:jc w:val="both"/>
        <w:rPr>
          <w:rFonts w:ascii="Palatino Linotype" w:eastAsia="Calibri" w:hAnsi="Palatino Linotype" w:cs="Calibri"/>
          <w:snapToGrid/>
          <w:sz w:val="22"/>
          <w:szCs w:val="22"/>
          <w:u w:val="single"/>
          <w:lang w:val="nl-NL"/>
        </w:rPr>
      </w:pPr>
    </w:p>
    <w:p w:rsidR="00113352" w:rsidRPr="00113352" w:rsidRDefault="00113352" w:rsidP="00113352">
      <w:pPr>
        <w:widowControl/>
        <w:contextualSpacing/>
        <w:jc w:val="both"/>
        <w:rPr>
          <w:rFonts w:ascii="Palatino Linotype" w:eastAsia="Calibri" w:hAnsi="Palatino Linotype" w:cs="Calibri"/>
          <w:snapToGrid/>
          <w:sz w:val="22"/>
          <w:szCs w:val="22"/>
          <w:u w:val="single"/>
          <w:lang w:val="nl-NL"/>
        </w:rPr>
      </w:pPr>
      <w:r w:rsidRPr="00113352">
        <w:rPr>
          <w:rFonts w:ascii="Palatino Linotype" w:eastAsia="Calibri" w:hAnsi="Palatino Linotype" w:cs="Calibri"/>
          <w:snapToGrid/>
          <w:sz w:val="22"/>
          <w:szCs w:val="22"/>
          <w:u w:val="single"/>
          <w:lang w:val="nl-NL"/>
        </w:rPr>
        <w:t>Artikel 1</w:t>
      </w:r>
    </w:p>
    <w:p w:rsidR="00113352" w:rsidRPr="00113352" w:rsidRDefault="00113352" w:rsidP="00113352">
      <w:pPr>
        <w:widowControl/>
        <w:contextualSpacing/>
        <w:jc w:val="both"/>
        <w:rPr>
          <w:rFonts w:ascii="Palatino Linotype" w:eastAsia="Calibri" w:hAnsi="Palatino Linotype" w:cs="Calibri"/>
          <w:snapToGrid/>
          <w:sz w:val="22"/>
          <w:szCs w:val="22"/>
          <w:lang w:val="nl-NL"/>
        </w:rPr>
      </w:pPr>
    </w:p>
    <w:p w:rsidR="00113352" w:rsidRPr="00113352" w:rsidRDefault="00113352" w:rsidP="00113352">
      <w:pPr>
        <w:widowControl/>
        <w:contextualSpacing/>
        <w:jc w:val="both"/>
        <w:rPr>
          <w:rFonts w:ascii="Palatino Linotype" w:eastAsia="Calibri" w:hAnsi="Palatino Linotype" w:cs="Calibri"/>
          <w:snapToGrid/>
          <w:color w:val="FF0000"/>
          <w:sz w:val="22"/>
          <w:szCs w:val="22"/>
          <w:lang w:val="nl-NL"/>
        </w:rPr>
      </w:pPr>
      <w:r w:rsidRPr="00113352">
        <w:rPr>
          <w:rFonts w:ascii="Palatino Linotype" w:eastAsia="Calibri" w:hAnsi="Palatino Linotype" w:cs="Calibri"/>
          <w:snapToGrid/>
          <w:sz w:val="22"/>
          <w:szCs w:val="22"/>
          <w:lang w:val="nl-NL"/>
        </w:rPr>
        <w:t xml:space="preserve">Conform artikel 1 van dit landsbesluit wordt een melding dan wel het verstrekken van gegevens en inlichtingen standaard via elektronische weg gedaan, via het </w:t>
      </w:r>
      <w:proofErr w:type="spellStart"/>
      <w:r w:rsidRPr="00113352">
        <w:rPr>
          <w:rFonts w:ascii="Palatino Linotype" w:eastAsia="Calibri" w:hAnsi="Palatino Linotype" w:cs="Calibri"/>
          <w:snapToGrid/>
          <w:sz w:val="22"/>
          <w:szCs w:val="22"/>
          <w:lang w:val="nl-NL"/>
        </w:rPr>
        <w:t>goAML</w:t>
      </w:r>
      <w:proofErr w:type="spellEnd"/>
      <w:r w:rsidRPr="00113352">
        <w:rPr>
          <w:rFonts w:ascii="Palatino Linotype" w:eastAsia="Calibri" w:hAnsi="Palatino Linotype" w:cs="Calibri"/>
          <w:snapToGrid/>
          <w:sz w:val="22"/>
          <w:szCs w:val="22"/>
          <w:lang w:val="nl-NL"/>
        </w:rPr>
        <w:t xml:space="preserve"> meldportaal van de FIU Curaçao. Een melding via elektronische weg kan worden gedaan dan wel nadere gegevens en inlichtingen kunnen via elektronische weg worden verstrekt nadat de gebruiker toegang heeft gekregen tot </w:t>
      </w:r>
      <w:proofErr w:type="spellStart"/>
      <w:r w:rsidRPr="00113352">
        <w:rPr>
          <w:rFonts w:ascii="Palatino Linotype" w:eastAsia="Calibri" w:hAnsi="Palatino Linotype" w:cs="Calibri"/>
          <w:snapToGrid/>
          <w:sz w:val="22"/>
          <w:szCs w:val="22"/>
          <w:lang w:val="nl-NL"/>
        </w:rPr>
        <w:t>goAML</w:t>
      </w:r>
      <w:proofErr w:type="spellEnd"/>
      <w:r w:rsidRPr="00113352">
        <w:rPr>
          <w:rFonts w:ascii="Palatino Linotype" w:eastAsia="Calibri" w:hAnsi="Palatino Linotype" w:cs="Calibri"/>
          <w:snapToGrid/>
          <w:sz w:val="22"/>
          <w:szCs w:val="22"/>
          <w:lang w:val="nl-NL"/>
        </w:rPr>
        <w:t xml:space="preserve"> door middel van een gebruikersnaam en wachtwoord die beheerd worden door een door elke meldende instelling zelf toegewezen beheerder, doorgaans de “compliance </w:t>
      </w:r>
      <w:proofErr w:type="spellStart"/>
      <w:r w:rsidRPr="00113352">
        <w:rPr>
          <w:rFonts w:ascii="Palatino Linotype" w:eastAsia="Calibri" w:hAnsi="Palatino Linotype" w:cs="Calibri"/>
          <w:snapToGrid/>
          <w:sz w:val="22"/>
          <w:szCs w:val="22"/>
          <w:lang w:val="nl-NL"/>
        </w:rPr>
        <w:t>officer</w:t>
      </w:r>
      <w:proofErr w:type="spellEnd"/>
      <w:r w:rsidRPr="00113352">
        <w:rPr>
          <w:rFonts w:ascii="Palatino Linotype" w:eastAsia="Calibri" w:hAnsi="Palatino Linotype" w:cs="Calibri"/>
          <w:snapToGrid/>
          <w:sz w:val="22"/>
          <w:szCs w:val="22"/>
          <w:lang w:val="nl-NL"/>
        </w:rPr>
        <w:t xml:space="preserve">”, en nadat de FIU Curaçao de toegang tot </w:t>
      </w:r>
      <w:proofErr w:type="spellStart"/>
      <w:r w:rsidRPr="00113352">
        <w:rPr>
          <w:rFonts w:ascii="Palatino Linotype" w:eastAsia="Calibri" w:hAnsi="Palatino Linotype" w:cs="Calibri"/>
          <w:snapToGrid/>
          <w:sz w:val="22"/>
          <w:szCs w:val="22"/>
          <w:lang w:val="nl-NL"/>
        </w:rPr>
        <w:t>goAML</w:t>
      </w:r>
      <w:proofErr w:type="spellEnd"/>
      <w:r w:rsidRPr="00113352">
        <w:rPr>
          <w:rFonts w:ascii="Palatino Linotype" w:eastAsia="Calibri" w:hAnsi="Palatino Linotype" w:cs="Calibri"/>
          <w:snapToGrid/>
          <w:sz w:val="22"/>
          <w:szCs w:val="22"/>
          <w:lang w:val="nl-NL"/>
        </w:rPr>
        <w:t xml:space="preserve"> heeft gevalideerd. Vervolgens dienen, ten behoeve van de melding, de in het meldportaal beschikbare invoerschermen volledig te worden ingevuld, met de gegevens waarover de dienstverlener de beschikking heeft. </w:t>
      </w:r>
    </w:p>
    <w:p w:rsidR="00113352" w:rsidRPr="00113352" w:rsidRDefault="00113352" w:rsidP="00113352">
      <w:pPr>
        <w:widowControl/>
        <w:contextualSpacing/>
        <w:jc w:val="both"/>
        <w:rPr>
          <w:rFonts w:ascii="Palatino Linotype" w:eastAsia="Calibri" w:hAnsi="Palatino Linotype" w:cs="Calibri"/>
          <w:snapToGrid/>
          <w:color w:val="FF0000"/>
          <w:sz w:val="22"/>
          <w:szCs w:val="22"/>
          <w:lang w:val="nl-NL"/>
        </w:rPr>
      </w:pPr>
    </w:p>
    <w:p w:rsidR="00113352" w:rsidRPr="00113352" w:rsidRDefault="00113352" w:rsidP="00113352">
      <w:pPr>
        <w:widowControl/>
        <w:contextualSpacing/>
        <w:jc w:val="both"/>
        <w:rPr>
          <w:rFonts w:ascii="Palatino Linotype" w:eastAsia="Calibri" w:hAnsi="Palatino Linotype" w:cs="Calibri"/>
          <w:snapToGrid/>
          <w:sz w:val="22"/>
          <w:szCs w:val="22"/>
          <w:lang w:val="nl-NL"/>
        </w:rPr>
      </w:pPr>
      <w:r w:rsidRPr="00113352">
        <w:rPr>
          <w:rFonts w:ascii="Palatino Linotype" w:eastAsia="Calibri" w:hAnsi="Palatino Linotype" w:cs="Calibri"/>
          <w:snapToGrid/>
          <w:sz w:val="22"/>
          <w:szCs w:val="22"/>
          <w:lang w:val="nl-NL"/>
        </w:rPr>
        <w:t xml:space="preserve">Elektronische melding, zoals genoemd in artikel 1 van dit landsbesluit, is de standaard wijze van melden. Elektronische melding is vooral van belang om onder andere geautomatiseerd statistieken te kunnen draaien, geautomatiseerde analyses te kunnen doen en ook om te kunnen voldoen aan verzoeken van buitenlandse </w:t>
      </w:r>
      <w:proofErr w:type="spellStart"/>
      <w:r w:rsidRPr="00113352">
        <w:rPr>
          <w:rFonts w:ascii="Palatino Linotype" w:eastAsia="Calibri" w:hAnsi="Palatino Linotype" w:cs="Calibri"/>
          <w:snapToGrid/>
          <w:sz w:val="22"/>
          <w:szCs w:val="22"/>
          <w:lang w:val="nl-NL"/>
        </w:rPr>
        <w:t>FIUs</w:t>
      </w:r>
      <w:proofErr w:type="spellEnd"/>
      <w:r w:rsidRPr="00113352">
        <w:rPr>
          <w:rFonts w:ascii="Palatino Linotype" w:eastAsia="Calibri" w:hAnsi="Palatino Linotype" w:cs="Calibri"/>
          <w:snapToGrid/>
          <w:sz w:val="22"/>
          <w:szCs w:val="22"/>
          <w:lang w:val="nl-NL"/>
        </w:rPr>
        <w:t xml:space="preserve"> en/of instanties en ambtenaren die met opsporing en vervolging van misdrijven zijn belast. Ook elektronische verstrekking van nadere gegevens en inlichtingen, naar aanleiding van een verzoek van de FIU Curaçao op basis van artikel 12, eerste lid, van de Landsverordening Melding Ongebruikelijke transacties, is de standaard. Het </w:t>
      </w:r>
      <w:proofErr w:type="spellStart"/>
      <w:r w:rsidRPr="00113352">
        <w:rPr>
          <w:rFonts w:ascii="Palatino Linotype" w:eastAsia="Calibri" w:hAnsi="Palatino Linotype" w:cs="Calibri"/>
          <w:snapToGrid/>
          <w:sz w:val="22"/>
          <w:szCs w:val="22"/>
          <w:lang w:val="nl-NL"/>
        </w:rPr>
        <w:t>goAML</w:t>
      </w:r>
      <w:proofErr w:type="spellEnd"/>
      <w:r w:rsidRPr="00113352">
        <w:rPr>
          <w:rFonts w:ascii="Palatino Linotype" w:eastAsia="Calibri" w:hAnsi="Palatino Linotype" w:cs="Calibri"/>
          <w:snapToGrid/>
          <w:sz w:val="22"/>
          <w:szCs w:val="22"/>
          <w:lang w:val="nl-NL"/>
        </w:rPr>
        <w:t xml:space="preserve"> meldportaal biedt de mogelijkheid tot elektronische communicatie tussen dienstverlener en de FIU Curaçao. </w:t>
      </w:r>
    </w:p>
    <w:p w:rsidR="00113352" w:rsidRPr="00113352" w:rsidRDefault="00113352" w:rsidP="00113352">
      <w:pPr>
        <w:widowControl/>
        <w:contextualSpacing/>
        <w:jc w:val="both"/>
        <w:rPr>
          <w:rFonts w:ascii="Palatino Linotype" w:eastAsia="Calibri" w:hAnsi="Palatino Linotype" w:cs="Calibri"/>
          <w:snapToGrid/>
          <w:sz w:val="22"/>
          <w:szCs w:val="22"/>
          <w:lang w:val="nl-NL"/>
        </w:rPr>
      </w:pPr>
      <w:r w:rsidRPr="00113352">
        <w:rPr>
          <w:rFonts w:ascii="Palatino Linotype" w:eastAsia="Calibri" w:hAnsi="Palatino Linotype" w:cs="Calibri"/>
          <w:snapToGrid/>
          <w:sz w:val="22"/>
          <w:szCs w:val="22"/>
          <w:lang w:val="nl-NL"/>
        </w:rPr>
        <w:t xml:space="preserve">In het tweede lid van artikel 1 is aangegeven op welke wijze dient te worden gehandeld indien een dienstverlener om buiten zijn macht gelegen oorzaak geen toegang heeft tot het meldportaal, dan wel om die reden in het meldportaal geen informatie kan verzenden. </w:t>
      </w:r>
    </w:p>
    <w:p w:rsidR="00113352" w:rsidRPr="00113352" w:rsidRDefault="00113352" w:rsidP="00113352">
      <w:pPr>
        <w:widowControl/>
        <w:contextualSpacing/>
        <w:jc w:val="both"/>
        <w:rPr>
          <w:rFonts w:ascii="Palatino Linotype" w:eastAsia="Calibri" w:hAnsi="Palatino Linotype" w:cs="Calibri"/>
          <w:snapToGrid/>
          <w:sz w:val="22"/>
          <w:szCs w:val="22"/>
          <w:lang w:val="nl-NL"/>
        </w:rPr>
      </w:pPr>
    </w:p>
    <w:p w:rsidR="00113352" w:rsidRPr="00113352" w:rsidRDefault="00113352" w:rsidP="00113352">
      <w:pPr>
        <w:widowControl/>
        <w:jc w:val="both"/>
        <w:rPr>
          <w:rFonts w:ascii="Palatino Linotype" w:eastAsia="Calibri" w:hAnsi="Palatino Linotype" w:cs="Calibri"/>
          <w:snapToGrid/>
          <w:sz w:val="22"/>
          <w:szCs w:val="22"/>
          <w:lang w:val="nl-NL"/>
        </w:rPr>
      </w:pPr>
    </w:p>
    <w:p w:rsidR="00113352" w:rsidRPr="00113352" w:rsidRDefault="00113352" w:rsidP="00113352">
      <w:pPr>
        <w:widowControl/>
        <w:jc w:val="both"/>
        <w:rPr>
          <w:rFonts w:ascii="Palatino Linotype" w:eastAsia="Calibri" w:hAnsi="Palatino Linotype" w:cs="Calibri"/>
          <w:snapToGrid/>
          <w:sz w:val="22"/>
          <w:szCs w:val="22"/>
          <w:lang w:val="nl-NL"/>
        </w:rPr>
      </w:pPr>
      <w:r w:rsidRPr="00113352">
        <w:rPr>
          <w:rFonts w:ascii="Palatino Linotype" w:eastAsia="Calibri" w:hAnsi="Palatino Linotype" w:cs="Calibri"/>
          <w:snapToGrid/>
          <w:sz w:val="22"/>
          <w:szCs w:val="22"/>
          <w:lang w:val="nl-NL"/>
        </w:rPr>
        <w:t xml:space="preserve">Volgens het derde lid van artikel 1 dienen dienstverleners zich te bedienen van de Engelse taal. Dit vanwege het internationale karakter van de werkzaamheden van de </w:t>
      </w:r>
      <w:proofErr w:type="spellStart"/>
      <w:r w:rsidRPr="00113352">
        <w:rPr>
          <w:rFonts w:ascii="Palatino Linotype" w:eastAsia="Calibri" w:hAnsi="Palatino Linotype" w:cs="Calibri"/>
          <w:snapToGrid/>
          <w:sz w:val="22"/>
          <w:szCs w:val="22"/>
          <w:lang w:val="nl-NL"/>
        </w:rPr>
        <w:t>FIUCuraçao</w:t>
      </w:r>
      <w:proofErr w:type="spellEnd"/>
      <w:r w:rsidRPr="00113352">
        <w:rPr>
          <w:rFonts w:ascii="Palatino Linotype" w:eastAsia="Calibri" w:hAnsi="Palatino Linotype" w:cs="Calibri"/>
          <w:snapToGrid/>
          <w:sz w:val="22"/>
          <w:szCs w:val="22"/>
          <w:lang w:val="nl-NL"/>
        </w:rPr>
        <w:t xml:space="preserve">, waarbij zij met andere </w:t>
      </w:r>
      <w:proofErr w:type="spellStart"/>
      <w:r w:rsidRPr="00113352">
        <w:rPr>
          <w:rFonts w:ascii="Palatino Linotype" w:eastAsia="Calibri" w:hAnsi="Palatino Linotype" w:cs="Calibri"/>
          <w:snapToGrid/>
          <w:sz w:val="22"/>
          <w:szCs w:val="22"/>
          <w:lang w:val="nl-NL"/>
        </w:rPr>
        <w:t>FIUs</w:t>
      </w:r>
      <w:proofErr w:type="spellEnd"/>
      <w:r w:rsidRPr="00113352">
        <w:rPr>
          <w:rFonts w:ascii="Palatino Linotype" w:eastAsia="Calibri" w:hAnsi="Palatino Linotype" w:cs="Calibri"/>
          <w:snapToGrid/>
          <w:sz w:val="22"/>
          <w:szCs w:val="22"/>
          <w:lang w:val="nl-NL"/>
        </w:rPr>
        <w:t xml:space="preserve"> wereldwijd gemelde informatie uitwisselt. De voertaal binnen het samenwerkingsverband van </w:t>
      </w:r>
      <w:proofErr w:type="spellStart"/>
      <w:r w:rsidRPr="00113352">
        <w:rPr>
          <w:rFonts w:ascii="Palatino Linotype" w:eastAsia="Calibri" w:hAnsi="Palatino Linotype" w:cs="Calibri"/>
          <w:snapToGrid/>
          <w:sz w:val="22"/>
          <w:szCs w:val="22"/>
          <w:lang w:val="nl-NL"/>
        </w:rPr>
        <w:t>FIUs</w:t>
      </w:r>
      <w:proofErr w:type="spellEnd"/>
      <w:r w:rsidRPr="00113352">
        <w:rPr>
          <w:rFonts w:ascii="Palatino Linotype" w:eastAsia="Calibri" w:hAnsi="Palatino Linotype" w:cs="Calibri"/>
          <w:snapToGrid/>
          <w:sz w:val="22"/>
          <w:szCs w:val="22"/>
          <w:lang w:val="nl-NL"/>
        </w:rPr>
        <w:t xml:space="preserve"> wereldwijd, de Egmont Group geheten, is de Engelse taal. Om </w:t>
      </w:r>
      <w:r w:rsidRPr="00113352">
        <w:rPr>
          <w:rFonts w:ascii="Palatino Linotype" w:eastAsia="Calibri" w:hAnsi="Palatino Linotype" w:cs="Calibri"/>
          <w:snapToGrid/>
          <w:sz w:val="22"/>
          <w:szCs w:val="22"/>
          <w:lang w:val="nl-NL"/>
        </w:rPr>
        <w:lastRenderedPageBreak/>
        <w:t>effectief informatie uit te kunnen wisselen is het dus van belang dat de informatie waar de Financiële Inlichtingen Eenheid Curaçao over beschikt zo veel mogelijk in het Engels gesteld is. Op grond van artikel 3 van de Landsverordening officiële talen</w:t>
      </w:r>
      <w:r w:rsidRPr="00113352">
        <w:rPr>
          <w:rFonts w:ascii="Palatino Linotype" w:eastAsia="Calibri" w:hAnsi="Palatino Linotype" w:cs="Calibri"/>
          <w:snapToGrid/>
          <w:sz w:val="22"/>
          <w:szCs w:val="22"/>
          <w:vertAlign w:val="superscript"/>
          <w:lang w:val="nl-NL"/>
        </w:rPr>
        <w:footnoteReference w:id="7"/>
      </w:r>
      <w:r w:rsidRPr="00113352">
        <w:rPr>
          <w:rFonts w:ascii="Palatino Linotype" w:eastAsia="Calibri" w:hAnsi="Palatino Linotype" w:cs="Calibri"/>
          <w:snapToGrid/>
          <w:sz w:val="22"/>
          <w:szCs w:val="22"/>
          <w:lang w:val="nl-NL"/>
        </w:rPr>
        <w:t xml:space="preserve"> zal de FIU Curaçao zich eveneens bedienen van de Engelse taal in haar communicatie met dienstverleners. </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u w:val="single"/>
          <w:lang w:val="nl-NL"/>
        </w:rPr>
      </w:pPr>
      <w:r w:rsidRPr="00113352">
        <w:rPr>
          <w:rFonts w:ascii="Palatino Linotype" w:eastAsia="Calibri" w:hAnsi="Palatino Linotype"/>
          <w:snapToGrid/>
          <w:sz w:val="22"/>
          <w:szCs w:val="22"/>
          <w:u w:val="single"/>
          <w:lang w:val="nl-NL"/>
        </w:rPr>
        <w:t>Artikel 2</w:t>
      </w: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Verwezen wordt naar het algemeen deel van deze nota van toelichting. Voorts wordt opgemerkt dat het door de FIU Curaçao te gebruiken nieuwe meldsysteem voldoet aan de eisen van betrouwbaarheid en vertrouwelijkheid. </w:t>
      </w: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Het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meldsysteem betreft een verbetering ten opzichte van het vorige meldsysteem, dat overigens ook voldeed aan de eisen van vertrouwelijkheid en betrouwbaarheid. Het vorige systeem is echter zeer verouderd en zal na 1 januari 2021 niet meer benaderbaar zijn. Het nieuwe meldsysteem voldoet ook veel beter aan de huidige meldvereisten van een FIU. </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u w:val="single"/>
          <w:lang w:val="nl-NL"/>
        </w:rPr>
      </w:pPr>
      <w:r w:rsidRPr="00113352">
        <w:rPr>
          <w:rFonts w:ascii="Palatino Linotype" w:eastAsia="Calibri" w:hAnsi="Palatino Linotype"/>
          <w:snapToGrid/>
          <w:sz w:val="22"/>
          <w:szCs w:val="22"/>
          <w:u w:val="single"/>
          <w:lang w:val="nl-NL"/>
        </w:rPr>
        <w:t>Artikel 3</w:t>
      </w: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Dit artikel voorziet in de intrekking van het bestaande Landsbesluit, houdende algemene maatregelen, van de 18</w:t>
      </w:r>
      <w:r w:rsidRPr="00113352">
        <w:rPr>
          <w:rFonts w:ascii="Palatino Linotype" w:eastAsia="Calibri" w:hAnsi="Palatino Linotype"/>
          <w:snapToGrid/>
          <w:sz w:val="22"/>
          <w:szCs w:val="22"/>
          <w:vertAlign w:val="superscript"/>
          <w:lang w:val="nl-NL"/>
        </w:rPr>
        <w:t>de</w:t>
      </w:r>
      <w:r w:rsidRPr="00113352">
        <w:rPr>
          <w:rFonts w:ascii="Palatino Linotype" w:eastAsia="Calibri" w:hAnsi="Palatino Linotype"/>
          <w:snapToGrid/>
          <w:sz w:val="22"/>
          <w:szCs w:val="22"/>
          <w:lang w:val="nl-NL"/>
        </w:rPr>
        <w:t xml:space="preserve"> augustus 2011 ter uitvoering van artikel 13 van de Landsverordening melding ongebruikelijke transacties.</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u w:val="single"/>
          <w:lang w:val="nl-NL"/>
        </w:rPr>
      </w:pPr>
      <w:r w:rsidRPr="00113352">
        <w:rPr>
          <w:rFonts w:ascii="Palatino Linotype" w:eastAsia="Calibri" w:hAnsi="Palatino Linotype"/>
          <w:snapToGrid/>
          <w:sz w:val="22"/>
          <w:szCs w:val="22"/>
          <w:u w:val="single"/>
          <w:lang w:val="nl-NL"/>
        </w:rPr>
        <w:t>Artikel 4</w:t>
      </w: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Artikel 4 bepaalt het tijdstip waarop de regeling in werking treedt. Per 1 januari 2021 is het oude meldsysteem </w:t>
      </w:r>
      <w:proofErr w:type="spellStart"/>
      <w:r w:rsidRPr="00113352">
        <w:rPr>
          <w:rFonts w:ascii="Palatino Linotype" w:eastAsia="Calibri" w:hAnsi="Palatino Linotype"/>
          <w:snapToGrid/>
          <w:sz w:val="22"/>
          <w:szCs w:val="22"/>
          <w:lang w:val="nl-NL"/>
        </w:rPr>
        <w:t>Corsys</w:t>
      </w:r>
      <w:proofErr w:type="spellEnd"/>
      <w:r w:rsidRPr="00113352">
        <w:rPr>
          <w:rFonts w:ascii="Palatino Linotype" w:eastAsia="Calibri" w:hAnsi="Palatino Linotype"/>
          <w:snapToGrid/>
          <w:sz w:val="22"/>
          <w:szCs w:val="22"/>
          <w:lang w:val="nl-NL"/>
        </w:rPr>
        <w:t xml:space="preserve"> niet meer benaderbaar voor meldende dienstverleners. </w:t>
      </w:r>
    </w:p>
    <w:p w:rsidR="00113352" w:rsidRPr="00113352" w:rsidRDefault="00113352" w:rsidP="00113352">
      <w:pPr>
        <w:widowControl/>
        <w:jc w:val="both"/>
        <w:rPr>
          <w:rFonts w:ascii="Palatino Linotype" w:eastAsia="Calibri" w:hAnsi="Palatino Linotype"/>
          <w:snapToGrid/>
          <w:sz w:val="22"/>
          <w:szCs w:val="22"/>
          <w:lang w:val="nl-NL"/>
        </w:rPr>
      </w:pPr>
    </w:p>
    <w:p w:rsidR="00113352" w:rsidRPr="00113352" w:rsidRDefault="00113352" w:rsidP="00113352">
      <w:pPr>
        <w:widowControl/>
        <w:jc w:val="both"/>
        <w:rPr>
          <w:rFonts w:ascii="Palatino Linotype" w:eastAsia="Calibri" w:hAnsi="Palatino Linotype"/>
          <w:snapToGrid/>
          <w:sz w:val="22"/>
          <w:szCs w:val="22"/>
          <w:u w:val="single"/>
          <w:lang w:val="nl-NL"/>
        </w:rPr>
      </w:pPr>
      <w:r w:rsidRPr="00113352">
        <w:rPr>
          <w:rFonts w:ascii="Palatino Linotype" w:eastAsia="Calibri" w:hAnsi="Palatino Linotype"/>
          <w:snapToGrid/>
          <w:sz w:val="22"/>
          <w:szCs w:val="22"/>
          <w:u w:val="single"/>
          <w:lang w:val="nl-NL"/>
        </w:rPr>
        <w:t>Artikel 5</w:t>
      </w:r>
    </w:p>
    <w:p w:rsidR="00113352" w:rsidRPr="00113352" w:rsidRDefault="00113352" w:rsidP="00113352">
      <w:pPr>
        <w:widowControl/>
        <w:jc w:val="both"/>
        <w:rPr>
          <w:rFonts w:ascii="Palatino Linotype" w:eastAsia="Calibri" w:hAnsi="Palatino Linotype"/>
          <w:snapToGrid/>
          <w:sz w:val="22"/>
          <w:szCs w:val="22"/>
          <w:lang w:val="nl-NL"/>
        </w:rPr>
      </w:pPr>
      <w:r w:rsidRPr="00113352">
        <w:rPr>
          <w:rFonts w:ascii="Palatino Linotype" w:eastAsia="Calibri" w:hAnsi="Palatino Linotype"/>
          <w:snapToGrid/>
          <w:sz w:val="22"/>
          <w:szCs w:val="22"/>
          <w:lang w:val="nl-NL"/>
        </w:rPr>
        <w:t xml:space="preserve">Artikel 5 bepaalt onder welke omschrijving dit landsbesluit wordt aangehaald als Landsbesluit </w:t>
      </w:r>
      <w:proofErr w:type="spellStart"/>
      <w:r w:rsidRPr="00113352">
        <w:rPr>
          <w:rFonts w:ascii="Palatino Linotype" w:eastAsia="Calibri" w:hAnsi="Palatino Linotype"/>
          <w:snapToGrid/>
          <w:sz w:val="22"/>
          <w:szCs w:val="22"/>
          <w:lang w:val="nl-NL"/>
        </w:rPr>
        <w:t>goAML</w:t>
      </w:r>
      <w:proofErr w:type="spellEnd"/>
      <w:r w:rsidRPr="00113352">
        <w:rPr>
          <w:rFonts w:ascii="Palatino Linotype" w:eastAsia="Calibri" w:hAnsi="Palatino Linotype"/>
          <w:snapToGrid/>
          <w:sz w:val="22"/>
          <w:szCs w:val="22"/>
          <w:lang w:val="nl-NL"/>
        </w:rPr>
        <w:t xml:space="preserve"> meldportaal.</w:t>
      </w: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7F37E8" w:rsidRDefault="007F37E8">
      <w:pPr>
        <w:tabs>
          <w:tab w:val="left" w:pos="-720"/>
        </w:tabs>
        <w:suppressAutoHyphens/>
        <w:jc w:val="both"/>
        <w:rPr>
          <w:rFonts w:ascii="Palatino Linotype" w:hAnsi="Palatino Linotype"/>
          <w:bCs/>
          <w:spacing w:val="-3"/>
          <w:sz w:val="22"/>
          <w:szCs w:val="22"/>
          <w:lang w:val="nl-NL"/>
        </w:rPr>
      </w:pPr>
    </w:p>
    <w:sectPr w:rsidR="007F37E8">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96" w:rsidRDefault="00BF3896">
      <w:pPr>
        <w:spacing w:line="20" w:lineRule="exact"/>
      </w:pPr>
    </w:p>
  </w:endnote>
  <w:endnote w:type="continuationSeparator" w:id="0">
    <w:p w:rsidR="00BF3896" w:rsidRDefault="00BF3896">
      <w:r>
        <w:t xml:space="preserve"> </w:t>
      </w:r>
    </w:p>
  </w:endnote>
  <w:endnote w:type="continuationNotice" w:id="1">
    <w:p w:rsidR="00BF3896" w:rsidRDefault="00BF38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96" w:rsidRDefault="00BF3896">
      <w:r>
        <w:separator/>
      </w:r>
    </w:p>
  </w:footnote>
  <w:footnote w:type="continuationSeparator" w:id="0">
    <w:p w:rsidR="00BF3896" w:rsidRDefault="00BF3896">
      <w:r>
        <w:continuationSeparator/>
      </w:r>
    </w:p>
  </w:footnote>
  <w:footnote w:id="1">
    <w:p w:rsidR="00113352" w:rsidRPr="003943C8" w:rsidRDefault="00113352" w:rsidP="00113352">
      <w:pPr>
        <w:pStyle w:val="FootnoteText"/>
        <w:rPr>
          <w:rFonts w:ascii="Palatino Linotype" w:hAnsi="Palatino Linotype"/>
          <w:sz w:val="18"/>
          <w:szCs w:val="18"/>
          <w:lang w:val="es-ES"/>
        </w:rPr>
      </w:pPr>
      <w:r w:rsidRPr="00113352">
        <w:rPr>
          <w:rStyle w:val="FootnoteReference"/>
          <w:rFonts w:ascii="Palatino Linotype" w:hAnsi="Palatino Linotype"/>
          <w:color w:val="000000"/>
          <w:sz w:val="18"/>
          <w:szCs w:val="18"/>
        </w:rPr>
        <w:footnoteRef/>
      </w:r>
      <w:r w:rsidRPr="00113352">
        <w:rPr>
          <w:rFonts w:ascii="Palatino Linotype" w:hAnsi="Palatino Linotype"/>
          <w:color w:val="000000"/>
          <w:sz w:val="18"/>
          <w:szCs w:val="18"/>
          <w:lang w:val="es-ES"/>
        </w:rPr>
        <w:t xml:space="preserve"> P.B. 2017, no. 99 (GT).</w:t>
      </w:r>
    </w:p>
  </w:footnote>
  <w:footnote w:id="2">
    <w:p w:rsidR="00113352" w:rsidRPr="003943C8" w:rsidRDefault="00113352" w:rsidP="00113352">
      <w:pPr>
        <w:pStyle w:val="FootnoteText"/>
        <w:rPr>
          <w:rFonts w:ascii="Palatino Linotype" w:hAnsi="Palatino Linotype"/>
          <w:sz w:val="18"/>
          <w:szCs w:val="18"/>
          <w:lang w:val="es-ES"/>
        </w:rPr>
      </w:pPr>
      <w:r w:rsidRPr="003943C8">
        <w:rPr>
          <w:rStyle w:val="FootnoteReference"/>
          <w:rFonts w:ascii="Palatino Linotype" w:hAnsi="Palatino Linotype"/>
          <w:sz w:val="18"/>
          <w:szCs w:val="18"/>
        </w:rPr>
        <w:footnoteRef/>
      </w:r>
      <w:r w:rsidRPr="003943C8">
        <w:rPr>
          <w:rFonts w:ascii="Palatino Linotype" w:hAnsi="Palatino Linotype"/>
          <w:sz w:val="18"/>
          <w:szCs w:val="18"/>
          <w:lang w:val="es-ES"/>
        </w:rPr>
        <w:t xml:space="preserve"> P.B. 2011, no. 36</w:t>
      </w:r>
      <w:r>
        <w:rPr>
          <w:rFonts w:ascii="Palatino Linotype" w:hAnsi="Palatino Linotype"/>
          <w:sz w:val="18"/>
          <w:szCs w:val="18"/>
          <w:lang w:val="es-ES"/>
        </w:rPr>
        <w:t>.</w:t>
      </w:r>
    </w:p>
  </w:footnote>
  <w:footnote w:id="3">
    <w:p w:rsidR="00113352" w:rsidRPr="003943C8" w:rsidRDefault="00113352" w:rsidP="00113352">
      <w:pPr>
        <w:pStyle w:val="FootnoteText"/>
        <w:rPr>
          <w:rFonts w:ascii="Palatino Linotype" w:hAnsi="Palatino Linotype"/>
          <w:sz w:val="18"/>
          <w:szCs w:val="18"/>
          <w:lang w:val="es-ES"/>
        </w:rPr>
      </w:pPr>
      <w:r w:rsidRPr="003943C8">
        <w:rPr>
          <w:rStyle w:val="FootnoteReference"/>
          <w:rFonts w:ascii="Palatino Linotype" w:hAnsi="Palatino Linotype"/>
          <w:sz w:val="18"/>
          <w:szCs w:val="18"/>
        </w:rPr>
        <w:footnoteRef/>
      </w:r>
      <w:r w:rsidRPr="003943C8">
        <w:rPr>
          <w:rFonts w:ascii="Palatino Linotype" w:hAnsi="Palatino Linotype"/>
          <w:sz w:val="18"/>
          <w:szCs w:val="18"/>
          <w:lang w:val="es-ES"/>
        </w:rPr>
        <w:t xml:space="preserve"> P.B. 2017, no. 99 (GT)</w:t>
      </w:r>
      <w:r>
        <w:rPr>
          <w:rFonts w:ascii="Palatino Linotype" w:hAnsi="Palatino Linotype"/>
          <w:sz w:val="18"/>
          <w:szCs w:val="18"/>
          <w:lang w:val="es-ES"/>
        </w:rPr>
        <w:t>.</w:t>
      </w:r>
    </w:p>
  </w:footnote>
  <w:footnote w:id="4">
    <w:p w:rsidR="00113352" w:rsidRPr="003943C8" w:rsidRDefault="00113352" w:rsidP="00113352">
      <w:pPr>
        <w:pStyle w:val="FootnoteText"/>
        <w:rPr>
          <w:rFonts w:ascii="Palatino Linotype" w:hAnsi="Palatino Linotype"/>
          <w:sz w:val="18"/>
          <w:szCs w:val="18"/>
          <w:lang w:val="es-ES"/>
        </w:rPr>
      </w:pPr>
      <w:r w:rsidRPr="003943C8">
        <w:rPr>
          <w:rStyle w:val="FootnoteReference"/>
          <w:rFonts w:ascii="Palatino Linotype" w:hAnsi="Palatino Linotype"/>
          <w:sz w:val="18"/>
          <w:szCs w:val="18"/>
        </w:rPr>
        <w:footnoteRef/>
      </w:r>
      <w:r w:rsidRPr="003943C8">
        <w:rPr>
          <w:rFonts w:ascii="Palatino Linotype" w:hAnsi="Palatino Linotype"/>
          <w:sz w:val="18"/>
          <w:szCs w:val="18"/>
          <w:lang w:val="es-ES"/>
        </w:rPr>
        <w:t xml:space="preserve"> P.B. 2011, no. 36</w:t>
      </w:r>
      <w:r>
        <w:rPr>
          <w:rFonts w:ascii="Palatino Linotype" w:hAnsi="Palatino Linotype"/>
          <w:sz w:val="18"/>
          <w:szCs w:val="18"/>
          <w:lang w:val="es-ES"/>
        </w:rPr>
        <w:t>.</w:t>
      </w:r>
    </w:p>
    <w:p w:rsidR="00113352" w:rsidRPr="003943C8" w:rsidRDefault="00113352" w:rsidP="00113352">
      <w:pPr>
        <w:pStyle w:val="FootnoteText"/>
        <w:rPr>
          <w:rFonts w:ascii="Palatino Linotype" w:hAnsi="Palatino Linotype"/>
          <w:sz w:val="18"/>
          <w:szCs w:val="18"/>
          <w:lang w:val="es-ES"/>
        </w:rPr>
      </w:pPr>
    </w:p>
  </w:footnote>
  <w:footnote w:id="5">
    <w:p w:rsidR="00113352" w:rsidRPr="003943C8" w:rsidRDefault="00113352" w:rsidP="00113352">
      <w:pPr>
        <w:pStyle w:val="NoSpacing1"/>
        <w:rPr>
          <w:rFonts w:ascii="Palatino Linotype" w:hAnsi="Palatino Linotype"/>
          <w:sz w:val="18"/>
          <w:szCs w:val="18"/>
        </w:rPr>
      </w:pPr>
      <w:r w:rsidRPr="003943C8">
        <w:rPr>
          <w:rStyle w:val="FootnoteReference"/>
          <w:rFonts w:ascii="Palatino Linotype" w:hAnsi="Palatino Linotype"/>
          <w:sz w:val="18"/>
          <w:szCs w:val="18"/>
        </w:rPr>
        <w:footnoteRef/>
      </w:r>
      <w:r w:rsidRPr="003943C8">
        <w:rPr>
          <w:rFonts w:ascii="Palatino Linotype" w:hAnsi="Palatino Linotype"/>
          <w:sz w:val="18"/>
          <w:szCs w:val="18"/>
        </w:rPr>
        <w:t xml:space="preserve"> H. Franken, Kanttekeningen bij het automatiseren van beschikkingen, in: Beschikken en automatiseren, VAR-reeks 110, Alphen aan den Rhijn, 1993.</w:t>
      </w:r>
    </w:p>
    <w:p w:rsidR="00113352" w:rsidRPr="00113352" w:rsidRDefault="00113352" w:rsidP="00113352">
      <w:pPr>
        <w:pStyle w:val="FootnoteText"/>
        <w:rPr>
          <w:rFonts w:ascii="Palatino Linotype" w:hAnsi="Palatino Linotype"/>
          <w:sz w:val="18"/>
          <w:szCs w:val="18"/>
          <w:lang w:val="nl-NL"/>
        </w:rPr>
      </w:pPr>
    </w:p>
  </w:footnote>
  <w:footnote w:id="6">
    <w:p w:rsidR="00113352" w:rsidRPr="003943C8" w:rsidRDefault="00113352" w:rsidP="00113352">
      <w:pPr>
        <w:pStyle w:val="FootnoteText"/>
        <w:rPr>
          <w:rFonts w:ascii="Palatino Linotype" w:hAnsi="Palatino Linotype"/>
          <w:sz w:val="18"/>
          <w:szCs w:val="18"/>
        </w:rPr>
      </w:pPr>
      <w:r w:rsidRPr="003943C8">
        <w:rPr>
          <w:rStyle w:val="FootnoteReference"/>
          <w:rFonts w:ascii="Palatino Linotype" w:hAnsi="Palatino Linotype"/>
          <w:sz w:val="18"/>
          <w:szCs w:val="18"/>
        </w:rPr>
        <w:footnoteRef/>
      </w:r>
      <w:r w:rsidRPr="003943C8">
        <w:rPr>
          <w:rFonts w:ascii="Palatino Linotype" w:hAnsi="Palatino Linotype"/>
          <w:sz w:val="18"/>
          <w:szCs w:val="18"/>
        </w:rPr>
        <w:t xml:space="preserve"> UNODC: United Nations Office on Drugs and Crime</w:t>
      </w:r>
    </w:p>
  </w:footnote>
  <w:footnote w:id="7">
    <w:p w:rsidR="00113352" w:rsidRPr="003943C8" w:rsidRDefault="00113352" w:rsidP="00113352">
      <w:pPr>
        <w:pStyle w:val="FootnoteText"/>
      </w:pPr>
      <w:r w:rsidRPr="003943C8">
        <w:rPr>
          <w:rStyle w:val="FootnoteReference"/>
          <w:rFonts w:ascii="Palatino Linotype" w:hAnsi="Palatino Linotype"/>
          <w:sz w:val="18"/>
          <w:szCs w:val="18"/>
        </w:rPr>
        <w:footnoteRef/>
      </w:r>
      <w:r w:rsidRPr="003943C8">
        <w:rPr>
          <w:rFonts w:ascii="Palatino Linotype" w:hAnsi="Palatino Linotype"/>
          <w:sz w:val="18"/>
          <w:szCs w:val="18"/>
        </w:rPr>
        <w:t xml:space="preserve"> P.B. 2007, no. 20</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D69AE">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D69AE">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13352">
      <w:rPr>
        <w:rFonts w:ascii="Times New Roman" w:hAnsi="Times New Roman"/>
        <w:b/>
        <w:spacing w:val="-4"/>
        <w:sz w:val="36"/>
      </w:rPr>
      <w:t>157</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D69AE">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D69AE">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13352">
      <w:rPr>
        <w:rFonts w:ascii="Times New Roman" w:hAnsi="Times New Roman"/>
        <w:b/>
        <w:spacing w:val="-4"/>
        <w:sz w:val="36"/>
      </w:rPr>
      <w:t>157</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604CF"/>
    <w:multiLevelType w:val="hybridMultilevel"/>
    <w:tmpl w:val="3EB65184"/>
    <w:lvl w:ilvl="0" w:tplc="0413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8D783B"/>
    <w:multiLevelType w:val="hybridMultilevel"/>
    <w:tmpl w:val="85242DFA"/>
    <w:lvl w:ilvl="0" w:tplc="39480E6C">
      <w:start w:val="1"/>
      <w:numFmt w:val="decimal"/>
      <w:lvlText w:val="%1."/>
      <w:lvlJc w:val="left"/>
      <w:pPr>
        <w:ind w:left="720" w:hanging="360"/>
      </w:pPr>
      <w:rPr>
        <w:rFonts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A064B9"/>
    <w:multiLevelType w:val="hybridMultilevel"/>
    <w:tmpl w:val="D662ED7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22D76"/>
    <w:rsid w:val="00023DB3"/>
    <w:rsid w:val="000254C1"/>
    <w:rsid w:val="00064039"/>
    <w:rsid w:val="000829F9"/>
    <w:rsid w:val="000A0DBD"/>
    <w:rsid w:val="00113352"/>
    <w:rsid w:val="0014186C"/>
    <w:rsid w:val="00173FBA"/>
    <w:rsid w:val="001A7D22"/>
    <w:rsid w:val="001C27B0"/>
    <w:rsid w:val="001C384D"/>
    <w:rsid w:val="00213227"/>
    <w:rsid w:val="0021377D"/>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5D39A3"/>
    <w:rsid w:val="005F73B0"/>
    <w:rsid w:val="006147F1"/>
    <w:rsid w:val="006169E6"/>
    <w:rsid w:val="006725E6"/>
    <w:rsid w:val="006C19FE"/>
    <w:rsid w:val="00781AD6"/>
    <w:rsid w:val="007A6572"/>
    <w:rsid w:val="007C7D7D"/>
    <w:rsid w:val="007D4D73"/>
    <w:rsid w:val="007D69AE"/>
    <w:rsid w:val="007F37E8"/>
    <w:rsid w:val="00831996"/>
    <w:rsid w:val="0083378A"/>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896"/>
    <w:rsid w:val="00BF3E97"/>
    <w:rsid w:val="00C00533"/>
    <w:rsid w:val="00CC6CA3"/>
    <w:rsid w:val="00CE18CE"/>
    <w:rsid w:val="00CE5C4F"/>
    <w:rsid w:val="00D03575"/>
    <w:rsid w:val="00D03A15"/>
    <w:rsid w:val="00D50DA5"/>
    <w:rsid w:val="00D67282"/>
    <w:rsid w:val="00D95F17"/>
    <w:rsid w:val="00DC4B4C"/>
    <w:rsid w:val="00E42D6B"/>
    <w:rsid w:val="00ED189F"/>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113352"/>
    <w:rPr>
      <w:rFonts w:ascii="Calibri" w:eastAsia="Calibri" w:hAnsi="Calibri"/>
      <w:sz w:val="22"/>
      <w:szCs w:val="22"/>
      <w:lang w:val="nl-NL"/>
    </w:rPr>
  </w:style>
  <w:style w:type="table" w:customStyle="1" w:styleId="TableGrid1">
    <w:name w:val="Table Grid1"/>
    <w:basedOn w:val="TableNormal"/>
    <w:next w:val="TableGrid"/>
    <w:uiPriority w:val="59"/>
    <w:rsid w:val="00113352"/>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3352"/>
    <w:pPr>
      <w:widowControl w:val="0"/>
    </w:pPr>
    <w:rPr>
      <w:rFonts w:ascii="Courier" w:hAnsi="Courier"/>
      <w:snapToGrid w:val="0"/>
      <w:sz w:val="24"/>
    </w:rPr>
  </w:style>
  <w:style w:type="paragraph" w:styleId="BalloonText">
    <w:name w:val="Balloon Text"/>
    <w:basedOn w:val="Normal"/>
    <w:link w:val="BalloonTextChar"/>
    <w:rsid w:val="007D69AE"/>
    <w:rPr>
      <w:rFonts w:ascii="Segoe UI" w:hAnsi="Segoe UI" w:cs="Segoe UI"/>
      <w:sz w:val="18"/>
      <w:szCs w:val="18"/>
    </w:rPr>
  </w:style>
  <w:style w:type="character" w:customStyle="1" w:styleId="BalloonTextChar">
    <w:name w:val="Balloon Text Char"/>
    <w:basedOn w:val="DefaultParagraphFont"/>
    <w:link w:val="BalloonText"/>
    <w:rsid w:val="007D69A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611789083">
      <w:bodyDiv w:val="1"/>
      <w:marLeft w:val="0"/>
      <w:marRight w:val="0"/>
      <w:marTop w:val="0"/>
      <w:marBottom w:val="0"/>
      <w:divBdr>
        <w:top w:val="none" w:sz="0" w:space="0" w:color="auto"/>
        <w:left w:val="none" w:sz="0" w:space="0" w:color="auto"/>
        <w:bottom w:val="none" w:sz="0" w:space="0" w:color="auto"/>
        <w:right w:val="none" w:sz="0" w:space="0" w:color="auto"/>
      </w:divBdr>
    </w:div>
    <w:div w:id="677268508">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518732991">
      <w:bodyDiv w:val="1"/>
      <w:marLeft w:val="0"/>
      <w:marRight w:val="0"/>
      <w:marTop w:val="0"/>
      <w:marBottom w:val="0"/>
      <w:divBdr>
        <w:top w:val="none" w:sz="0" w:space="0" w:color="auto"/>
        <w:left w:val="none" w:sz="0" w:space="0" w:color="auto"/>
        <w:bottom w:val="none" w:sz="0" w:space="0" w:color="auto"/>
        <w:right w:val="none" w:sz="0" w:space="0" w:color="auto"/>
      </w:divBdr>
    </w:div>
    <w:div w:id="1633709285">
      <w:bodyDiv w:val="1"/>
      <w:marLeft w:val="0"/>
      <w:marRight w:val="0"/>
      <w:marTop w:val="0"/>
      <w:marBottom w:val="0"/>
      <w:divBdr>
        <w:top w:val="none" w:sz="0" w:space="0" w:color="auto"/>
        <w:left w:val="none" w:sz="0" w:space="0" w:color="auto"/>
        <w:bottom w:val="none" w:sz="0" w:space="0" w:color="auto"/>
        <w:right w:val="none" w:sz="0" w:space="0" w:color="auto"/>
      </w:divBdr>
    </w:div>
    <w:div w:id="1912033321">
      <w:bodyDiv w:val="1"/>
      <w:marLeft w:val="0"/>
      <w:marRight w:val="0"/>
      <w:marTop w:val="0"/>
      <w:marBottom w:val="0"/>
      <w:divBdr>
        <w:top w:val="none" w:sz="0" w:space="0" w:color="auto"/>
        <w:left w:val="none" w:sz="0" w:space="0" w:color="auto"/>
        <w:bottom w:val="none" w:sz="0" w:space="0" w:color="auto"/>
        <w:right w:val="none" w:sz="0" w:space="0" w:color="auto"/>
      </w:divBdr>
    </w:div>
    <w:div w:id="20879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32</TotalTime>
  <Pages>10</Pages>
  <Words>3367</Words>
  <Characters>20479</Characters>
  <Application>Microsoft Office Word</Application>
  <DocSecurity>0</DocSecurity>
  <Lines>819</Lines>
  <Paragraphs>345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2020-12-31T14:24:00Z</cp:lastPrinted>
  <dcterms:created xsi:type="dcterms:W3CDTF">2020-12-31T14:19:00Z</dcterms:created>
  <dcterms:modified xsi:type="dcterms:W3CDTF">2020-12-31T14:51:00Z</dcterms:modified>
</cp:coreProperties>
</file>