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803F5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E84163">
        <w:rPr>
          <w:b/>
          <w:sz w:val="36"/>
          <w:szCs w:val="36"/>
        </w:rPr>
        <w:fldChar w:fldCharType="begin">
          <w:ffData>
            <w:name w:val="Text2"/>
            <w:enabled/>
            <w:calcOnExit w:val="0"/>
            <w:textInput>
              <w:default w:val="14"/>
            </w:textInput>
          </w:ffData>
        </w:fldChar>
      </w:r>
      <w:bookmarkStart w:id="0" w:name="Text2"/>
      <w:r w:rsidR="00E84163">
        <w:rPr>
          <w:b/>
          <w:sz w:val="36"/>
          <w:szCs w:val="36"/>
        </w:rPr>
        <w:instrText xml:space="preserve"> FORMTEXT </w:instrText>
      </w:r>
      <w:r w:rsidR="00E84163">
        <w:rPr>
          <w:b/>
          <w:sz w:val="36"/>
          <w:szCs w:val="36"/>
        </w:rPr>
      </w:r>
      <w:r w:rsidR="00E84163">
        <w:rPr>
          <w:b/>
          <w:sz w:val="36"/>
          <w:szCs w:val="36"/>
        </w:rPr>
        <w:fldChar w:fldCharType="separate"/>
      </w:r>
      <w:r w:rsidR="00E84163">
        <w:rPr>
          <w:b/>
          <w:noProof/>
          <w:sz w:val="36"/>
          <w:szCs w:val="36"/>
        </w:rPr>
        <w:t>14</w:t>
      </w:r>
      <w:r w:rsidR="00E84163">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362FE2" w:rsidRDefault="00362FE2" w:rsidP="00362FE2">
      <w:pPr>
        <w:widowControl/>
        <w:jc w:val="both"/>
        <w:rPr>
          <w:rFonts w:ascii="Palatino Linotype" w:hAnsi="Palatino Linotype"/>
          <w:b/>
          <w:snapToGrid/>
          <w:sz w:val="22"/>
          <w:szCs w:val="22"/>
          <w:lang w:val="nl-NL"/>
        </w:rPr>
      </w:pPr>
      <w:r w:rsidRPr="00362FE2">
        <w:rPr>
          <w:rFonts w:ascii="Palatino Linotype" w:hAnsi="Palatino Linotype"/>
          <w:b/>
          <w:snapToGrid/>
          <w:sz w:val="22"/>
          <w:szCs w:val="22"/>
          <w:lang w:val="nl-NL"/>
        </w:rPr>
        <w:t xml:space="preserve">MINISTERIËLE REGELING MET ALGEMENE WERKING, van de </w:t>
      </w:r>
      <w:r w:rsidRPr="00362FE2">
        <w:rPr>
          <w:rFonts w:ascii="Palatino Linotype" w:hAnsi="Palatino Linotype"/>
          <w:b/>
          <w:snapToGrid/>
          <w:sz w:val="22"/>
          <w:szCs w:val="22"/>
          <w:lang w:val="nl-NL"/>
        </w:rPr>
        <w:t>19</w:t>
      </w:r>
      <w:r w:rsidRPr="00362FE2">
        <w:rPr>
          <w:rFonts w:ascii="Palatino Linotype" w:hAnsi="Palatino Linotype"/>
          <w:b/>
          <w:snapToGrid/>
          <w:sz w:val="22"/>
          <w:szCs w:val="22"/>
          <w:vertAlign w:val="superscript"/>
          <w:lang w:val="nl-NL"/>
        </w:rPr>
        <w:t>de</w:t>
      </w:r>
      <w:r w:rsidRPr="00362FE2">
        <w:rPr>
          <w:rFonts w:ascii="Palatino Linotype" w:hAnsi="Palatino Linotype"/>
          <w:b/>
          <w:snapToGrid/>
          <w:sz w:val="22"/>
          <w:szCs w:val="22"/>
          <w:lang w:val="nl-NL"/>
        </w:rPr>
        <w:t xml:space="preserve"> februari 2021 </w:t>
      </w:r>
      <w:r w:rsidRPr="00362FE2">
        <w:rPr>
          <w:rFonts w:ascii="Palatino Linotype" w:hAnsi="Palatino Linotype"/>
          <w:b/>
          <w:snapToGrid/>
          <w:sz w:val="22"/>
          <w:szCs w:val="22"/>
          <w:lang w:val="nl-NL"/>
        </w:rPr>
        <w:t xml:space="preserve">houdende voorschriften als bedoeld in artikel 23 van de Lei </w:t>
      </w:r>
      <w:proofErr w:type="spellStart"/>
      <w:r w:rsidRPr="00362FE2">
        <w:rPr>
          <w:rFonts w:ascii="Palatino Linotype" w:hAnsi="Palatino Linotype"/>
          <w:b/>
          <w:snapToGrid/>
          <w:sz w:val="22"/>
          <w:szCs w:val="22"/>
          <w:lang w:val="nl-NL"/>
        </w:rPr>
        <w:t>Estado</w:t>
      </w:r>
      <w:proofErr w:type="spellEnd"/>
      <w:r w:rsidRPr="00362FE2">
        <w:rPr>
          <w:rFonts w:ascii="Palatino Linotype" w:hAnsi="Palatino Linotype"/>
          <w:b/>
          <w:snapToGrid/>
          <w:sz w:val="22"/>
          <w:szCs w:val="22"/>
          <w:lang w:val="nl-NL"/>
        </w:rPr>
        <w:t xml:space="preserve"> di </w:t>
      </w:r>
      <w:proofErr w:type="spellStart"/>
      <w:r w:rsidRPr="00362FE2">
        <w:rPr>
          <w:rFonts w:ascii="Palatino Linotype" w:hAnsi="Palatino Linotype"/>
          <w:b/>
          <w:snapToGrid/>
          <w:sz w:val="22"/>
          <w:szCs w:val="22"/>
          <w:lang w:val="nl-NL"/>
        </w:rPr>
        <w:t>Emergensia</w:t>
      </w:r>
      <w:proofErr w:type="spellEnd"/>
      <w:r w:rsidRPr="00362FE2">
        <w:rPr>
          <w:rFonts w:ascii="Palatino Linotype" w:hAnsi="Palatino Linotype"/>
          <w:b/>
          <w:snapToGrid/>
          <w:sz w:val="22"/>
          <w:szCs w:val="22"/>
          <w:lang w:val="nl-NL"/>
        </w:rPr>
        <w:t xml:space="preserve"> strekkende tot verlenging van de aanwijzing van COVID-19 als besmettelijke ziekte als bedoeld in de quarantaine-verordening (Regeling verlenging aanwijzing COVID-19 als besmettelijke ziekte als bedoeld in de quarantaine-verordening)</w:t>
      </w:r>
    </w:p>
    <w:p w:rsidR="00362FE2" w:rsidRPr="00362FE2" w:rsidRDefault="00362FE2" w:rsidP="00362FE2">
      <w:pPr>
        <w:widowControl/>
        <w:jc w:val="both"/>
        <w:rPr>
          <w:rFonts w:ascii="Palatino Linotype" w:hAnsi="Palatino Linotype"/>
          <w:b/>
          <w:snapToGrid/>
          <w:sz w:val="22"/>
          <w:szCs w:val="22"/>
          <w:lang w:val="nl-NL"/>
        </w:rPr>
      </w:pP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362FE2" w:rsidRPr="00362FE2" w:rsidRDefault="00362FE2" w:rsidP="00362FE2">
      <w:pPr>
        <w:widowControl/>
        <w:tabs>
          <w:tab w:val="left" w:pos="567"/>
        </w:tabs>
        <w:spacing w:line="276" w:lineRule="auto"/>
        <w:ind w:left="567" w:hanging="567"/>
        <w:rPr>
          <w:rFonts w:ascii="Palatino Linotype" w:hAnsi="Palatino Linotype"/>
          <w:snapToGrid/>
          <w:sz w:val="22"/>
          <w:szCs w:val="22"/>
          <w:lang w:val="nl-NL"/>
        </w:rPr>
      </w:pPr>
    </w:p>
    <w:p w:rsidR="00362FE2" w:rsidRPr="00362FE2" w:rsidRDefault="00362FE2" w:rsidP="00362FE2">
      <w:pPr>
        <w:widowControl/>
        <w:tabs>
          <w:tab w:val="left" w:pos="567"/>
        </w:tabs>
        <w:spacing w:line="276" w:lineRule="auto"/>
        <w:ind w:left="567" w:hanging="567"/>
        <w:rPr>
          <w:rFonts w:ascii="Palatino Linotype" w:hAnsi="Palatino Linotype"/>
          <w:snapToGrid/>
          <w:sz w:val="22"/>
          <w:szCs w:val="22"/>
          <w:lang w:val="nl-NL"/>
        </w:rPr>
      </w:pPr>
      <w:r w:rsidRPr="00362FE2">
        <w:rPr>
          <w:rFonts w:ascii="Palatino Linotype" w:hAnsi="Palatino Linotype"/>
          <w:snapToGrid/>
          <w:sz w:val="22"/>
          <w:szCs w:val="22"/>
          <w:lang w:val="nl-NL"/>
        </w:rPr>
        <w:t>Overwegende:</w:t>
      </w:r>
    </w:p>
    <w:p w:rsidR="00362FE2" w:rsidRPr="00362FE2" w:rsidRDefault="00362FE2" w:rsidP="00362FE2">
      <w:pPr>
        <w:widowControl/>
        <w:spacing w:line="276" w:lineRule="auto"/>
        <w:rPr>
          <w:rFonts w:ascii="Palatino Linotype" w:hAnsi="Palatino Linotype"/>
          <w:snapToGrid/>
          <w:sz w:val="22"/>
          <w:szCs w:val="22"/>
          <w:lang w:val="nl-NL"/>
        </w:rPr>
      </w:pPr>
    </w:p>
    <w:p w:rsidR="00362FE2" w:rsidRPr="00362FE2" w:rsidRDefault="00362FE2" w:rsidP="00362FE2">
      <w:pPr>
        <w:keepNext/>
        <w:widowControl/>
        <w:spacing w:line="276" w:lineRule="auto"/>
        <w:jc w:val="both"/>
        <w:outlineLvl w:val="0"/>
        <w:rPr>
          <w:rFonts w:ascii="Palatino Linotype" w:hAnsi="Palatino Linotype"/>
          <w:snapToGrid/>
          <w:sz w:val="22"/>
          <w:szCs w:val="22"/>
          <w:lang w:val="nl-NL"/>
        </w:rPr>
      </w:pPr>
      <w:r w:rsidRPr="00362FE2">
        <w:rPr>
          <w:rFonts w:ascii="Palatino Linotype" w:hAnsi="Palatino Linotype"/>
          <w:snapToGrid/>
          <w:sz w:val="22"/>
          <w:szCs w:val="22"/>
          <w:lang w:val="nl-NL"/>
        </w:rPr>
        <w:t>dat de verspreiding van het SARS-CoV-2 virus, dat de ziekte COVID-19 veroorzaakt door de Wereldgezondheidsorganisatie is aangewezen als pandemie en in dit kader COVID-19 bij Tijdelijk landsbesluit aanwijzing COVID-19 virus als besmettelijke ziekte als bedoeld in de quarantaine-verordening</w:t>
      </w:r>
      <w:r w:rsidRPr="00362FE2">
        <w:rPr>
          <w:rFonts w:ascii="Palatino Linotype" w:hAnsi="Palatino Linotype"/>
          <w:snapToGrid/>
          <w:sz w:val="22"/>
          <w:szCs w:val="22"/>
          <w:vertAlign w:val="superscript"/>
          <w:lang w:val="nl-NL"/>
        </w:rPr>
        <w:footnoteReference w:id="1"/>
      </w:r>
      <w:r w:rsidRPr="00362FE2">
        <w:rPr>
          <w:rFonts w:ascii="Palatino Linotype" w:hAnsi="Palatino Linotype"/>
          <w:snapToGrid/>
          <w:sz w:val="22"/>
          <w:szCs w:val="22"/>
          <w:lang w:val="nl-NL"/>
        </w:rPr>
        <w:t xml:space="preserve"> is aangewezen als besmettelijke ziekte als bedoeld in artikel 7 van de quarantaine-verordening;</w:t>
      </w:r>
    </w:p>
    <w:p w:rsidR="00362FE2" w:rsidRPr="00362FE2" w:rsidRDefault="00362FE2" w:rsidP="00362FE2">
      <w:pPr>
        <w:widowControl/>
        <w:rPr>
          <w:rFonts w:ascii="Palatino Linotype" w:hAnsi="Palatino Linotype"/>
          <w:snapToGrid/>
          <w:sz w:val="22"/>
          <w:szCs w:val="22"/>
          <w:lang w:val="nl-NL"/>
        </w:rPr>
      </w:pPr>
    </w:p>
    <w:p w:rsidR="00362FE2" w:rsidRPr="00362FE2" w:rsidRDefault="00362FE2" w:rsidP="00362FE2">
      <w:pPr>
        <w:keepNext/>
        <w:widowControl/>
        <w:spacing w:line="276" w:lineRule="auto"/>
        <w:jc w:val="both"/>
        <w:outlineLvl w:val="0"/>
        <w:rPr>
          <w:rFonts w:ascii="Palatino Linotype" w:hAnsi="Palatino Linotype"/>
          <w:snapToGrid/>
          <w:sz w:val="22"/>
          <w:szCs w:val="22"/>
          <w:lang w:val="nl-NL"/>
        </w:rPr>
      </w:pPr>
      <w:r w:rsidRPr="00362FE2">
        <w:rPr>
          <w:rFonts w:ascii="Palatino Linotype" w:hAnsi="Palatino Linotype"/>
          <w:snapToGrid/>
          <w:sz w:val="22"/>
          <w:szCs w:val="22"/>
          <w:lang w:val="nl-NL"/>
        </w:rPr>
        <w:t>dat de hierboven genoemde aanwijzing met ingang van 22 februari 2021 van rechtswege zal vervallen en de landsverordening ter bekrachtiging van die aanwijzing niet tijdig tot stand zal komen;</w:t>
      </w:r>
    </w:p>
    <w:p w:rsidR="00362FE2" w:rsidRPr="00362FE2" w:rsidRDefault="00362FE2" w:rsidP="00362FE2">
      <w:pPr>
        <w:widowControl/>
        <w:rPr>
          <w:rFonts w:ascii="Times New Roman" w:hAnsi="Times New Roman"/>
          <w:snapToGrid/>
          <w:sz w:val="20"/>
          <w:lang w:val="nl-NL"/>
        </w:rPr>
      </w:pPr>
    </w:p>
    <w:p w:rsidR="00362FE2" w:rsidRPr="00362FE2" w:rsidRDefault="00362FE2" w:rsidP="00362FE2">
      <w:pPr>
        <w:keepNext/>
        <w:widowControl/>
        <w:spacing w:line="276" w:lineRule="auto"/>
        <w:jc w:val="both"/>
        <w:outlineLvl w:val="0"/>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dat het gelet op de voortdurende pandemie wenselijk is, deze aanwijzing te behouden en dat artikel 23 van de Lei </w:t>
      </w:r>
      <w:proofErr w:type="spellStart"/>
      <w:r w:rsidRPr="00362FE2">
        <w:rPr>
          <w:rFonts w:ascii="Palatino Linotype" w:hAnsi="Palatino Linotype"/>
          <w:snapToGrid/>
          <w:sz w:val="22"/>
          <w:szCs w:val="22"/>
          <w:lang w:val="nl-NL"/>
        </w:rPr>
        <w:t>Estado</w:t>
      </w:r>
      <w:proofErr w:type="spellEnd"/>
      <w:r w:rsidRPr="00362FE2">
        <w:rPr>
          <w:rFonts w:ascii="Palatino Linotype" w:hAnsi="Palatino Linotype"/>
          <w:snapToGrid/>
          <w:sz w:val="22"/>
          <w:szCs w:val="22"/>
          <w:lang w:val="nl-NL"/>
        </w:rPr>
        <w:t xml:space="preserve"> di </w:t>
      </w:r>
      <w:proofErr w:type="spellStart"/>
      <w:r w:rsidRPr="00362FE2">
        <w:rPr>
          <w:rFonts w:ascii="Palatino Linotype" w:hAnsi="Palatino Linotype"/>
          <w:snapToGrid/>
          <w:sz w:val="22"/>
          <w:szCs w:val="22"/>
          <w:lang w:val="nl-NL"/>
        </w:rPr>
        <w:t>Emergensia</w:t>
      </w:r>
      <w:proofErr w:type="spellEnd"/>
      <w:r w:rsidRPr="00362FE2">
        <w:rPr>
          <w:rFonts w:ascii="Palatino Linotype" w:hAnsi="Palatino Linotype"/>
          <w:snapToGrid/>
          <w:sz w:val="22"/>
          <w:szCs w:val="22"/>
          <w:vertAlign w:val="superscript"/>
          <w:lang w:val="nl-NL"/>
        </w:rPr>
        <w:footnoteReference w:id="2"/>
      </w:r>
      <w:r w:rsidRPr="00362FE2">
        <w:rPr>
          <w:rFonts w:ascii="Palatino Linotype" w:hAnsi="Palatino Linotype"/>
          <w:snapToGrid/>
          <w:sz w:val="22"/>
          <w:szCs w:val="22"/>
          <w:lang w:val="nl-NL"/>
        </w:rPr>
        <w:t xml:space="preserve"> daartoe de mogelijkheid biedt;</w:t>
      </w:r>
    </w:p>
    <w:p w:rsidR="00362FE2" w:rsidRPr="00362FE2" w:rsidRDefault="00362FE2" w:rsidP="00362FE2">
      <w:pPr>
        <w:widowControl/>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proofErr w:type="gramStart"/>
      <w:r w:rsidRPr="00362FE2">
        <w:rPr>
          <w:rFonts w:ascii="Palatino Linotype" w:hAnsi="Palatino Linotype"/>
          <w:snapToGrid/>
          <w:sz w:val="22"/>
          <w:szCs w:val="22"/>
          <w:lang w:val="nl-NL"/>
        </w:rPr>
        <w:t>Heeft besloten:</w:t>
      </w:r>
      <w:proofErr w:type="gramEnd"/>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Artikel 1</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r w:rsidRPr="00362FE2">
        <w:rPr>
          <w:rFonts w:ascii="Palatino Linotype" w:hAnsi="Palatino Linotype"/>
          <w:snapToGrid/>
          <w:sz w:val="22"/>
          <w:szCs w:val="22"/>
          <w:lang w:val="nl-NL"/>
        </w:rPr>
        <w:t>In afwijking van artikel 7 van de quarantaine-verordening blijft het Tijdelijk landsbesluit aanwijzing COVID-19 virus als besmettelijke ziekte als bedoeld in de quarantaine-verordening, van kracht.</w:t>
      </w:r>
    </w:p>
    <w:p w:rsidR="00362FE2" w:rsidRDefault="00362FE2" w:rsidP="00362FE2">
      <w:pPr>
        <w:widowControl/>
        <w:spacing w:line="276" w:lineRule="auto"/>
        <w:jc w:val="both"/>
        <w:rPr>
          <w:rFonts w:ascii="Palatino Linotype" w:hAnsi="Palatino Linotype"/>
          <w:snapToGrid/>
          <w:sz w:val="22"/>
          <w:szCs w:val="22"/>
          <w:lang w:val="nl-NL"/>
        </w:rPr>
      </w:pPr>
    </w:p>
    <w:p w:rsidR="00E84163" w:rsidRPr="00362FE2" w:rsidRDefault="00E84163"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Artikel 2</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Deze regeling treedt in werking met ingang van 22 februari 2021. </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center"/>
        <w:rPr>
          <w:rFonts w:ascii="Palatino Linotype" w:hAnsi="Palatino Linotype"/>
          <w:snapToGrid/>
          <w:sz w:val="22"/>
          <w:szCs w:val="22"/>
          <w:lang w:val="nl-NL"/>
        </w:rPr>
      </w:pPr>
      <w:r w:rsidRPr="00362FE2">
        <w:rPr>
          <w:rFonts w:ascii="Palatino Linotype" w:hAnsi="Palatino Linotype"/>
          <w:snapToGrid/>
          <w:sz w:val="22"/>
          <w:szCs w:val="22"/>
          <w:lang w:val="nl-NL"/>
        </w:rPr>
        <w:t>Artikel 3</w:t>
      </w:r>
    </w:p>
    <w:p w:rsidR="00362FE2" w:rsidRPr="00362FE2" w:rsidRDefault="00362FE2" w:rsidP="00362FE2">
      <w:pPr>
        <w:widowControl/>
        <w:tabs>
          <w:tab w:val="left" w:pos="284"/>
        </w:tabs>
        <w:spacing w:line="276" w:lineRule="auto"/>
        <w:ind w:left="284" w:hanging="284"/>
        <w:rPr>
          <w:rFonts w:ascii="Palatino Linotype" w:hAnsi="Palatino Linotype"/>
          <w:snapToGrid/>
          <w:sz w:val="22"/>
          <w:szCs w:val="22"/>
          <w:lang w:val="nl-NL"/>
        </w:rPr>
      </w:pPr>
    </w:p>
    <w:p w:rsidR="00362FE2" w:rsidRPr="00362FE2" w:rsidRDefault="00362FE2" w:rsidP="00362FE2">
      <w:pPr>
        <w:widowControl/>
        <w:tabs>
          <w:tab w:val="left" w:pos="284"/>
        </w:tabs>
        <w:spacing w:line="276" w:lineRule="auto"/>
        <w:ind w:left="284" w:hanging="284"/>
        <w:rPr>
          <w:rFonts w:ascii="Palatino Linotype" w:hAnsi="Palatino Linotype"/>
          <w:snapToGrid/>
          <w:sz w:val="22"/>
          <w:szCs w:val="22"/>
          <w:lang w:val="nl-NL"/>
        </w:rPr>
      </w:pPr>
      <w:r w:rsidRPr="00362FE2">
        <w:rPr>
          <w:rFonts w:ascii="Palatino Linotype" w:hAnsi="Palatino Linotype"/>
          <w:snapToGrid/>
          <w:sz w:val="22"/>
          <w:szCs w:val="22"/>
          <w:lang w:val="nl-NL"/>
        </w:rPr>
        <w:t>Deze regeling wordt aangehaald als: Regeling verlenging aanwijzing COVID-19 als</w:t>
      </w:r>
    </w:p>
    <w:p w:rsidR="00362FE2" w:rsidRPr="00362FE2" w:rsidRDefault="00362FE2" w:rsidP="00362FE2">
      <w:pPr>
        <w:widowControl/>
        <w:tabs>
          <w:tab w:val="left" w:pos="284"/>
        </w:tabs>
        <w:spacing w:line="276" w:lineRule="auto"/>
        <w:ind w:left="284" w:hanging="284"/>
        <w:rPr>
          <w:rFonts w:ascii="Palatino Linotype" w:hAnsi="Palatino Linotype"/>
          <w:snapToGrid/>
          <w:sz w:val="22"/>
          <w:szCs w:val="22"/>
          <w:lang w:val="nl-NL"/>
        </w:rPr>
      </w:pPr>
      <w:r w:rsidRPr="00362FE2">
        <w:rPr>
          <w:rFonts w:ascii="Palatino Linotype" w:hAnsi="Palatino Linotype"/>
          <w:snapToGrid/>
          <w:sz w:val="22"/>
          <w:szCs w:val="22"/>
          <w:lang w:val="nl-NL"/>
        </w:rPr>
        <w:t>besmettelijke ziekte als bedoeld in de quarantaine-verordening.</w:t>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Pr>
          <w:rFonts w:ascii="Palatino Linotype" w:hAnsi="Palatino Linotype"/>
          <w:snapToGrid/>
          <w:sz w:val="22"/>
          <w:szCs w:val="22"/>
          <w:lang w:val="nl-NL"/>
        </w:rPr>
        <w:t>19</w:t>
      </w:r>
      <w:r w:rsidRPr="00362FE2">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februari 2021</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Pr="00E84163" w:rsidRDefault="00E84163" w:rsidP="00E84163">
      <w:pPr>
        <w:widowControl/>
        <w:spacing w:line="276" w:lineRule="auto"/>
        <w:ind w:left="5103" w:right="238"/>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362FE2" w:rsidRPr="00362FE2" w:rsidRDefault="00362FE2" w:rsidP="00362FE2">
      <w:pPr>
        <w:widowControl/>
        <w:spacing w:line="276" w:lineRule="auto"/>
        <w:ind w:left="5103"/>
        <w:rPr>
          <w:rFonts w:ascii="Palatino Linotype" w:hAnsi="Palatino Linotype"/>
          <w:snapToGrid/>
          <w:sz w:val="22"/>
          <w:szCs w:val="22"/>
          <w:lang w:val="nl-NL"/>
        </w:rPr>
      </w:pPr>
    </w:p>
    <w:p w:rsidR="00E84163" w:rsidRPr="00362FE2" w:rsidRDefault="00E84163" w:rsidP="00362FE2">
      <w:pPr>
        <w:widowControl/>
        <w:spacing w:line="276" w:lineRule="auto"/>
        <w:ind w:left="5103"/>
        <w:rPr>
          <w:rFonts w:ascii="Palatino Linotype" w:hAnsi="Palatino Linotype"/>
          <w:snapToGrid/>
          <w:sz w:val="22"/>
          <w:szCs w:val="22"/>
          <w:lang w:val="nl-NL"/>
        </w:rPr>
      </w:pPr>
      <w:bookmarkStart w:id="1" w:name="_GoBack"/>
      <w:bookmarkEnd w:id="1"/>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19</w:t>
      </w:r>
      <w:r w:rsidRPr="00362FE2">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februari 2021</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E84163" w:rsidRPr="00E84163" w:rsidRDefault="00E84163" w:rsidP="00E84163">
      <w:pPr>
        <w:widowControl/>
        <w:spacing w:line="276" w:lineRule="auto"/>
        <w:ind w:left="5103" w:right="805"/>
        <w:jc w:val="center"/>
        <w:rPr>
          <w:rFonts w:ascii="Palatino Linotype" w:hAnsi="Palatino Linotype"/>
          <w:snapToGrid/>
          <w:sz w:val="22"/>
          <w:szCs w:val="22"/>
          <w:lang w:val="nl-NL"/>
        </w:rPr>
      </w:pPr>
      <w:r w:rsidRPr="00E84163">
        <w:rPr>
          <w:rFonts w:ascii="Palatino Linotype" w:hAnsi="Palatino Linotype"/>
          <w:snapToGrid/>
          <w:sz w:val="22"/>
          <w:szCs w:val="22"/>
          <w:lang w:val="nl-NL"/>
        </w:rPr>
        <w:t>E.P. RHUGGENAATH</w:t>
      </w:r>
    </w:p>
    <w:p w:rsidR="00E84163" w:rsidRPr="00362FE2" w:rsidRDefault="00E84163" w:rsidP="00E84163">
      <w:pPr>
        <w:widowControl/>
        <w:spacing w:line="276" w:lineRule="auto"/>
        <w:ind w:left="5103" w:right="946"/>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Default="00362FE2">
      <w:pPr>
        <w:widowControl/>
        <w:rPr>
          <w:rFonts w:ascii="Palatino Linotype" w:hAnsi="Palatino Linotype"/>
          <w:snapToGrid/>
          <w:sz w:val="22"/>
          <w:szCs w:val="22"/>
          <w:lang w:val="nl-NL"/>
        </w:rPr>
      </w:pPr>
      <w:r>
        <w:rPr>
          <w:rFonts w:ascii="Palatino Linotype" w:hAnsi="Palatino Linotype"/>
          <w:snapToGrid/>
          <w:sz w:val="22"/>
          <w:szCs w:val="22"/>
          <w:lang w:val="nl-NL"/>
        </w:rPr>
        <w:br w:type="page"/>
      </w:r>
    </w:p>
    <w:p w:rsidR="00362FE2" w:rsidRPr="00362FE2" w:rsidRDefault="00362FE2"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jc w:val="both"/>
        <w:rPr>
          <w:rFonts w:ascii="Palatino Linotype" w:hAnsi="Palatino Linotype"/>
          <w:b/>
          <w:bCs/>
          <w:i/>
          <w:snapToGrid/>
          <w:sz w:val="22"/>
          <w:szCs w:val="22"/>
          <w:lang w:val="nl-NL"/>
        </w:rPr>
      </w:pPr>
      <w:r w:rsidRPr="00362FE2">
        <w:rPr>
          <w:rFonts w:ascii="Palatino Linotype" w:hAnsi="Palatino Linotype"/>
          <w:b/>
          <w:bCs/>
          <w:snapToGrid/>
          <w:sz w:val="22"/>
          <w:szCs w:val="22"/>
          <w:lang w:val="nl-NL"/>
        </w:rPr>
        <w:t xml:space="preserve">Toelichting </w:t>
      </w:r>
    </w:p>
    <w:p w:rsidR="00362FE2" w:rsidRPr="00362FE2" w:rsidRDefault="00362FE2" w:rsidP="00362FE2">
      <w:pPr>
        <w:widowControl/>
        <w:jc w:val="both"/>
        <w:rPr>
          <w:rFonts w:ascii="Palatino Linotype" w:hAnsi="Palatino Linotype"/>
          <w:b/>
          <w:bCs/>
          <w:i/>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In artikel 7 van de quarantaine-verordening worden limitatief de besmettelijke ziekten opgesomd waarop genoemde landsverordening van toepassing is. </w:t>
      </w: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Ingevolge dit artikel kan de landsverordening echter bij landsbesluit, houdende algemene maatregelen, tijdelijk van toepassing worden verklaard op andere besmettelijke ziekten dan die in de landsverordening genoemd. Dit is gebeurd bij het Tijdelijk landsbesluit aanwijzing Covid-19 virus als besmettelijke ziekte als bedoeld in de quarantaine-verordening.</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Dat landsbesluit vervalt van rechtswege met ingang van het tweede jaar na de datum van bekendmaking, in </w:t>
      </w:r>
      <w:proofErr w:type="spellStart"/>
      <w:r w:rsidRPr="00362FE2">
        <w:rPr>
          <w:rFonts w:ascii="Palatino Linotype" w:hAnsi="Palatino Linotype"/>
          <w:snapToGrid/>
          <w:sz w:val="22"/>
          <w:szCs w:val="22"/>
          <w:lang w:val="nl-NL"/>
        </w:rPr>
        <w:t>casu</w:t>
      </w:r>
      <w:proofErr w:type="spellEnd"/>
      <w:r w:rsidRPr="00362FE2">
        <w:rPr>
          <w:rFonts w:ascii="Palatino Linotype" w:hAnsi="Palatino Linotype"/>
          <w:snapToGrid/>
          <w:sz w:val="22"/>
          <w:szCs w:val="22"/>
          <w:lang w:val="nl-NL"/>
        </w:rPr>
        <w:t xml:space="preserve"> 22 februari 2021. Artikel 7 van de landsverordening regelt immers, dat het landsbesluit niet langer dan een jaar geldig is na bekendmaking, tenzij het voor die tijd door een landsverordening is bekrachtigd.</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roofErr w:type="gramStart"/>
      <w:r w:rsidRPr="00362FE2">
        <w:rPr>
          <w:rFonts w:ascii="Palatino Linotype" w:hAnsi="Palatino Linotype"/>
          <w:snapToGrid/>
          <w:sz w:val="22"/>
          <w:szCs w:val="22"/>
          <w:lang w:val="nl-NL"/>
        </w:rPr>
        <w:t>Inmiddels</w:t>
      </w:r>
      <w:proofErr w:type="gramEnd"/>
      <w:r w:rsidRPr="00362FE2">
        <w:rPr>
          <w:rFonts w:ascii="Palatino Linotype" w:hAnsi="Palatino Linotype"/>
          <w:snapToGrid/>
          <w:sz w:val="22"/>
          <w:szCs w:val="22"/>
          <w:lang w:val="nl-NL"/>
        </w:rPr>
        <w:t xml:space="preserve"> is het duidelijk dat de ontwerp-landsverordening die het Tijdelijk landsbesluit aanwijzing Covid-19 virus als besmettelijke ziekte als bedoeld in de quarantaine-verordening, moet vervangen, het wetgevingstraject niet tijdig – dus voor de 22</w:t>
      </w:r>
      <w:r w:rsidRPr="00362FE2">
        <w:rPr>
          <w:rFonts w:ascii="Palatino Linotype" w:hAnsi="Palatino Linotype"/>
          <w:snapToGrid/>
          <w:sz w:val="22"/>
          <w:szCs w:val="22"/>
          <w:vertAlign w:val="superscript"/>
          <w:lang w:val="nl-NL"/>
        </w:rPr>
        <w:t>ste</w:t>
      </w:r>
      <w:r w:rsidRPr="00362FE2">
        <w:rPr>
          <w:rFonts w:ascii="Palatino Linotype" w:hAnsi="Palatino Linotype"/>
          <w:snapToGrid/>
          <w:sz w:val="22"/>
          <w:szCs w:val="22"/>
          <w:lang w:val="nl-NL"/>
        </w:rPr>
        <w:t xml:space="preserve"> februari 2021 - zal kunnen doorlopen.</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pandemie door COVID-19 woedt echter nog in alle hevigheid en de door de Wereldgezondheidsorganisatie (WHO) gegeven PHEIC status voor COVID-19 is ongewijzigd gebleven. Gezien het voorgaande en het feit dat de regering zich aan de International Health </w:t>
      </w:r>
      <w:proofErr w:type="spellStart"/>
      <w:r w:rsidRPr="00362FE2">
        <w:rPr>
          <w:rFonts w:ascii="Palatino Linotype" w:hAnsi="Palatino Linotype"/>
          <w:snapToGrid/>
          <w:sz w:val="22"/>
          <w:szCs w:val="22"/>
          <w:lang w:val="nl-NL"/>
        </w:rPr>
        <w:t>Regulations</w:t>
      </w:r>
      <w:proofErr w:type="spellEnd"/>
      <w:r w:rsidRPr="00362FE2">
        <w:rPr>
          <w:rFonts w:ascii="Palatino Linotype" w:hAnsi="Palatino Linotype"/>
          <w:snapToGrid/>
          <w:sz w:val="22"/>
          <w:szCs w:val="22"/>
          <w:lang w:val="nl-NL"/>
        </w:rPr>
        <w:t xml:space="preserve"> (2005) (IHR) van de WHO moet houden, is het wenselijk om ondanks het niet afgerond zijn van voormelde landsverordening ter bekrachtiging van het Tijdelijk landsbesluit aanwijzing Covid-19 virus als besmettelijke ziekte als bedoeld in de quarantaine-verordening, COVID-19 de status van besmettelijke ziekte conform artikel 7 van de quarantaine-verordening te laten behouden.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Aangezien de aanwijzing met ingang van 22 februari 2021 zal vervallen, is het wenselijk in dezen gebruik te maken van de bevoegdheid gegeven in artikel 23 van de Lei </w:t>
      </w:r>
      <w:proofErr w:type="spellStart"/>
      <w:r w:rsidRPr="00362FE2">
        <w:rPr>
          <w:rFonts w:ascii="Palatino Linotype" w:hAnsi="Palatino Linotype"/>
          <w:snapToGrid/>
          <w:sz w:val="22"/>
          <w:szCs w:val="22"/>
          <w:lang w:val="nl-NL"/>
        </w:rPr>
        <w:t>Estado</w:t>
      </w:r>
      <w:proofErr w:type="spellEnd"/>
      <w:r w:rsidRPr="00362FE2">
        <w:rPr>
          <w:rFonts w:ascii="Palatino Linotype" w:hAnsi="Palatino Linotype"/>
          <w:snapToGrid/>
          <w:sz w:val="22"/>
          <w:szCs w:val="22"/>
          <w:lang w:val="nl-NL"/>
        </w:rPr>
        <w:t xml:space="preserve"> di </w:t>
      </w:r>
      <w:proofErr w:type="spellStart"/>
      <w:r w:rsidRPr="00362FE2">
        <w:rPr>
          <w:rFonts w:ascii="Palatino Linotype" w:hAnsi="Palatino Linotype"/>
          <w:snapToGrid/>
          <w:sz w:val="22"/>
          <w:szCs w:val="22"/>
          <w:lang w:val="nl-NL"/>
        </w:rPr>
        <w:t>Emergensia</w:t>
      </w:r>
      <w:proofErr w:type="spellEnd"/>
      <w:r w:rsidRPr="00362FE2">
        <w:rPr>
          <w:rFonts w:ascii="Palatino Linotype" w:hAnsi="Palatino Linotype"/>
          <w:snapToGrid/>
          <w:sz w:val="22"/>
          <w:szCs w:val="22"/>
          <w:lang w:val="nl-NL"/>
        </w:rPr>
        <w:t xml:space="preserve"> om bij ministeriële regeling met algemene werking algemeen verbindende voorschriften vast te stellen. </w:t>
      </w: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In artikel 23 heeft de wetgever de bevoegdheid toegekend om voorschriften te stellen die afwijken van geldende wettelijke regelingen. In </w:t>
      </w:r>
      <w:proofErr w:type="spellStart"/>
      <w:r w:rsidRPr="00362FE2">
        <w:rPr>
          <w:rFonts w:ascii="Palatino Linotype" w:hAnsi="Palatino Linotype"/>
          <w:snapToGrid/>
          <w:sz w:val="22"/>
          <w:szCs w:val="22"/>
          <w:lang w:val="nl-NL"/>
        </w:rPr>
        <w:t>casu</w:t>
      </w:r>
      <w:proofErr w:type="spellEnd"/>
      <w:r w:rsidRPr="00362FE2">
        <w:rPr>
          <w:rFonts w:ascii="Palatino Linotype" w:hAnsi="Palatino Linotype"/>
          <w:snapToGrid/>
          <w:sz w:val="22"/>
          <w:szCs w:val="22"/>
          <w:lang w:val="nl-NL"/>
        </w:rPr>
        <w:t xml:space="preserve"> artikel 7 van de quarantaine-verordening. Dat artikel regelt het van rechtswege vervallen van de aanwijzing van COVID-19. In onderhavige ministeriële regeling wordt van die bepaling afgeweken. Hierdoor blijft het landsbesluit tot aanwijzing van COVID-19 virus van kracht.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r w:rsidRPr="00362FE2">
        <w:rPr>
          <w:rFonts w:ascii="Palatino Linotype" w:hAnsi="Palatino Linotype"/>
          <w:snapToGrid/>
          <w:sz w:val="22"/>
          <w:szCs w:val="22"/>
          <w:lang w:val="nl-NL"/>
        </w:rPr>
        <w:t xml:space="preserve">In de inwerkingtredingsbepaling is geregeld, dat deze ministeriële regeling effect heeft met ingang van de dag waarop het landsbesluit van rechtswege zou vervallen. Gelet op artikel 23 van de Lei </w:t>
      </w:r>
      <w:proofErr w:type="spellStart"/>
      <w:r w:rsidRPr="00362FE2">
        <w:rPr>
          <w:rFonts w:ascii="Palatino Linotype" w:hAnsi="Palatino Linotype"/>
          <w:snapToGrid/>
          <w:sz w:val="22"/>
          <w:szCs w:val="22"/>
          <w:lang w:val="nl-NL"/>
        </w:rPr>
        <w:t>Estado</w:t>
      </w:r>
      <w:proofErr w:type="spellEnd"/>
      <w:r w:rsidRPr="00362FE2">
        <w:rPr>
          <w:rFonts w:ascii="Palatino Linotype" w:hAnsi="Palatino Linotype"/>
          <w:snapToGrid/>
          <w:sz w:val="22"/>
          <w:szCs w:val="22"/>
          <w:lang w:val="nl-NL"/>
        </w:rPr>
        <w:t xml:space="preserve"> di </w:t>
      </w:r>
      <w:proofErr w:type="spellStart"/>
      <w:r w:rsidRPr="00362FE2">
        <w:rPr>
          <w:rFonts w:ascii="Palatino Linotype" w:hAnsi="Palatino Linotype"/>
          <w:snapToGrid/>
          <w:sz w:val="22"/>
          <w:szCs w:val="22"/>
          <w:lang w:val="nl-NL"/>
        </w:rPr>
        <w:t>Emergensia</w:t>
      </w:r>
      <w:proofErr w:type="spellEnd"/>
      <w:r w:rsidRPr="00362FE2">
        <w:rPr>
          <w:rFonts w:ascii="Palatino Linotype" w:hAnsi="Palatino Linotype"/>
          <w:snapToGrid/>
          <w:sz w:val="22"/>
          <w:szCs w:val="22"/>
          <w:lang w:val="nl-NL"/>
        </w:rPr>
        <w:t xml:space="preserve"> vervalt de regeling als het niet door de Staten wordt bekrachtigd in de eerstvolgende vergadering. Dit betekent dat als de Staten in de eerstvolgende vergadering besluiten deze regeling niet te bekrachtigen, dat het dan met ingang van die datum vervalt. Deze regeling vervalt ook bij het beëindigen van de uitzonderingstoestand. Het proces voor de totstandkoming van de landsverordening voorzien in artikel 7 van de quarantaine-verordening </w:t>
      </w:r>
      <w:r w:rsidRPr="00362FE2">
        <w:rPr>
          <w:rFonts w:ascii="Palatino Linotype" w:hAnsi="Palatino Linotype"/>
          <w:snapToGrid/>
          <w:sz w:val="22"/>
          <w:szCs w:val="22"/>
          <w:lang w:val="nl-NL"/>
        </w:rPr>
        <w:lastRenderedPageBreak/>
        <w:t xml:space="preserve">wordt in elk geval met voortvarendheid voortgezet, mocht het na beëindiging van de uitzonderingstoestand het nog wenselijk zijn voorschriften als bedoeld in de quarantaine-verordening te kunnen stellen. </w:t>
      </w: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Pr="00362FE2" w:rsidRDefault="00362FE2" w:rsidP="00362FE2">
      <w:pPr>
        <w:widowControl/>
        <w:jc w:val="both"/>
        <w:rPr>
          <w:rFonts w:ascii="Palatino Linotype" w:hAnsi="Palatino Linotype"/>
          <w:snapToGrid/>
          <w:sz w:val="22"/>
          <w:szCs w:val="22"/>
          <w:lang w:val="nl-NL"/>
        </w:rPr>
      </w:pPr>
    </w:p>
    <w:p w:rsidR="00362FE2" w:rsidRDefault="00362FE2" w:rsidP="00362FE2">
      <w:pPr>
        <w:widowControl/>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E84163" w:rsidP="00E84163">
      <w:pPr>
        <w:widowControl/>
        <w:ind w:left="5103" w:right="805"/>
        <w:jc w:val="center"/>
        <w:rPr>
          <w:rFonts w:ascii="Palatino Linotype" w:hAnsi="Palatino Linotype"/>
          <w:snapToGrid/>
          <w:sz w:val="22"/>
          <w:szCs w:val="22"/>
          <w:lang w:val="nl-NL"/>
        </w:rPr>
      </w:pPr>
      <w:r>
        <w:rPr>
          <w:rFonts w:ascii="Palatino Linotype" w:hAnsi="Palatino Linotype"/>
          <w:sz w:val="22"/>
          <w:szCs w:val="22"/>
          <w:lang w:val="nl-NL"/>
        </w:rPr>
        <w:t>E.P. RHUGGENAATH</w:t>
      </w:r>
    </w:p>
    <w:p w:rsidR="00E84163" w:rsidRPr="00362FE2" w:rsidRDefault="00E84163" w:rsidP="00E84163">
      <w:pPr>
        <w:widowControl/>
        <w:ind w:left="5103" w:right="946"/>
        <w:rPr>
          <w:rFonts w:ascii="Palatino Linotype"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362FE2" w:rsidRPr="009D5E3F" w:rsidRDefault="00362FE2" w:rsidP="00362FE2">
      <w:pPr>
        <w:pStyle w:val="FootnoteText"/>
        <w:rPr>
          <w:rFonts w:ascii="Palatino Linotype" w:hAnsi="Palatino Linotype"/>
          <w:sz w:val="18"/>
          <w:lang w:val="es-VE"/>
        </w:rPr>
      </w:pPr>
      <w:r w:rsidRPr="009D5E3F">
        <w:rPr>
          <w:rStyle w:val="FootnoteReference"/>
          <w:rFonts w:ascii="Palatino Linotype" w:hAnsi="Palatino Linotype"/>
          <w:sz w:val="18"/>
        </w:rPr>
        <w:footnoteRef/>
      </w:r>
      <w:r w:rsidRPr="009D5E3F">
        <w:rPr>
          <w:rFonts w:ascii="Palatino Linotype" w:hAnsi="Palatino Linotype"/>
          <w:sz w:val="18"/>
          <w:lang w:val="es-VE"/>
        </w:rPr>
        <w:t xml:space="preserve"> P.B. 2020, no. 11.</w:t>
      </w:r>
    </w:p>
  </w:footnote>
  <w:footnote w:id="2">
    <w:p w:rsidR="00362FE2" w:rsidRPr="009D5E3F" w:rsidRDefault="00362FE2" w:rsidP="00362FE2">
      <w:pPr>
        <w:pStyle w:val="FootnoteText"/>
        <w:rPr>
          <w:rFonts w:ascii="Palatino Linotype" w:hAnsi="Palatino Linotype"/>
          <w:sz w:val="18"/>
          <w:lang w:val="es-VE"/>
        </w:rPr>
      </w:pPr>
      <w:r w:rsidRPr="009D5E3F">
        <w:rPr>
          <w:rStyle w:val="FootnoteReference"/>
          <w:rFonts w:ascii="Palatino Linotype" w:hAnsi="Palatino Linotype"/>
          <w:sz w:val="18"/>
        </w:rPr>
        <w:footnoteRef/>
      </w:r>
      <w:r w:rsidRPr="009D5E3F">
        <w:rPr>
          <w:rFonts w:ascii="Palatino Linotype" w:hAnsi="Palatino Linotype"/>
          <w:sz w:val="18"/>
          <w:lang w:val="es-VE"/>
        </w:rPr>
        <w:t xml:space="preserve"> P.B. 2020, no.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355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355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84163">
      <w:rPr>
        <w:rFonts w:ascii="Times New Roman" w:hAnsi="Times New Roman"/>
        <w:b/>
        <w:spacing w:val="-4"/>
        <w:sz w:val="36"/>
      </w:rPr>
      <w:t>14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355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A355C">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84163">
      <w:rPr>
        <w:rFonts w:ascii="Times New Roman" w:hAnsi="Times New Roman"/>
        <w:b/>
        <w:spacing w:val="-4"/>
        <w:sz w:val="36"/>
      </w:rPr>
      <w:tab/>
      <w:t>14</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62FE2"/>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A355C"/>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6F82"/>
    <w:rsid w:val="00CC6CA3"/>
    <w:rsid w:val="00CD48FB"/>
    <w:rsid w:val="00CE18CE"/>
    <w:rsid w:val="00CE5C4F"/>
    <w:rsid w:val="00D03575"/>
    <w:rsid w:val="00D03A15"/>
    <w:rsid w:val="00D50DA5"/>
    <w:rsid w:val="00D67282"/>
    <w:rsid w:val="00D95F17"/>
    <w:rsid w:val="00DC4B4C"/>
    <w:rsid w:val="00E42D6B"/>
    <w:rsid w:val="00E84163"/>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29</TotalTime>
  <Pages>4</Pages>
  <Words>733</Words>
  <Characters>4552</Characters>
  <Application>Microsoft Office Word</Application>
  <DocSecurity>0</DocSecurity>
  <Lines>151</Lines>
  <Paragraphs>60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2021-02-19T22:02:00Z</cp:lastPrinted>
  <dcterms:created xsi:type="dcterms:W3CDTF">2021-02-19T21:53:00Z</dcterms:created>
  <dcterms:modified xsi:type="dcterms:W3CDTF">2021-02-19T22:21:00Z</dcterms:modified>
</cp:coreProperties>
</file>