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76" w:rsidRDefault="003D25AC" w:rsidP="0025203D">
      <w:pPr>
        <w:pStyle w:val="Heading2"/>
        <w:tabs>
          <w:tab w:val="right" w:pos="9356"/>
        </w:tabs>
        <w:ind w:right="261"/>
        <w:rPr>
          <w:rFonts w:ascii="Palatino Linotype" w:hAnsi="Palatino Linotype" w:cs="Arial"/>
          <w:b/>
          <w:sz w:val="20"/>
          <w:lang w:val="nl-NL"/>
        </w:rPr>
      </w:pPr>
      <w:r w:rsidRPr="00022D76">
        <w:rPr>
          <w:sz w:val="36"/>
          <w:szCs w:val="36"/>
          <w:lang w:val="nl-NL"/>
        </w:rPr>
        <w:tab/>
      </w:r>
    </w:p>
    <w:p w:rsidR="001E378F" w:rsidRPr="001E378F" w:rsidRDefault="001E378F" w:rsidP="0025203D">
      <w:pPr>
        <w:autoSpaceDE w:val="0"/>
        <w:autoSpaceDN w:val="0"/>
        <w:spacing w:before="68"/>
        <w:ind w:right="261"/>
        <w:outlineLvl w:val="0"/>
        <w:rPr>
          <w:rFonts w:ascii="Palatino Linotype" w:eastAsia="Arial Black" w:hAnsi="Palatino Linotype" w:cs="Arial Black"/>
          <w:b/>
          <w:bCs/>
          <w:snapToGrid/>
          <w:sz w:val="18"/>
          <w:szCs w:val="18"/>
          <w:lang w:val="nl-NL"/>
        </w:rPr>
      </w:pPr>
      <w:bookmarkStart w:id="0" w:name="NOTA_VAN_TOELICHTING_"/>
      <w:bookmarkEnd w:id="0"/>
      <w:r w:rsidRPr="001E378F">
        <w:rPr>
          <w:rFonts w:ascii="Palatino Linotype" w:eastAsia="Arial Black" w:hAnsi="Palatino Linotype" w:cs="Arial Black"/>
          <w:b/>
          <w:bCs/>
          <w:snapToGrid/>
          <w:color w:val="231F20"/>
          <w:sz w:val="18"/>
          <w:szCs w:val="18"/>
          <w:lang w:val="nl-NL"/>
        </w:rPr>
        <w:t>NOTA VAN TOELICHTING</w:t>
      </w:r>
    </w:p>
    <w:p w:rsidR="001E378F" w:rsidRPr="001E378F" w:rsidRDefault="001E378F" w:rsidP="0025203D">
      <w:pPr>
        <w:autoSpaceDE w:val="0"/>
        <w:autoSpaceDN w:val="0"/>
        <w:spacing w:before="171"/>
        <w:ind w:right="261"/>
        <w:rPr>
          <w:rFonts w:ascii="Palatino Linotype" w:eastAsia="Arial" w:hAnsi="Palatino Linotype" w:cs="Arial"/>
          <w:b/>
          <w:snapToGrid/>
          <w:sz w:val="18"/>
          <w:szCs w:val="22"/>
          <w:lang w:val="nl-NL"/>
        </w:rPr>
      </w:pPr>
      <w:r w:rsidRPr="001E378F">
        <w:rPr>
          <w:rFonts w:ascii="Palatino Linotype" w:eastAsia="Arial" w:hAnsi="Palatino Linotype" w:cs="Arial"/>
          <w:b/>
          <w:snapToGrid/>
          <w:color w:val="231F20"/>
          <w:sz w:val="18"/>
          <w:szCs w:val="22"/>
          <w:lang w:val="nl-NL"/>
        </w:rPr>
        <w:t>Algemeen</w:t>
      </w:r>
    </w:p>
    <w:p w:rsidR="001E378F" w:rsidRPr="001E378F" w:rsidRDefault="001E378F" w:rsidP="0025203D">
      <w:pPr>
        <w:autoSpaceDE w:val="0"/>
        <w:autoSpaceDN w:val="0"/>
        <w:spacing w:before="3"/>
        <w:ind w:right="261"/>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Deze algemene maatregel van rijksbestuur strekt ertoe te bewerkstelligen dat een besluit wordt genomen over de toelating van de kandidaat die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grond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landsrecht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gekozen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verklaard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als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 xml:space="preserve">lid van de Staten van Curaçao. De besluitvorming door de Staten over de toelating wordt al geruime tijd gefrustreerd door de weigering van een deel van de leden van de Staten om </w:t>
      </w:r>
      <w:proofErr w:type="gramStart"/>
      <w:r w:rsidRPr="001E378F">
        <w:rPr>
          <w:rFonts w:ascii="Palatino Linotype" w:eastAsia="Arial" w:hAnsi="Palatino Linotype" w:cs="Arial"/>
          <w:snapToGrid/>
          <w:color w:val="231F20"/>
          <w:w w:val="110"/>
          <w:sz w:val="18"/>
          <w:szCs w:val="18"/>
          <w:lang w:val="nl-NL"/>
        </w:rPr>
        <w:t>ter vergadering</w:t>
      </w:r>
      <w:proofErr w:type="gramEnd"/>
      <w:r w:rsidRPr="001E378F">
        <w:rPr>
          <w:rFonts w:ascii="Palatino Linotype" w:eastAsia="Arial" w:hAnsi="Palatino Linotype" w:cs="Arial"/>
          <w:snapToGrid/>
          <w:color w:val="231F20"/>
          <w:w w:val="110"/>
          <w:sz w:val="18"/>
          <w:szCs w:val="18"/>
          <w:lang w:val="nl-NL"/>
        </w:rPr>
        <w:t xml:space="preserve"> aanwezig te zijn, waardoor</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ontbreekt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Staatsregeling</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vereist voor beraadslaging en besluitvorming. Om de ontstane impasse te doorbreken,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wordt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dit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bevoegdheid</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om</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nemen over de toelating in de vacature in de Staten uit handen van de Staten genomen</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aan</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Gouverneur</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27"/>
          <w:w w:val="110"/>
          <w:sz w:val="18"/>
          <w:szCs w:val="18"/>
          <w:lang w:val="nl-NL"/>
        </w:rPr>
        <w:t xml:space="preserve"> </w:t>
      </w:r>
      <w:r w:rsidRPr="001E378F">
        <w:rPr>
          <w:rFonts w:ascii="Palatino Linotype" w:eastAsia="Arial" w:hAnsi="Palatino Linotype" w:cs="Arial"/>
          <w:snapToGrid/>
          <w:color w:val="231F20"/>
          <w:w w:val="110"/>
          <w:sz w:val="18"/>
          <w:szCs w:val="18"/>
          <w:lang w:val="nl-NL"/>
        </w:rPr>
        <w:t>toegekend.</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 algemene maatregel van rijksbestuur is gebaseerd op artikel 51 in samenhang</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met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artikel</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43,</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tweede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lid,</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Statuut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 xml:space="preserve">Koninkrijk (de waarborgfunctie van het Koninkrijk). De aanleiding daarvoor is </w:t>
      </w:r>
      <w:proofErr w:type="gramStart"/>
      <w:r w:rsidRPr="001E378F">
        <w:rPr>
          <w:rFonts w:ascii="Palatino Linotype" w:eastAsia="Arial" w:hAnsi="Palatino Linotype" w:cs="Arial"/>
          <w:snapToGrid/>
          <w:color w:val="231F20"/>
          <w:w w:val="110"/>
          <w:sz w:val="18"/>
          <w:szCs w:val="18"/>
          <w:lang w:val="nl-NL"/>
        </w:rPr>
        <w:t>hetgeen</w:t>
      </w:r>
      <w:proofErr w:type="gramEnd"/>
      <w:r w:rsidRPr="001E378F">
        <w:rPr>
          <w:rFonts w:ascii="Palatino Linotype" w:eastAsia="Arial" w:hAnsi="Palatino Linotype" w:cs="Arial"/>
          <w:snapToGrid/>
          <w:color w:val="231F20"/>
          <w:w w:val="110"/>
          <w:sz w:val="18"/>
          <w:szCs w:val="18"/>
          <w:lang w:val="nl-NL"/>
        </w:rPr>
        <w:t xml:space="preserve"> de Gouverneur van Curaçao aan de Koninkrijksregering in zijn ambtsbericht d.d. 25 februari 2021 schreef (met kenmerk BE-21/002/ RG/JW).</w:t>
      </w:r>
    </w:p>
    <w:p w:rsidR="001E378F" w:rsidRPr="001E378F" w:rsidRDefault="001E378F" w:rsidP="0025203D">
      <w:pPr>
        <w:autoSpaceDE w:val="0"/>
        <w:autoSpaceDN w:val="0"/>
        <w:spacing w:before="184"/>
        <w:ind w:right="261"/>
        <w:outlineLvl w:val="0"/>
        <w:rPr>
          <w:rFonts w:ascii="Palatino Linotype" w:eastAsia="Arial Black" w:hAnsi="Palatino Linotype" w:cs="Arial Black"/>
          <w:b/>
          <w:bCs/>
          <w:snapToGrid/>
          <w:sz w:val="18"/>
          <w:szCs w:val="18"/>
          <w:lang w:val="nl-NL"/>
        </w:rPr>
      </w:pPr>
      <w:r w:rsidRPr="001E378F">
        <w:rPr>
          <w:rFonts w:ascii="Palatino Linotype" w:eastAsia="Arial Black" w:hAnsi="Palatino Linotype" w:cs="Arial Black"/>
          <w:b/>
          <w:bCs/>
          <w:snapToGrid/>
          <w:color w:val="231F20"/>
          <w:sz w:val="18"/>
          <w:szCs w:val="18"/>
          <w:lang w:val="nl-NL"/>
        </w:rPr>
        <w:t>Voorgeschiedenis</w:t>
      </w:r>
    </w:p>
    <w:p w:rsidR="001E378F" w:rsidRPr="001E378F" w:rsidRDefault="001E378F" w:rsidP="0025203D">
      <w:pPr>
        <w:autoSpaceDE w:val="0"/>
        <w:autoSpaceDN w:val="0"/>
        <w:spacing w:before="3"/>
        <w:ind w:right="261"/>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 xml:space="preserve">Op 11 januari 2021 heeft een Statenlid van coalitiepartij </w:t>
      </w:r>
      <w:proofErr w:type="spellStart"/>
      <w:r w:rsidRPr="001E378F">
        <w:rPr>
          <w:rFonts w:ascii="Palatino Linotype" w:eastAsia="Arial" w:hAnsi="Palatino Linotype" w:cs="Arial"/>
          <w:snapToGrid/>
          <w:color w:val="231F20"/>
          <w:w w:val="110"/>
          <w:sz w:val="18"/>
          <w:szCs w:val="18"/>
          <w:lang w:val="nl-NL"/>
        </w:rPr>
        <w:t>Partido</w:t>
      </w:r>
      <w:proofErr w:type="spellEnd"/>
      <w:r w:rsidRPr="001E378F">
        <w:rPr>
          <w:rFonts w:ascii="Palatino Linotype" w:eastAsia="Arial" w:hAnsi="Palatino Linotype" w:cs="Arial"/>
          <w:snapToGrid/>
          <w:color w:val="231F20"/>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Alternativa</w:t>
      </w:r>
      <w:proofErr w:type="spellEnd"/>
      <w:r w:rsidRPr="001E378F">
        <w:rPr>
          <w:rFonts w:ascii="Palatino Linotype" w:eastAsia="Arial" w:hAnsi="Palatino Linotype" w:cs="Arial"/>
          <w:snapToGrid/>
          <w:color w:val="231F20"/>
          <w:w w:val="110"/>
          <w:sz w:val="18"/>
          <w:szCs w:val="18"/>
          <w:lang w:val="nl-NL"/>
        </w:rPr>
        <w:t xml:space="preserve"> Real </w:t>
      </w:r>
      <w:r w:rsidRPr="001E378F">
        <w:rPr>
          <w:rFonts w:ascii="Palatino Linotype" w:eastAsia="Arial" w:hAnsi="Palatino Linotype" w:cs="Arial"/>
          <w:snapToGrid/>
          <w:color w:val="231F20"/>
          <w:spacing w:val="-3"/>
          <w:w w:val="110"/>
          <w:sz w:val="18"/>
          <w:szCs w:val="18"/>
          <w:lang w:val="nl-NL"/>
        </w:rPr>
        <w:t xml:space="preserve">(PAR) </w:t>
      </w:r>
      <w:r w:rsidRPr="001E378F">
        <w:rPr>
          <w:rFonts w:ascii="Palatino Linotype" w:eastAsia="Arial" w:hAnsi="Palatino Linotype" w:cs="Arial"/>
          <w:snapToGrid/>
          <w:color w:val="231F20"/>
          <w:w w:val="110"/>
          <w:sz w:val="18"/>
          <w:szCs w:val="18"/>
          <w:lang w:val="nl-NL"/>
        </w:rPr>
        <w:t>de politieke partij verlaten en daarbij zijn zetel beschikbaar gesteld aan de partij. Sinds 11 januari 2021 geven de opponerende Statenleden, met uitzondering van de Statenvergadering van 9 februari 2021, geen gehoor aan de oproepen voor Statenvergaderingen door de Statenvoorzitter. De Statenvergaderingen vinden geen doorgang</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omdat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Statenvoorzitter</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bij</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openen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vergaderingen steeds</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moet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constateren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benodigde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Statenleden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 xml:space="preserve">voor het houden van een openbare Statenvergadering ontbreekt. De Statenvoorzitter is, bij het ontbreken van een quorum, gehouden de </w:t>
      </w:r>
      <w:proofErr w:type="spellStart"/>
      <w:r w:rsidRPr="001E378F">
        <w:rPr>
          <w:rFonts w:ascii="Palatino Linotype" w:eastAsia="Arial" w:hAnsi="Palatino Linotype" w:cs="Arial"/>
          <w:snapToGrid/>
          <w:color w:val="231F20"/>
          <w:w w:val="110"/>
          <w:sz w:val="18"/>
          <w:szCs w:val="18"/>
          <w:lang w:val="nl-NL"/>
        </w:rPr>
        <w:t>Statenver</w:t>
      </w:r>
      <w:proofErr w:type="spellEnd"/>
      <w:r w:rsidRPr="001E378F">
        <w:rPr>
          <w:rFonts w:ascii="Palatino Linotype" w:eastAsia="Arial" w:hAnsi="Palatino Linotype" w:cs="Arial"/>
          <w:snapToGrid/>
          <w:color w:val="231F20"/>
          <w:w w:val="110"/>
          <w:sz w:val="18"/>
          <w:szCs w:val="18"/>
          <w:lang w:val="nl-NL"/>
        </w:rPr>
        <w:t>- gadering te schorsen en een nieuwe vergadering uit te roepen. Dit volgt uit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artikel</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56</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Staatsregeling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waarin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bepaald</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 Staten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alleen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beraadslagen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(vergaderen)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of</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indien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meer</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dan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de helft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aantal</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zitting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hebbende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leden</w:t>
      </w:r>
      <w:r w:rsidRPr="001E378F">
        <w:rPr>
          <w:rFonts w:ascii="Palatino Linotype" w:eastAsia="Arial" w:hAnsi="Palatino Linotype" w:cs="Arial"/>
          <w:snapToGrid/>
          <w:color w:val="231F20"/>
          <w:spacing w:val="-15"/>
          <w:w w:val="110"/>
          <w:sz w:val="18"/>
          <w:szCs w:val="18"/>
          <w:lang w:val="nl-NL"/>
        </w:rPr>
        <w:t xml:space="preserve"> </w:t>
      </w:r>
      <w:proofErr w:type="gramStart"/>
      <w:r w:rsidRPr="001E378F">
        <w:rPr>
          <w:rFonts w:ascii="Palatino Linotype" w:eastAsia="Arial" w:hAnsi="Palatino Linotype" w:cs="Arial"/>
          <w:snapToGrid/>
          <w:color w:val="231F20"/>
          <w:w w:val="110"/>
          <w:sz w:val="18"/>
          <w:szCs w:val="18"/>
          <w:lang w:val="nl-NL"/>
        </w:rPr>
        <w:t>ter</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vergadering</w:t>
      </w:r>
      <w:proofErr w:type="gramEnd"/>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aanwezig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p>
    <w:p w:rsidR="001E378F" w:rsidRPr="001E378F" w:rsidRDefault="001E378F" w:rsidP="0025203D">
      <w:pPr>
        <w:autoSpaceDE w:val="0"/>
        <w:autoSpaceDN w:val="0"/>
        <w:spacing w:line="247" w:lineRule="auto"/>
        <w:ind w:right="26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Staatsregeling</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bevat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ook</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voorziening</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als</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herhaaldelijk</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niet voldoende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leden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bij</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vergadering</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aanwezig</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zijn.</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9</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februari</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ontvingen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mededeling</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Voorzitter</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 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Electorale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Raad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kandidaat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opvolging</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haar verkiezing</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tot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lid</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aanneemt.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Voorzitter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Electorale Raad kon eerst tot deze mededeling overgaan nadat de eerstvolgende kandidaat</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kiezerslijst</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spacing w:val="-5"/>
          <w:w w:val="110"/>
          <w:sz w:val="18"/>
          <w:szCs w:val="18"/>
          <w:lang w:val="nl-NL"/>
        </w:rPr>
        <w:t>PAR</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aanmerking</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kon</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komen</w:t>
      </w:r>
      <w:r w:rsidRPr="001E378F">
        <w:rPr>
          <w:rFonts w:ascii="Palatino Linotype" w:eastAsia="Arial" w:hAnsi="Palatino Linotype" w:cs="Arial"/>
          <w:snapToGrid/>
          <w:color w:val="231F20"/>
          <w:spacing w:val="-17"/>
          <w:w w:val="110"/>
          <w:sz w:val="18"/>
          <w:szCs w:val="18"/>
          <w:lang w:val="nl-NL"/>
        </w:rPr>
        <w:t xml:space="preserve"> </w:t>
      </w:r>
      <w:r w:rsidRPr="001E378F">
        <w:rPr>
          <w:rFonts w:ascii="Palatino Linotype" w:eastAsia="Arial" w:hAnsi="Palatino Linotype" w:cs="Arial"/>
          <w:snapToGrid/>
          <w:color w:val="231F20"/>
          <w:w w:val="110"/>
          <w:sz w:val="18"/>
          <w:szCs w:val="18"/>
          <w:lang w:val="nl-NL"/>
        </w:rPr>
        <w:t>voor 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vacante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Statenzetel,</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termijn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aanvaarden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zetel</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 xml:space="preserve">heeft </w:t>
      </w:r>
      <w:r w:rsidRPr="001E378F">
        <w:rPr>
          <w:rFonts w:ascii="Palatino Linotype" w:eastAsia="Arial" w:hAnsi="Palatino Linotype" w:cs="Arial"/>
          <w:snapToGrid/>
          <w:color w:val="231F20"/>
          <w:w w:val="105"/>
          <w:sz w:val="18"/>
          <w:szCs w:val="18"/>
          <w:lang w:val="nl-NL"/>
        </w:rPr>
        <w:t>laten</w:t>
      </w:r>
      <w:r w:rsidRPr="001E378F">
        <w:rPr>
          <w:rFonts w:ascii="Palatino Linotype" w:eastAsia="Arial" w:hAnsi="Palatino Linotype" w:cs="Arial"/>
          <w:snapToGrid/>
          <w:color w:val="231F20"/>
          <w:spacing w:val="6"/>
          <w:w w:val="105"/>
          <w:sz w:val="18"/>
          <w:szCs w:val="18"/>
          <w:lang w:val="nl-NL"/>
        </w:rPr>
        <w:t xml:space="preserve"> </w:t>
      </w:r>
      <w:r w:rsidRPr="001E378F">
        <w:rPr>
          <w:rFonts w:ascii="Palatino Linotype" w:eastAsia="Arial" w:hAnsi="Palatino Linotype" w:cs="Arial"/>
          <w:snapToGrid/>
          <w:color w:val="231F20"/>
          <w:w w:val="105"/>
          <w:sz w:val="18"/>
          <w:szCs w:val="18"/>
          <w:lang w:val="nl-NL"/>
        </w:rPr>
        <w:t>passeren.</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openbare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11</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februari</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geloofsbrief</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 het</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kandidaat-Statenlid</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onder</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«ingekomen</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stukken»</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geagendeerd</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de Statenvergadering. Onderzoek naar de geloofsbrief kon echter niet plaatsvinden omdat de voltallige oppositie afwezig was, waardoor het vereiste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ontbrak.</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before="1"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Ingevolge artikel 74 van de Staatsregeling van Curaçao geschiedt de vaststelling van landsverordeningen door de regering en de Staten gezamenlijk.</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Bij</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ontbreken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kan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er</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parlementaire besluitvorming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plaatsvinden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kunnen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dus</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ook</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landsverordeningen worden vastgesteld. Sinds 11 januari 2021 is het tot op heden, met uitzondering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9</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februari</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2021,</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niet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mogelijk gebleken</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door</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Statenvoorzitter</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uitgeschreven</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Statenvergaderingen te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houden,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vanwege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ontbreken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Sinds</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11</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februari</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heeft</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Statenvoorzitter</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zes</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openbare</w:t>
      </w:r>
      <w:r w:rsidRPr="001E378F">
        <w:rPr>
          <w:rFonts w:ascii="Palatino Linotype" w:eastAsia="Arial" w:hAnsi="Palatino Linotype" w:cs="Arial"/>
          <w:snapToGrid/>
          <w:color w:val="231F20"/>
          <w:spacing w:val="-26"/>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Statenvergaderingen</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opgeroepen.</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Statenvergaderingen</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konden</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steeds,</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om</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reden van het ontbreken van een quorum, geen doorgang vinden. De Statenvoorzitter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heeft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22</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24</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februari</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2021</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vergadering</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College van Senioren samengeroepen met als doel uit de ontstane impasse te geraken. Afgezien van een onafhankelijk Statenlid, hebben de fractieleiders van de oppositiepartijen ook aan deze oproepen van de Statenvoorzitter geen gehoor gegeven. Deze vergaderingen konden om die reden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ook</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doorgang</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vinden.</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spacing w:val="-4"/>
          <w:w w:val="105"/>
          <w:sz w:val="18"/>
          <w:szCs w:val="18"/>
          <w:lang w:val="nl-NL"/>
        </w:rPr>
        <w:t xml:space="preserve">Tevens </w:t>
      </w:r>
      <w:r w:rsidRPr="001E378F">
        <w:rPr>
          <w:rFonts w:ascii="Palatino Linotype" w:eastAsia="Arial" w:hAnsi="Palatino Linotype" w:cs="Arial"/>
          <w:snapToGrid/>
          <w:color w:val="231F20"/>
          <w:w w:val="105"/>
          <w:sz w:val="18"/>
          <w:szCs w:val="18"/>
          <w:lang w:val="nl-NL"/>
        </w:rPr>
        <w:t xml:space="preserve">op 23 en 24 februari 2021 zijn de fractieleiders van de politieke partijen die vertegenwoordigd zijn in de Staten en de onafhankelijke Statenleden door de Gouverneur gehoord. </w:t>
      </w:r>
      <w:proofErr w:type="gramStart"/>
      <w:r w:rsidRPr="001E378F">
        <w:rPr>
          <w:rFonts w:ascii="Palatino Linotype" w:eastAsia="Arial" w:hAnsi="Palatino Linotype" w:cs="Arial"/>
          <w:snapToGrid/>
          <w:color w:val="231F20"/>
          <w:w w:val="105"/>
          <w:sz w:val="18"/>
          <w:szCs w:val="18"/>
          <w:lang w:val="nl-NL"/>
        </w:rPr>
        <w:t xml:space="preserve">Zoals blijkt uit het ambtsbericht van de Gouverneur is in deze gesprekken door de Statenleden van de oppositie aangegeven dat hun optreden van de afgelopen weken welbewust en politiek gedreven is. </w:t>
      </w:r>
      <w:proofErr w:type="gramEnd"/>
      <w:r w:rsidRPr="001E378F">
        <w:rPr>
          <w:rFonts w:ascii="Palatino Linotype" w:eastAsia="Arial" w:hAnsi="Palatino Linotype" w:cs="Arial"/>
          <w:snapToGrid/>
          <w:color w:val="231F20"/>
          <w:w w:val="105"/>
          <w:sz w:val="18"/>
          <w:szCs w:val="18"/>
          <w:lang w:val="nl-NL"/>
        </w:rPr>
        <w:t>Een fractievoorzitter heeft bovendien verklaard dat hij tot 11 mei, het moment dat de Staten in nieuwe samenstelling zitting nemen na de Statenverkiezingen van 19 maart, niet zal meewerken aan het vormen van een quorum. Verschillende Statenleden hebben opgemerkt dat zij niet alleen weigeren mee te werken aan het onderzoek van de geloofsbrief maar zij ook hun medewerking zullen ontzeggen aan alle andere voorstellen van de regering die worden aangeboden voor besluitvorming aan de Staten. De Statenleden van de oppositie en de onafhankelijke Statenleden zien geen mogelijkheden om uit de impasse te</w:t>
      </w:r>
      <w:r w:rsidRPr="001E378F">
        <w:rPr>
          <w:rFonts w:ascii="Palatino Linotype" w:eastAsia="Arial" w:hAnsi="Palatino Linotype" w:cs="Arial"/>
          <w:snapToGrid/>
          <w:color w:val="231F20"/>
          <w:spacing w:val="25"/>
          <w:w w:val="105"/>
          <w:sz w:val="18"/>
          <w:szCs w:val="18"/>
          <w:lang w:val="nl-NL"/>
        </w:rPr>
        <w:t xml:space="preserve"> </w:t>
      </w:r>
      <w:r w:rsidRPr="001E378F">
        <w:rPr>
          <w:rFonts w:ascii="Palatino Linotype" w:eastAsia="Arial" w:hAnsi="Palatino Linotype" w:cs="Arial"/>
          <w:snapToGrid/>
          <w:color w:val="231F20"/>
          <w:w w:val="105"/>
          <w:sz w:val="18"/>
          <w:szCs w:val="18"/>
          <w:lang w:val="nl-NL"/>
        </w:rPr>
        <w:t>raken.</w:t>
      </w:r>
    </w:p>
    <w:p w:rsidR="001E378F" w:rsidRPr="001E378F" w:rsidRDefault="001E378F" w:rsidP="0025203D">
      <w:pPr>
        <w:autoSpaceDE w:val="0"/>
        <w:autoSpaceDN w:val="0"/>
        <w:spacing w:before="184"/>
        <w:ind w:right="261"/>
        <w:jc w:val="both"/>
        <w:outlineLvl w:val="0"/>
        <w:rPr>
          <w:rFonts w:ascii="Palatino Linotype" w:eastAsia="Arial Black" w:hAnsi="Palatino Linotype" w:cs="Arial Black"/>
          <w:b/>
          <w:bCs/>
          <w:snapToGrid/>
          <w:sz w:val="18"/>
          <w:szCs w:val="18"/>
          <w:lang w:val="nl-NL"/>
        </w:rPr>
      </w:pPr>
      <w:r w:rsidRPr="001E378F">
        <w:rPr>
          <w:rFonts w:ascii="Palatino Linotype" w:eastAsia="Arial Black" w:hAnsi="Palatino Linotype" w:cs="Arial Black"/>
          <w:b/>
          <w:bCs/>
          <w:snapToGrid/>
          <w:color w:val="231F20"/>
          <w:sz w:val="18"/>
          <w:szCs w:val="18"/>
          <w:lang w:val="nl-NL"/>
        </w:rPr>
        <w:t>Inhoud van de maatregel</w:t>
      </w:r>
    </w:p>
    <w:p w:rsidR="001E378F" w:rsidRPr="001E378F" w:rsidRDefault="001E378F" w:rsidP="0025203D">
      <w:pPr>
        <w:autoSpaceDE w:val="0"/>
        <w:autoSpaceDN w:val="0"/>
        <w:spacing w:before="4"/>
        <w:ind w:right="261"/>
        <w:jc w:val="both"/>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 maatregel houdt in dat de bevoegdheid van de Staten om een besluit te nemen over de geloofsbrief van een kandidaat in een op de datum van inwerkingtreding van dit besluit bestaande vacature in de Staten van Curaçao, wordt overgedragen aan de Gouverneur. De Gouverneur</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aldus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bevoegd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nemen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over</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toelating</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 het beoogde Statenlid. Dit betekent ook dat, indien de Gouverneur toepassing geeft aan het bepaalde in artikel 1, derde lid, en besluit een kandidaat niet toe te laten, ook de beoordeling van de geloofsbrief van een volgende kandidaat en de besluitvorming hierover aan de Gouverneur</w:t>
      </w:r>
      <w:r w:rsidRPr="001E378F">
        <w:rPr>
          <w:rFonts w:ascii="Palatino Linotype" w:eastAsia="Arial" w:hAnsi="Palatino Linotype" w:cs="Arial"/>
          <w:snapToGrid/>
          <w:color w:val="231F20"/>
          <w:spacing w:val="-31"/>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 bevoegdheid van de Staten ingevolge artikel 47 van de Staatsregeling</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om</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geloofsbrieven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onderzoeken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gebonden van aard. De beoordeling of een gekozene gerechtigd is zijn zetel in de Staten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nemen,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vindt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plaats</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grond</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vastomlijnde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criteria</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zijn vastgelegd</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Kiesreglement</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Er</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bestaat</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ten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aanzien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van het onderzoek van de geloofsbrief geen discretionaire ruimte. Dit geldt mutatis</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mutandis</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ook</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bevoegdheid</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onderhavige</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 aan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Gouverneur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wordt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opgedragen.</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05"/>
          <w:sz w:val="18"/>
          <w:szCs w:val="18"/>
          <w:lang w:val="nl-NL"/>
        </w:rPr>
        <w:t xml:space="preserve">Nadat de Gouverneur een besluit heeft genomen om een kandidaat toe te laten als lid van de Staten en van dit besluit op grond van artikel 1, tweede lid, van het onderhavige besluit mededeling is gedaan aan de Staten, de voorzitter van de Electorale Raad en de </w:t>
      </w:r>
      <w:proofErr w:type="spellStart"/>
      <w:r w:rsidRPr="001E378F">
        <w:rPr>
          <w:rFonts w:ascii="Palatino Linotype" w:eastAsia="Arial" w:hAnsi="Palatino Linotype" w:cs="Arial"/>
          <w:snapToGrid/>
          <w:color w:val="231F20"/>
          <w:w w:val="105"/>
          <w:sz w:val="18"/>
          <w:szCs w:val="18"/>
          <w:lang w:val="nl-NL"/>
        </w:rPr>
        <w:t>toegelatene</w:t>
      </w:r>
      <w:proofErr w:type="spellEnd"/>
      <w:r w:rsidRPr="001E378F">
        <w:rPr>
          <w:rFonts w:ascii="Palatino Linotype" w:eastAsia="Arial" w:hAnsi="Palatino Linotype" w:cs="Arial"/>
          <w:snapToGrid/>
          <w:color w:val="231F20"/>
          <w:w w:val="105"/>
          <w:sz w:val="18"/>
          <w:szCs w:val="18"/>
          <w:lang w:val="nl-NL"/>
        </w:rPr>
        <w:t xml:space="preserve">, wordt de procedure voortgezet op de in artikel 126, tweede lid, van het Kiesreglement van Curaçao bepaalde wijze. Dit betekent dat de </w:t>
      </w:r>
      <w:proofErr w:type="spellStart"/>
      <w:r w:rsidRPr="001E378F">
        <w:rPr>
          <w:rFonts w:ascii="Palatino Linotype" w:eastAsia="Arial" w:hAnsi="Palatino Linotype" w:cs="Arial"/>
          <w:snapToGrid/>
          <w:color w:val="231F20"/>
          <w:w w:val="105"/>
          <w:sz w:val="18"/>
          <w:szCs w:val="18"/>
          <w:lang w:val="nl-NL"/>
        </w:rPr>
        <w:t>toegelatene</w:t>
      </w:r>
      <w:proofErr w:type="spellEnd"/>
      <w:r w:rsidRPr="001E378F">
        <w:rPr>
          <w:rFonts w:ascii="Palatino Linotype" w:eastAsia="Arial" w:hAnsi="Palatino Linotype" w:cs="Arial"/>
          <w:snapToGrid/>
          <w:color w:val="231F20"/>
          <w:w w:val="105"/>
          <w:sz w:val="18"/>
          <w:szCs w:val="18"/>
          <w:lang w:val="nl-NL"/>
        </w:rPr>
        <w:t xml:space="preserve"> binnen vier weken na de dagtekening van de hiervoor bedoelde mededeling aan de Gouverneur het verzoek doet tot afleggen van de eed (of verklaring en belofte) als bedoeld in artikel 47 van de Staatsregeling, waarna de Gouverneur de datum en het uur bepaalt waarop de eed (of</w:t>
      </w:r>
      <w:r w:rsidR="0025203D">
        <w:rPr>
          <w:rFonts w:ascii="Palatino Linotype" w:eastAsia="Arial" w:hAnsi="Palatino Linotype" w:cs="Arial"/>
          <w:snapToGrid/>
          <w:color w:val="231F20"/>
          <w:w w:val="105"/>
          <w:sz w:val="18"/>
          <w:szCs w:val="18"/>
          <w:lang w:val="nl-NL"/>
        </w:rPr>
        <w:t xml:space="preserve"> </w:t>
      </w:r>
      <w:r w:rsidRPr="001E378F">
        <w:rPr>
          <w:rFonts w:ascii="Palatino Linotype" w:eastAsia="Arial" w:hAnsi="Palatino Linotype" w:cs="Arial"/>
          <w:snapToGrid/>
          <w:color w:val="231F20"/>
          <w:w w:val="110"/>
          <w:sz w:val="18"/>
          <w:szCs w:val="18"/>
          <w:lang w:val="nl-NL"/>
        </w:rPr>
        <w:t>verklaring</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belofte)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zal</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worden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afgelegd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toegelatene</w:t>
      </w:r>
      <w:proofErr w:type="spellEnd"/>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wordt opgeroepen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om</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af</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leggen.</w:t>
      </w:r>
    </w:p>
    <w:p w:rsidR="001E378F" w:rsidRPr="001E378F" w:rsidRDefault="001E378F" w:rsidP="0025203D">
      <w:pPr>
        <w:autoSpaceDE w:val="0"/>
        <w:autoSpaceDN w:val="0"/>
        <w:spacing w:before="184"/>
        <w:ind w:right="261"/>
        <w:jc w:val="both"/>
        <w:outlineLvl w:val="0"/>
        <w:rPr>
          <w:rFonts w:ascii="Palatino Linotype" w:eastAsia="Arial Black" w:hAnsi="Palatino Linotype" w:cs="Arial Black"/>
          <w:b/>
          <w:bCs/>
          <w:snapToGrid/>
          <w:sz w:val="18"/>
          <w:szCs w:val="18"/>
          <w:lang w:val="nl-NL"/>
        </w:rPr>
      </w:pPr>
      <w:r w:rsidRPr="001E378F">
        <w:rPr>
          <w:rFonts w:ascii="Palatino Linotype" w:eastAsia="Arial Black" w:hAnsi="Palatino Linotype" w:cs="Arial Black"/>
          <w:b/>
          <w:bCs/>
          <w:snapToGrid/>
          <w:color w:val="231F20"/>
          <w:sz w:val="18"/>
          <w:szCs w:val="18"/>
          <w:lang w:val="nl-NL"/>
        </w:rPr>
        <w:t>Rechtvaardiging van de maatregel</w:t>
      </w:r>
    </w:p>
    <w:p w:rsidR="001E378F" w:rsidRPr="001E378F" w:rsidRDefault="001E378F" w:rsidP="0025203D">
      <w:pPr>
        <w:autoSpaceDE w:val="0"/>
        <w:autoSpaceDN w:val="0"/>
        <w:spacing w:before="4"/>
        <w:ind w:right="261"/>
        <w:jc w:val="both"/>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onderzoek</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geloofsbrief</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6"/>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kandidaatlid</w:t>
      </w:r>
      <w:proofErr w:type="spellEnd"/>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 is, op grond van artikel 47 van de Staatsregeling van Curaçao, een bevoegdheid</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Duidelijk</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tot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oppositie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behorende Statenleden niet voornemens zijn om te verschijnen in de Statenvergadering, waardoor het quorum om te beraadslagen en te besluiten niet wordt gehaald. De tot de oppositie behorende Statenleden belemmeren hiermee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bewust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onderzoek</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naar</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geloofsbrief</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5"/>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kandidaatlid</w:t>
      </w:r>
      <w:proofErr w:type="spellEnd"/>
      <w:r w:rsidRPr="001E378F">
        <w:rPr>
          <w:rFonts w:ascii="Palatino Linotype" w:eastAsia="Arial" w:hAnsi="Palatino Linotype" w:cs="Arial"/>
          <w:snapToGrid/>
          <w:color w:val="231F20"/>
          <w:w w:val="110"/>
          <w:sz w:val="18"/>
          <w:szCs w:val="18"/>
          <w:lang w:val="nl-NL"/>
        </w:rPr>
        <w:t xml:space="preserve"> van</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5"/>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Door</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deze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impasse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er</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sprake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landsbestuur op</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democratisch</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ingericht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fundamentele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rechten en vrijheden, de rechtszekerheid en de deugdelijkheid van bestuur als bedoeld in artikel 43, eerste lid, van het Statuut voor het Koninkrijk der Nederlanden waarborgt. Deugdelijkheid van bestuur betreft in elk geval de instituties van de democratische rechtsstaat: hun interne functioneren én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hun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interactie,</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stelsel</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checks</w:t>
      </w:r>
      <w:r w:rsidRPr="001E378F">
        <w:rPr>
          <w:rFonts w:ascii="Palatino Linotype" w:eastAsia="Arial" w:hAnsi="Palatino Linotype" w:cs="Arial"/>
          <w:snapToGrid/>
          <w:color w:val="231F20"/>
          <w:spacing w:val="-20"/>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and</w:t>
      </w:r>
      <w:proofErr w:type="spellEnd"/>
      <w:r w:rsidRPr="001E378F">
        <w:rPr>
          <w:rFonts w:ascii="Palatino Linotype" w:eastAsia="Arial" w:hAnsi="Palatino Linotype" w:cs="Arial"/>
          <w:snapToGrid/>
          <w:color w:val="231F20"/>
          <w:spacing w:val="-20"/>
          <w:w w:val="110"/>
          <w:sz w:val="18"/>
          <w:szCs w:val="18"/>
          <w:lang w:val="nl-NL"/>
        </w:rPr>
        <w:t xml:space="preserve"> </w:t>
      </w:r>
      <w:proofErr w:type="spellStart"/>
      <w:r w:rsidRPr="001E378F">
        <w:rPr>
          <w:rFonts w:ascii="Palatino Linotype" w:eastAsia="Arial" w:hAnsi="Palatino Linotype" w:cs="Arial"/>
          <w:snapToGrid/>
          <w:color w:val="231F20"/>
          <w:w w:val="110"/>
          <w:sz w:val="18"/>
          <w:szCs w:val="18"/>
          <w:lang w:val="nl-NL"/>
        </w:rPr>
        <w:t>balances</w:t>
      </w:r>
      <w:proofErr w:type="spellEnd"/>
      <w:r w:rsidRPr="001E378F">
        <w:rPr>
          <w:rFonts w:ascii="Palatino Linotype" w:eastAsia="Arial" w:hAnsi="Palatino Linotype" w:cs="Arial"/>
          <w:snapToGrid/>
          <w:color w:val="231F20"/>
          <w:w w:val="110"/>
          <w:sz w:val="18"/>
          <w:szCs w:val="18"/>
          <w:lang w:val="nl-NL"/>
        </w:rPr>
        <w:t>.</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balans</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de machten</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komt</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onder</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meer</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tot</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uiting</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proces</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6"/>
          <w:w w:val="110"/>
          <w:sz w:val="18"/>
          <w:szCs w:val="18"/>
          <w:lang w:val="nl-NL"/>
        </w:rPr>
        <w:t xml:space="preserve"> </w:t>
      </w:r>
      <w:r w:rsidRPr="001E378F">
        <w:rPr>
          <w:rFonts w:ascii="Palatino Linotype" w:eastAsia="Arial" w:hAnsi="Palatino Linotype" w:cs="Arial"/>
          <w:snapToGrid/>
          <w:color w:val="231F20"/>
          <w:w w:val="110"/>
          <w:sz w:val="18"/>
          <w:szCs w:val="18"/>
          <w:lang w:val="nl-NL"/>
        </w:rPr>
        <w:t>totstandkoming van wetgeving. Op het moment dat het proces van wetgeving niet kan worden doorlopen zoals door de Staatsregeling van Curaçao en het Reglement van Orde van de Staten is voorgeschreven, is de conclusie gerechtvaardigd dat niet wordt voldaan aan de vereisten van artikel 43, eerste lid, van het Statuut voor het Koninkrijk. Met de impasse wordt immers de constitutionele plicht als medewetgever door de Staten verzaakt. Bovendien wordt per 11 februari in het bijzonder het – ook uit het verdragsrecht voortvloeiende – passief kiesrecht van een gekozen kandidaat Statenlid geschonden doordat de Staten niet bijeenkomen in een openbare vergadering voor het behandelen en beoordelen van de geloofsbrieven</w:t>
      </w:r>
      <w:r w:rsidRPr="001E378F">
        <w:rPr>
          <w:rFonts w:ascii="Palatino Linotype" w:eastAsia="Arial" w:hAnsi="Palatino Linotype" w:cs="Arial"/>
          <w:snapToGrid/>
          <w:color w:val="231F20"/>
          <w:spacing w:val="-2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2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3"/>
          <w:w w:val="110"/>
          <w:sz w:val="18"/>
          <w:szCs w:val="18"/>
          <w:lang w:val="nl-NL"/>
        </w:rPr>
        <w:t xml:space="preserve"> </w:t>
      </w:r>
      <w:r w:rsidRPr="001E378F">
        <w:rPr>
          <w:rFonts w:ascii="Palatino Linotype" w:eastAsia="Arial" w:hAnsi="Palatino Linotype" w:cs="Arial"/>
          <w:snapToGrid/>
          <w:color w:val="231F20"/>
          <w:w w:val="110"/>
          <w:sz w:val="18"/>
          <w:szCs w:val="18"/>
          <w:lang w:val="nl-NL"/>
        </w:rPr>
        <w:t>kandidaat.</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Binnen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land</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kan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geen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effectief</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redres</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worden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geboden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om aan deze in het licht van artikel 43, eerste lid, van het Statuut voor het Koninkrijk</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der</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Nederlanden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ontoelaatbare</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toestand</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eind</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20"/>
          <w:w w:val="110"/>
          <w:sz w:val="18"/>
          <w:szCs w:val="18"/>
          <w:lang w:val="nl-NL"/>
        </w:rPr>
        <w:t xml:space="preserve"> </w:t>
      </w:r>
      <w:r w:rsidRPr="001E378F">
        <w:rPr>
          <w:rFonts w:ascii="Palatino Linotype" w:eastAsia="Arial" w:hAnsi="Palatino Linotype" w:cs="Arial"/>
          <w:snapToGrid/>
          <w:color w:val="231F20"/>
          <w:w w:val="110"/>
          <w:sz w:val="18"/>
          <w:szCs w:val="18"/>
          <w:lang w:val="nl-NL"/>
        </w:rPr>
        <w:t>maken.</w:t>
      </w:r>
    </w:p>
    <w:p w:rsidR="001E378F" w:rsidRPr="001E378F" w:rsidRDefault="001E378F" w:rsidP="0025203D">
      <w:pPr>
        <w:autoSpaceDE w:val="0"/>
        <w:autoSpaceDN w:val="0"/>
        <w:spacing w:line="247" w:lineRule="auto"/>
        <w:ind w:right="26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 xml:space="preserve">Artikel 47 van de Staatsregeling van Curaçao staat in de weg aan effectieve rechterlijke toetsing van besluiten over de toelating van Statenleden of het uitblijven daarvan. </w:t>
      </w:r>
      <w:proofErr w:type="gramStart"/>
      <w:r w:rsidRPr="001E378F">
        <w:rPr>
          <w:rFonts w:ascii="Palatino Linotype" w:eastAsia="Arial" w:hAnsi="Palatino Linotype" w:cs="Arial"/>
          <w:snapToGrid/>
          <w:color w:val="231F20"/>
          <w:w w:val="110"/>
          <w:sz w:val="18"/>
          <w:szCs w:val="18"/>
          <w:lang w:val="nl-NL"/>
        </w:rPr>
        <w:t>In dit verband is relevant dat de kortgedingrechter van het Gerecht in eerste aanleg van Curaçao</w:t>
      </w:r>
      <w:r w:rsidRPr="001E378F">
        <w:rPr>
          <w:rFonts w:ascii="Palatino Linotype" w:eastAsia="Arial" w:hAnsi="Palatino Linotype" w:cs="Arial"/>
          <w:snapToGrid/>
          <w:color w:val="231F20"/>
          <w:w w:val="110"/>
          <w:position w:val="7"/>
          <w:sz w:val="11"/>
          <w:szCs w:val="18"/>
          <w:vertAlign w:val="superscript"/>
          <w:lang w:val="nl-NL"/>
        </w:rPr>
        <w:footnoteReference w:id="1"/>
      </w:r>
      <w:r w:rsidRPr="001E378F">
        <w:rPr>
          <w:rFonts w:ascii="Palatino Linotype" w:eastAsia="Arial" w:hAnsi="Palatino Linotype" w:cs="Arial"/>
          <w:snapToGrid/>
          <w:color w:val="231F20"/>
          <w:w w:val="110"/>
          <w:position w:val="7"/>
          <w:sz w:val="11"/>
          <w:szCs w:val="18"/>
          <w:lang w:val="nl-NL"/>
        </w:rPr>
        <w:t xml:space="preserve"> </w:t>
      </w:r>
      <w:r w:rsidRPr="001E378F">
        <w:rPr>
          <w:rFonts w:ascii="Palatino Linotype" w:eastAsia="Arial" w:hAnsi="Palatino Linotype" w:cs="Arial"/>
          <w:snapToGrid/>
          <w:color w:val="231F20"/>
          <w:w w:val="110"/>
          <w:sz w:val="18"/>
          <w:szCs w:val="18"/>
          <w:lang w:val="nl-NL"/>
        </w:rPr>
        <w:t>vorig jaar</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aangaf</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rechter</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uiterste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terughoudendheid</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moet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betrachten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bij de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beoordeling</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geschillen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betrekking</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hebben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functioneren van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Statenleden.</w:t>
      </w:r>
      <w:r w:rsidRPr="001E378F">
        <w:rPr>
          <w:rFonts w:ascii="Palatino Linotype" w:eastAsia="Arial" w:hAnsi="Palatino Linotype" w:cs="Arial"/>
          <w:snapToGrid/>
          <w:color w:val="231F20"/>
          <w:spacing w:val="-19"/>
          <w:w w:val="110"/>
          <w:sz w:val="18"/>
          <w:szCs w:val="18"/>
          <w:lang w:val="nl-NL"/>
        </w:rPr>
        <w:t xml:space="preserve"> </w:t>
      </w:r>
      <w:proofErr w:type="gramEnd"/>
      <w:r w:rsidRPr="001E378F">
        <w:rPr>
          <w:rFonts w:ascii="Palatino Linotype" w:eastAsia="Arial" w:hAnsi="Palatino Linotype" w:cs="Arial"/>
          <w:snapToGrid/>
          <w:color w:val="231F20"/>
          <w:w w:val="110"/>
          <w:sz w:val="18"/>
          <w:szCs w:val="18"/>
          <w:lang w:val="nl-NL"/>
        </w:rPr>
        <w:t>Slechts</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zeer</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uitzonderlijke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gevallen kan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rechterlijke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taak</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meebrengen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rechter</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zich</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5"/>
          <w:w w:val="110"/>
          <w:sz w:val="18"/>
          <w:szCs w:val="18"/>
          <w:lang w:val="nl-NL"/>
        </w:rPr>
        <w:t xml:space="preserve"> </w:t>
      </w:r>
      <w:r w:rsidRPr="001E378F">
        <w:rPr>
          <w:rFonts w:ascii="Palatino Linotype" w:eastAsia="Arial" w:hAnsi="Palatino Linotype" w:cs="Arial"/>
          <w:snapToGrid/>
          <w:color w:val="231F20"/>
          <w:w w:val="110"/>
          <w:sz w:val="18"/>
          <w:szCs w:val="18"/>
          <w:lang w:val="nl-NL"/>
        </w:rPr>
        <w:t>dergelijk geschil</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mengt.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Los</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daarvan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kan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niet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kandidaat</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Statenlid</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worden gevergd dat hij de gang naar de rechter moet maken om te pogen een besluit over de toelating bij de rechter af te dwingen als dat besluit niet kan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worden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genomen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als</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gevolg</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uitblijven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quorum</w:t>
      </w:r>
      <w:r w:rsidRPr="001E378F">
        <w:rPr>
          <w:rFonts w:ascii="Palatino Linotype" w:eastAsia="Arial" w:hAnsi="Palatino Linotype" w:cs="Arial"/>
          <w:snapToGrid/>
          <w:color w:val="231F20"/>
          <w:spacing w:val="-8"/>
          <w:w w:val="110"/>
          <w:sz w:val="18"/>
          <w:szCs w:val="18"/>
          <w:lang w:val="nl-NL"/>
        </w:rPr>
        <w:t xml:space="preserve"> </w:t>
      </w:r>
      <w:r w:rsidRPr="001E378F">
        <w:rPr>
          <w:rFonts w:ascii="Palatino Linotype" w:eastAsia="Arial" w:hAnsi="Palatino Linotype" w:cs="Arial"/>
          <w:snapToGrid/>
          <w:color w:val="231F20"/>
          <w:w w:val="110"/>
          <w:sz w:val="18"/>
          <w:szCs w:val="18"/>
          <w:lang w:val="nl-NL"/>
        </w:rPr>
        <w:t>voor de besluitvorming door de</w:t>
      </w:r>
      <w:r w:rsidRPr="001E378F">
        <w:rPr>
          <w:rFonts w:ascii="Palatino Linotype" w:eastAsia="Arial" w:hAnsi="Palatino Linotype" w:cs="Arial"/>
          <w:snapToGrid/>
          <w:color w:val="231F20"/>
          <w:spacing w:val="-33"/>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Er</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zijn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aldus</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zwaarwegende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gronden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voor</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optreden</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door</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6"/>
          <w:w w:val="110"/>
          <w:sz w:val="18"/>
          <w:szCs w:val="18"/>
          <w:lang w:val="nl-NL"/>
        </w:rPr>
        <w:t xml:space="preserve"> </w:t>
      </w:r>
      <w:r w:rsidRPr="001E378F">
        <w:rPr>
          <w:rFonts w:ascii="Palatino Linotype" w:eastAsia="Arial" w:hAnsi="Palatino Linotype" w:cs="Arial"/>
          <w:snapToGrid/>
          <w:color w:val="231F20"/>
          <w:w w:val="110"/>
          <w:sz w:val="18"/>
          <w:szCs w:val="18"/>
          <w:lang w:val="nl-NL"/>
        </w:rPr>
        <w:t>Koninkrijksregering ter waarborging van de waarden van de democratische rechtsstaat, bedoeld in artikel 43, tweede lid, van het Statuut voor het Koninkrijk der Nederlanden, door middel van een algemene maatregel van rijksbestuur op grond van artikel 43, tweede lid, en artikel 51, eerste lid, van het Statuut voor het</w:t>
      </w:r>
      <w:r w:rsidRPr="001E378F">
        <w:rPr>
          <w:rFonts w:ascii="Palatino Linotype" w:eastAsia="Arial" w:hAnsi="Palatino Linotype" w:cs="Arial"/>
          <w:snapToGrid/>
          <w:color w:val="231F20"/>
          <w:spacing w:val="-39"/>
          <w:w w:val="110"/>
          <w:sz w:val="18"/>
          <w:szCs w:val="18"/>
          <w:lang w:val="nl-NL"/>
        </w:rPr>
        <w:t xml:space="preserve"> </w:t>
      </w:r>
      <w:r w:rsidRPr="001E378F">
        <w:rPr>
          <w:rFonts w:ascii="Palatino Linotype" w:eastAsia="Arial" w:hAnsi="Palatino Linotype" w:cs="Arial"/>
          <w:snapToGrid/>
          <w:color w:val="231F20"/>
          <w:w w:val="110"/>
          <w:sz w:val="18"/>
          <w:szCs w:val="18"/>
          <w:lang w:val="nl-NL"/>
        </w:rPr>
        <w:t>Koninkrijk.</w:t>
      </w:r>
    </w:p>
    <w:p w:rsidR="001E378F" w:rsidRPr="001E378F" w:rsidRDefault="001E378F" w:rsidP="0025203D">
      <w:pPr>
        <w:autoSpaceDE w:val="0"/>
        <w:autoSpaceDN w:val="0"/>
        <w:spacing w:before="98"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Deze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maatregel</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strekt</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ertoe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land</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geldende</w:t>
      </w:r>
      <w:r w:rsidRPr="001E378F">
        <w:rPr>
          <w:rFonts w:ascii="Palatino Linotype" w:eastAsia="Arial" w:hAnsi="Palatino Linotype" w:cs="Arial"/>
          <w:snapToGrid/>
          <w:color w:val="231F20"/>
          <w:spacing w:val="-19"/>
          <w:w w:val="110"/>
          <w:sz w:val="18"/>
          <w:szCs w:val="18"/>
          <w:lang w:val="nl-NL"/>
        </w:rPr>
        <w:t xml:space="preserve"> </w:t>
      </w:r>
      <w:r w:rsidRPr="001E378F">
        <w:rPr>
          <w:rFonts w:ascii="Palatino Linotype" w:eastAsia="Arial" w:hAnsi="Palatino Linotype" w:cs="Arial"/>
          <w:snapToGrid/>
          <w:color w:val="231F20"/>
          <w:w w:val="110"/>
          <w:sz w:val="18"/>
          <w:szCs w:val="18"/>
          <w:lang w:val="nl-NL"/>
        </w:rPr>
        <w:t>regels ten aanzien van het aantreden van een Statenlid en het daartoe behorende onderzoek naar de geloofsbrief worden nageleefd en uitgevoerd.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lichtere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maatregel</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thans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voorgestelde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niet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mogelijk. Het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gaat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om</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proportionele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maatregel,</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nu</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deze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erop</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gericht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met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 lichtst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mogelijke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middelen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werking</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eigen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regels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te verzekeren.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maatregel</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tijdelijk</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aard</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vervalt</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ingevolge</w:t>
      </w:r>
      <w:r w:rsidRPr="001E378F">
        <w:rPr>
          <w:rFonts w:ascii="Palatino Linotype" w:eastAsia="Arial" w:hAnsi="Palatino Linotype" w:cs="Arial"/>
          <w:snapToGrid/>
          <w:color w:val="231F20"/>
          <w:spacing w:val="-14"/>
          <w:w w:val="110"/>
          <w:sz w:val="18"/>
          <w:szCs w:val="18"/>
          <w:lang w:val="nl-NL"/>
        </w:rPr>
        <w:t xml:space="preserve"> </w:t>
      </w:r>
      <w:r w:rsidRPr="001E378F">
        <w:rPr>
          <w:rFonts w:ascii="Palatino Linotype" w:eastAsia="Arial" w:hAnsi="Palatino Linotype" w:cs="Arial"/>
          <w:snapToGrid/>
          <w:color w:val="231F20"/>
          <w:w w:val="110"/>
          <w:sz w:val="18"/>
          <w:szCs w:val="18"/>
          <w:lang w:val="nl-NL"/>
        </w:rPr>
        <w:t>artikel 3, tweede lid, van het onderhavige besluit op een bij koninklijk besluit te bepalen tijdstip. Het streven is erop gericht het besluit zo spoedig mogelijk</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laten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vervallen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nadat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Gouverneur</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uitvoering</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heeft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gegeven aan de in dit besluit aan hem opgedragen taken, dat wil zeggen nadat is voorzien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toelating</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lid</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vacature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Staten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die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het moment</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inwerkingtreding</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onderhavige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bestaat.</w:t>
      </w:r>
    </w:p>
    <w:p w:rsidR="001E378F" w:rsidRPr="001E378F" w:rsidRDefault="001E378F" w:rsidP="0025203D">
      <w:pPr>
        <w:autoSpaceDE w:val="0"/>
        <w:autoSpaceDN w:val="0"/>
        <w:spacing w:before="184"/>
        <w:ind w:right="261"/>
        <w:jc w:val="both"/>
        <w:outlineLvl w:val="0"/>
        <w:rPr>
          <w:rFonts w:ascii="Palatino Linotype" w:eastAsia="Arial Black" w:hAnsi="Palatino Linotype" w:cs="Arial Black"/>
          <w:b/>
          <w:bCs/>
          <w:snapToGrid/>
          <w:sz w:val="18"/>
          <w:szCs w:val="18"/>
          <w:lang w:val="nl-NL"/>
        </w:rPr>
      </w:pPr>
      <w:r w:rsidRPr="001E378F">
        <w:rPr>
          <w:rFonts w:ascii="Palatino Linotype" w:eastAsia="Arial Black" w:hAnsi="Palatino Linotype" w:cs="Arial Black"/>
          <w:b/>
          <w:bCs/>
          <w:snapToGrid/>
          <w:color w:val="231F20"/>
          <w:sz w:val="18"/>
          <w:szCs w:val="18"/>
          <w:lang w:val="nl-NL"/>
        </w:rPr>
        <w:t>Gouverneur</w:t>
      </w:r>
    </w:p>
    <w:p w:rsidR="001E378F" w:rsidRPr="001E378F" w:rsidRDefault="001E378F" w:rsidP="0025203D">
      <w:pPr>
        <w:autoSpaceDE w:val="0"/>
        <w:autoSpaceDN w:val="0"/>
        <w:spacing w:before="4"/>
        <w:ind w:right="261"/>
        <w:jc w:val="both"/>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10"/>
          <w:sz w:val="18"/>
          <w:szCs w:val="18"/>
          <w:lang w:val="nl-NL"/>
        </w:rPr>
        <w:t>De bevoegdheid wordt (tijdelijk) opgedragen aan de Gouverneur in diens</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hoedanigheid</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Koninkrijksorgaan.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Uit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deze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opdracht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vloeit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voort dat de uitoefening van de betreffende bevoegdheid in het algemeen belang</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Koninkrijk</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geschiedt</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en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onder</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verantwoordelijkheid</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van</w:t>
      </w:r>
      <w:r w:rsidRPr="001E378F">
        <w:rPr>
          <w:rFonts w:ascii="Palatino Linotype" w:eastAsia="Arial" w:hAnsi="Palatino Linotype" w:cs="Arial"/>
          <w:snapToGrid/>
          <w:color w:val="231F20"/>
          <w:spacing w:val="-13"/>
          <w:w w:val="110"/>
          <w:sz w:val="18"/>
          <w:szCs w:val="18"/>
          <w:lang w:val="nl-NL"/>
        </w:rPr>
        <w:t xml:space="preserve"> </w:t>
      </w:r>
      <w:r w:rsidRPr="001E378F">
        <w:rPr>
          <w:rFonts w:ascii="Palatino Linotype" w:eastAsia="Arial" w:hAnsi="Palatino Linotype" w:cs="Arial"/>
          <w:snapToGrid/>
          <w:color w:val="231F20"/>
          <w:w w:val="110"/>
          <w:sz w:val="18"/>
          <w:szCs w:val="18"/>
          <w:lang w:val="nl-NL"/>
        </w:rPr>
        <w:t>de Koninkrijksregering. Door de bevoegdheid aan de Gouverneur op te dragen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wordt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op</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korte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termijn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gezaghebbende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instantie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ingeschakeld, die</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staatsrechtelijke</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context</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goed</w:t>
      </w:r>
      <w:r w:rsidRPr="001E378F">
        <w:rPr>
          <w:rFonts w:ascii="Palatino Linotype" w:eastAsia="Arial" w:hAnsi="Palatino Linotype" w:cs="Arial"/>
          <w:snapToGrid/>
          <w:color w:val="231F20"/>
          <w:spacing w:val="-21"/>
          <w:w w:val="110"/>
          <w:sz w:val="18"/>
          <w:szCs w:val="18"/>
          <w:lang w:val="nl-NL"/>
        </w:rPr>
        <w:t xml:space="preserve"> </w:t>
      </w:r>
      <w:r w:rsidRPr="001E378F">
        <w:rPr>
          <w:rFonts w:ascii="Palatino Linotype" w:eastAsia="Arial" w:hAnsi="Palatino Linotype" w:cs="Arial"/>
          <w:snapToGrid/>
          <w:color w:val="231F20"/>
          <w:w w:val="110"/>
          <w:sz w:val="18"/>
          <w:szCs w:val="18"/>
          <w:lang w:val="nl-NL"/>
        </w:rPr>
        <w:t>kent.</w:t>
      </w:r>
    </w:p>
    <w:p w:rsidR="001E378F" w:rsidRPr="001E378F" w:rsidRDefault="001E378F" w:rsidP="0025203D">
      <w:pPr>
        <w:autoSpaceDE w:val="0"/>
        <w:autoSpaceDN w:val="0"/>
        <w:spacing w:before="5"/>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spacing w:before="1" w:line="247" w:lineRule="auto"/>
        <w:ind w:right="261" w:firstLine="18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05"/>
          <w:sz w:val="18"/>
          <w:szCs w:val="18"/>
          <w:lang w:val="nl-NL"/>
        </w:rPr>
        <w:t>Op grond van artikel 2 van het onderhavige besluit kan de Gouverneur alle landsorganen van Curaçao en de onder hen ressorterende diensten en ambtenaren inschakelen om zijn taak op grond van deze algemene maatregel van rijksbestuur te verwezenlijken. De formulering is geënt op artikel 24 van het Reglement voor de Gouverneur van Curaçao.</w:t>
      </w:r>
    </w:p>
    <w:p w:rsidR="001E378F" w:rsidRPr="001E378F" w:rsidRDefault="001E378F" w:rsidP="0025203D">
      <w:pPr>
        <w:autoSpaceDE w:val="0"/>
        <w:autoSpaceDN w:val="0"/>
        <w:spacing w:before="184"/>
        <w:ind w:right="261"/>
        <w:jc w:val="both"/>
        <w:outlineLvl w:val="0"/>
        <w:rPr>
          <w:rFonts w:ascii="Palatino Linotype" w:eastAsia="Arial Black" w:hAnsi="Palatino Linotype" w:cs="Arial Black"/>
          <w:b/>
          <w:bCs/>
          <w:snapToGrid/>
          <w:sz w:val="18"/>
          <w:szCs w:val="18"/>
          <w:lang w:val="nl-NL"/>
        </w:rPr>
      </w:pPr>
      <w:r w:rsidRPr="001E378F">
        <w:rPr>
          <w:rFonts w:ascii="Palatino Linotype" w:eastAsia="Arial Black" w:hAnsi="Palatino Linotype" w:cs="Arial Black"/>
          <w:b/>
          <w:bCs/>
          <w:snapToGrid/>
          <w:color w:val="231F20"/>
          <w:sz w:val="18"/>
          <w:szCs w:val="18"/>
          <w:lang w:val="nl-NL"/>
        </w:rPr>
        <w:t>Inwerkingtreding</w:t>
      </w:r>
    </w:p>
    <w:p w:rsidR="001E378F" w:rsidRPr="001E378F" w:rsidRDefault="001E378F" w:rsidP="0025203D">
      <w:pPr>
        <w:autoSpaceDE w:val="0"/>
        <w:autoSpaceDN w:val="0"/>
        <w:spacing w:before="4"/>
        <w:ind w:right="261"/>
        <w:jc w:val="both"/>
        <w:rPr>
          <w:rFonts w:ascii="Palatino Linotype" w:eastAsia="Arial" w:hAnsi="Palatino Linotype" w:cs="Arial"/>
          <w:b/>
          <w:snapToGrid/>
          <w:sz w:val="14"/>
          <w:szCs w:val="18"/>
          <w:lang w:val="nl-NL"/>
        </w:rPr>
      </w:pPr>
    </w:p>
    <w:p w:rsidR="001E378F" w:rsidRPr="001E378F" w:rsidRDefault="001E378F" w:rsidP="0025203D">
      <w:pPr>
        <w:autoSpaceDE w:val="0"/>
        <w:autoSpaceDN w:val="0"/>
        <w:spacing w:line="247" w:lineRule="auto"/>
        <w:ind w:right="261" w:firstLine="181"/>
        <w:jc w:val="both"/>
        <w:rPr>
          <w:rFonts w:ascii="Palatino Linotype" w:eastAsia="Arial" w:hAnsi="Palatino Linotype" w:cs="Arial"/>
          <w:snapToGrid/>
          <w:sz w:val="18"/>
          <w:szCs w:val="18"/>
          <w:lang w:val="nl-NL"/>
        </w:rPr>
      </w:pPr>
      <w:proofErr w:type="gramStart"/>
      <w:r w:rsidRPr="001E378F">
        <w:rPr>
          <w:rFonts w:ascii="Palatino Linotype" w:eastAsia="Arial" w:hAnsi="Palatino Linotype" w:cs="Arial"/>
          <w:snapToGrid/>
          <w:color w:val="231F20"/>
          <w:spacing w:val="-3"/>
          <w:w w:val="110"/>
          <w:sz w:val="18"/>
          <w:szCs w:val="18"/>
          <w:lang w:val="nl-NL"/>
        </w:rPr>
        <w:t>Teneinde</w:t>
      </w:r>
      <w:proofErr w:type="gramEnd"/>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democratische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proces</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Curaçao</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te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herstellen,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is</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het</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van belang</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dat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Gouverneur</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hem</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in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dit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besluit</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opgedragen</w:t>
      </w:r>
      <w:r w:rsidRPr="001E378F">
        <w:rPr>
          <w:rFonts w:ascii="Palatino Linotype" w:eastAsia="Arial" w:hAnsi="Palatino Linotype" w:cs="Arial"/>
          <w:snapToGrid/>
          <w:color w:val="231F20"/>
          <w:spacing w:val="-12"/>
          <w:w w:val="110"/>
          <w:sz w:val="18"/>
          <w:szCs w:val="18"/>
          <w:lang w:val="nl-NL"/>
        </w:rPr>
        <w:t xml:space="preserve"> </w:t>
      </w:r>
      <w:r w:rsidRPr="001E378F">
        <w:rPr>
          <w:rFonts w:ascii="Palatino Linotype" w:eastAsia="Arial" w:hAnsi="Palatino Linotype" w:cs="Arial"/>
          <w:snapToGrid/>
          <w:color w:val="231F20"/>
          <w:w w:val="110"/>
          <w:sz w:val="18"/>
          <w:szCs w:val="18"/>
          <w:lang w:val="nl-NL"/>
        </w:rPr>
        <w:t>bevoegdheid zo</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snel</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mogelijk</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kan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uitoefenen.</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Gelet</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hierop</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wordt</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bij</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de</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vaststelling</w:t>
      </w:r>
      <w:r w:rsidRPr="001E378F">
        <w:rPr>
          <w:rFonts w:ascii="Palatino Linotype" w:eastAsia="Arial" w:hAnsi="Palatino Linotype" w:cs="Arial"/>
          <w:snapToGrid/>
          <w:color w:val="231F20"/>
          <w:spacing w:val="-10"/>
          <w:w w:val="110"/>
          <w:sz w:val="18"/>
          <w:szCs w:val="18"/>
          <w:lang w:val="nl-NL"/>
        </w:rPr>
        <w:t xml:space="preserve"> </w:t>
      </w:r>
      <w:r w:rsidRPr="001E378F">
        <w:rPr>
          <w:rFonts w:ascii="Palatino Linotype" w:eastAsia="Arial" w:hAnsi="Palatino Linotype" w:cs="Arial"/>
          <w:snapToGrid/>
          <w:color w:val="231F20"/>
          <w:w w:val="110"/>
          <w:sz w:val="18"/>
          <w:szCs w:val="18"/>
          <w:lang w:val="nl-NL"/>
        </w:rPr>
        <w:t xml:space="preserve">van het tijdstip van inwerkingtreding afgeweken van de zogeheten vaste verandermomenten en de minimuminvoeringstermijn van drie maanden. </w:t>
      </w:r>
      <w:r w:rsidRPr="001E378F">
        <w:rPr>
          <w:rFonts w:ascii="Palatino Linotype" w:eastAsia="Arial" w:hAnsi="Palatino Linotype" w:cs="Arial"/>
          <w:snapToGrid/>
          <w:color w:val="231F20"/>
          <w:spacing w:val="-7"/>
          <w:w w:val="110"/>
          <w:sz w:val="18"/>
          <w:szCs w:val="18"/>
          <w:lang w:val="nl-NL"/>
        </w:rPr>
        <w:t xml:space="preserve">Ter </w:t>
      </w:r>
      <w:r w:rsidRPr="001E378F">
        <w:rPr>
          <w:rFonts w:ascii="Palatino Linotype" w:eastAsia="Arial" w:hAnsi="Palatino Linotype" w:cs="Arial"/>
          <w:snapToGrid/>
          <w:color w:val="231F20"/>
          <w:w w:val="110"/>
          <w:sz w:val="18"/>
          <w:szCs w:val="18"/>
          <w:lang w:val="nl-NL"/>
        </w:rPr>
        <w:t>motivering van deze onmiddellijke inwerkingtreding wordt er verder op gewezen dat dit besluit geen nieuwe bevoegdheid creëert, maar een reeds</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bestaande</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bevoegdheid</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tijdelijk</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bij</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een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ander</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orgaan</w:t>
      </w:r>
      <w:r w:rsidRPr="001E378F">
        <w:rPr>
          <w:rFonts w:ascii="Palatino Linotype" w:eastAsia="Arial" w:hAnsi="Palatino Linotype" w:cs="Arial"/>
          <w:snapToGrid/>
          <w:color w:val="231F20"/>
          <w:spacing w:val="-18"/>
          <w:w w:val="110"/>
          <w:sz w:val="18"/>
          <w:szCs w:val="18"/>
          <w:lang w:val="nl-NL"/>
        </w:rPr>
        <w:t xml:space="preserve"> </w:t>
      </w:r>
      <w:r w:rsidRPr="001E378F">
        <w:rPr>
          <w:rFonts w:ascii="Palatino Linotype" w:eastAsia="Arial" w:hAnsi="Palatino Linotype" w:cs="Arial"/>
          <w:snapToGrid/>
          <w:color w:val="231F20"/>
          <w:w w:val="110"/>
          <w:sz w:val="18"/>
          <w:szCs w:val="18"/>
          <w:lang w:val="nl-NL"/>
        </w:rPr>
        <w:t>neerlegt.</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lang w:val="nl-NL"/>
        </w:rPr>
      </w:pPr>
    </w:p>
    <w:p w:rsidR="001E378F" w:rsidRPr="001E378F" w:rsidRDefault="001E378F" w:rsidP="0025203D">
      <w:pPr>
        <w:autoSpaceDE w:val="0"/>
        <w:autoSpaceDN w:val="0"/>
        <w:ind w:right="261"/>
        <w:jc w:val="both"/>
        <w:rPr>
          <w:rFonts w:ascii="Palatino Linotype" w:eastAsia="Arial" w:hAnsi="Palatino Linotype" w:cs="Arial"/>
          <w:snapToGrid/>
          <w:sz w:val="18"/>
          <w:szCs w:val="18"/>
          <w:lang w:val="nl-NL"/>
        </w:rPr>
      </w:pPr>
      <w:r w:rsidRPr="001E378F">
        <w:rPr>
          <w:rFonts w:ascii="Palatino Linotype" w:eastAsia="Arial" w:hAnsi="Palatino Linotype" w:cs="Arial"/>
          <w:snapToGrid/>
          <w:color w:val="231F20"/>
          <w:w w:val="105"/>
          <w:sz w:val="18"/>
          <w:szCs w:val="18"/>
          <w:lang w:val="nl-NL"/>
        </w:rPr>
        <w:t>De Staatssecretaris van Binnenlandse Zaken en Koninkrijksrelaties,</w:t>
      </w:r>
    </w:p>
    <w:p w:rsidR="001E378F" w:rsidRPr="001E378F" w:rsidRDefault="001E378F" w:rsidP="0025203D">
      <w:pPr>
        <w:autoSpaceDE w:val="0"/>
        <w:autoSpaceDN w:val="0"/>
        <w:spacing w:before="6"/>
        <w:ind w:right="261"/>
        <w:jc w:val="both"/>
        <w:rPr>
          <w:rFonts w:ascii="Palatino Linotype" w:eastAsia="Arial" w:hAnsi="Palatino Linotype" w:cs="Arial"/>
          <w:snapToGrid/>
          <w:sz w:val="18"/>
          <w:szCs w:val="18"/>
        </w:rPr>
      </w:pPr>
      <w:r w:rsidRPr="001E378F">
        <w:rPr>
          <w:rFonts w:ascii="Palatino Linotype" w:eastAsia="Arial" w:hAnsi="Palatino Linotype" w:cs="Arial"/>
          <w:snapToGrid/>
          <w:color w:val="231F20"/>
          <w:w w:val="105"/>
          <w:sz w:val="18"/>
          <w:szCs w:val="18"/>
        </w:rPr>
        <w:t>R.W. Knops</w:t>
      </w:r>
    </w:p>
    <w:p w:rsidR="00022D76" w:rsidRPr="00864BBA" w:rsidRDefault="00022D76" w:rsidP="0025203D">
      <w:pPr>
        <w:autoSpaceDE w:val="0"/>
        <w:autoSpaceDN w:val="0"/>
        <w:adjustRightInd w:val="0"/>
        <w:ind w:right="261"/>
        <w:rPr>
          <w:rFonts w:ascii="Palatino Linotype" w:hAnsi="Palatino Linotype" w:cs="Arial"/>
          <w:b/>
          <w:sz w:val="22"/>
          <w:szCs w:val="22"/>
          <w:lang w:val="nl-NL"/>
        </w:rPr>
      </w:pPr>
    </w:p>
    <w:p w:rsidR="00022D76" w:rsidRDefault="00022D76" w:rsidP="0025203D">
      <w:pPr>
        <w:autoSpaceDE w:val="0"/>
        <w:autoSpaceDN w:val="0"/>
        <w:adjustRightInd w:val="0"/>
        <w:ind w:right="261"/>
        <w:rPr>
          <w:rFonts w:ascii="Palatino Linotype" w:hAnsi="Palatino Linotype" w:cs="Arial"/>
          <w:b/>
          <w:sz w:val="20"/>
          <w:lang w:val="nl-NL"/>
        </w:rPr>
      </w:pPr>
    </w:p>
    <w:p w:rsidR="00022D76" w:rsidRDefault="00022D76" w:rsidP="0025203D">
      <w:pPr>
        <w:ind w:right="261"/>
        <w:rPr>
          <w:rFonts w:asciiTheme="minorHAnsi" w:eastAsiaTheme="minorHAnsi" w:hAnsiTheme="minorHAnsi" w:cstheme="minorBidi"/>
          <w:sz w:val="22"/>
          <w:szCs w:val="22"/>
          <w:lang w:val="nl-NL"/>
        </w:rPr>
      </w:pPr>
    </w:p>
    <w:p w:rsidR="00022D76" w:rsidRPr="00022D76" w:rsidRDefault="00022D76" w:rsidP="0025203D">
      <w:pPr>
        <w:ind w:right="261"/>
        <w:rPr>
          <w:lang w:val="nl-NL"/>
        </w:rPr>
        <w:sectPr w:rsidR="00022D76" w:rsidRPr="00022D76" w:rsidSect="0025203D">
          <w:headerReference w:type="even" r:id="rId6"/>
          <w:headerReference w:type="default" r:id="rId7"/>
          <w:endnotePr>
            <w:numFmt w:val="decimal"/>
          </w:endnotePr>
          <w:pgSz w:w="11906" w:h="16838"/>
          <w:pgMar w:top="1560" w:right="1133" w:bottom="958" w:left="1298" w:header="1440" w:footer="958" w:gutter="0"/>
          <w:pgNumType w:start="1"/>
          <w:cols w:space="720"/>
          <w:noEndnote/>
          <w:titlePg/>
        </w:sectPr>
      </w:pPr>
    </w:p>
    <w:p w:rsidR="001E378F" w:rsidRPr="000A0DBD" w:rsidRDefault="001E378F" w:rsidP="0025203D">
      <w:pPr>
        <w:tabs>
          <w:tab w:val="left" w:pos="-720"/>
        </w:tabs>
        <w:suppressAutoHyphens/>
        <w:ind w:right="261"/>
        <w:jc w:val="both"/>
        <w:rPr>
          <w:rFonts w:ascii="Palatino Linotype" w:hAnsi="Palatino Linotype"/>
          <w:bCs/>
          <w:spacing w:val="-3"/>
          <w:sz w:val="22"/>
          <w:szCs w:val="22"/>
          <w:lang w:val="nl-NL"/>
        </w:rPr>
      </w:pPr>
      <w:bookmarkStart w:id="1" w:name="_GoBack"/>
      <w:bookmarkEnd w:id="1"/>
    </w:p>
    <w:sectPr w:rsidR="001E378F" w:rsidRPr="000A0DBD" w:rsidSect="0025203D">
      <w:endnotePr>
        <w:numFmt w:val="decimal"/>
      </w:endnotePr>
      <w:type w:val="continuous"/>
      <w:pgSz w:w="11906" w:h="16838"/>
      <w:pgMar w:top="1962" w:right="1133"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78F" w:rsidRDefault="001E378F">
      <w:pPr>
        <w:spacing w:line="20" w:lineRule="exact"/>
      </w:pPr>
    </w:p>
  </w:endnote>
  <w:endnote w:type="continuationSeparator" w:id="0">
    <w:p w:rsidR="001E378F" w:rsidRDefault="001E378F">
      <w:r>
        <w:t xml:space="preserve"> </w:t>
      </w:r>
    </w:p>
  </w:endnote>
  <w:endnote w:type="continuationNotice" w:id="1">
    <w:p w:rsidR="001E378F" w:rsidRDefault="001E37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78F" w:rsidRDefault="001E378F">
      <w:r>
        <w:separator/>
      </w:r>
    </w:p>
  </w:footnote>
  <w:footnote w:type="continuationSeparator" w:id="0">
    <w:p w:rsidR="001E378F" w:rsidRDefault="001E378F">
      <w:r>
        <w:continuationSeparator/>
      </w:r>
    </w:p>
  </w:footnote>
  <w:footnote w:id="1">
    <w:p w:rsidR="001E378F" w:rsidRDefault="001E378F" w:rsidP="001E378F">
      <w:pPr>
        <w:pStyle w:val="FootnoteText"/>
      </w:pPr>
      <w:r>
        <w:rPr>
          <w:rStyle w:val="FootnoteReference"/>
        </w:rPr>
        <w:footnoteRef/>
      </w:r>
      <w:r>
        <w:t xml:space="preserve"> </w:t>
      </w:r>
      <w:r w:rsidRPr="002D377D">
        <w:rPr>
          <w:rFonts w:ascii="Palatino Linotype" w:hAnsi="Palatino Linotype"/>
          <w:color w:val="231F20"/>
          <w:position w:val="-4"/>
          <w:sz w:val="14"/>
          <w:lang w:val="nl-NL"/>
        </w:rPr>
        <w:t>CUR202002249.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78F" w:rsidRDefault="001E378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378F" w:rsidRDefault="001E378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203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E378F" w:rsidRDefault="001E378F">
                          <w:pPr>
                            <w:tabs>
                              <w:tab w:val="center" w:pos="4657"/>
                              <w:tab w:val="right" w:pos="9314"/>
                            </w:tabs>
                            <w:rPr>
                              <w:rFonts w:ascii="Times New Roman" w:hAnsi="Times New Roman"/>
                              <w:spacing w:val="-3"/>
                            </w:rPr>
                          </w:pPr>
                        </w:p>
                        <w:p w:rsidR="001E378F" w:rsidRDefault="001E378F">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1E378F" w:rsidRDefault="001E378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203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E378F" w:rsidRDefault="001E378F">
                    <w:pPr>
                      <w:tabs>
                        <w:tab w:val="center" w:pos="4657"/>
                        <w:tab w:val="right" w:pos="9314"/>
                      </w:tabs>
                      <w:rPr>
                        <w:rFonts w:ascii="Times New Roman" w:hAnsi="Times New Roman"/>
                        <w:spacing w:val="-3"/>
                      </w:rPr>
                    </w:pPr>
                  </w:p>
                  <w:p w:rsidR="001E378F" w:rsidRDefault="001E378F">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20</w:t>
    </w:r>
  </w:p>
  <w:p w:rsidR="001E378F" w:rsidRDefault="001E378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78F" w:rsidRDefault="001E378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378F" w:rsidRDefault="001E378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203D">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1E378F" w:rsidRDefault="001E378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203D">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20</w:t>
    </w:r>
  </w:p>
  <w:p w:rsidR="001E378F" w:rsidRDefault="001E378F">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3242B"/>
    <w:rsid w:val="00064039"/>
    <w:rsid w:val="000829F9"/>
    <w:rsid w:val="000A0DBD"/>
    <w:rsid w:val="0014186C"/>
    <w:rsid w:val="00173FBA"/>
    <w:rsid w:val="001A7D22"/>
    <w:rsid w:val="001C27B0"/>
    <w:rsid w:val="001C384D"/>
    <w:rsid w:val="001E378F"/>
    <w:rsid w:val="00213227"/>
    <w:rsid w:val="0025203D"/>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C0DB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E378F"/>
    <w:pPr>
      <w:spacing w:after="120"/>
    </w:pPr>
  </w:style>
  <w:style w:type="character" w:customStyle="1" w:styleId="BodyTextChar">
    <w:name w:val="Body Text Char"/>
    <w:basedOn w:val="DefaultParagraphFont"/>
    <w:link w:val="BodyText"/>
    <w:rsid w:val="001E378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3</Pages>
  <Words>1959</Words>
  <Characters>10862</Characters>
  <Application>Microsoft Office Word</Application>
  <DocSecurity>0</DocSecurity>
  <Lines>350</Lines>
  <Paragraphs>183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2021-03-06T00:16:00Z</dcterms:created>
  <dcterms:modified xsi:type="dcterms:W3CDTF">2021-03-06T00:16:00Z</dcterms:modified>
</cp:coreProperties>
</file>