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EA755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FB6B0B">
        <w:rPr>
          <w:b/>
          <w:sz w:val="36"/>
          <w:szCs w:val="36"/>
          <w:lang w:val="nl-NL"/>
        </w:rPr>
        <w:t>40</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C63D67" w:rsidRPr="00EA7559" w:rsidRDefault="001D525D" w:rsidP="00C55A5E">
      <w:pPr>
        <w:pStyle w:val="HoofdtekstA"/>
        <w:jc w:val="both"/>
        <w:rPr>
          <w:rFonts w:ascii="Palatino Linotype" w:hAnsi="Palatino Linotype"/>
          <w:b/>
        </w:rPr>
      </w:pPr>
      <w:r w:rsidRPr="001D525D">
        <w:rPr>
          <w:rFonts w:ascii="Palatino Linotype" w:hAnsi="Palatino Linotype"/>
          <w:b/>
        </w:rPr>
        <w:t xml:space="preserve">MINISTERIËLE BESCHIKKING van de </w:t>
      </w:r>
      <w:r w:rsidR="00FB6B0B">
        <w:rPr>
          <w:rFonts w:ascii="Palatino Linotype" w:hAnsi="Palatino Linotype"/>
          <w:b/>
        </w:rPr>
        <w:t>20</w:t>
      </w:r>
      <w:r w:rsidR="00FB6B0B" w:rsidRPr="00FB6B0B">
        <w:rPr>
          <w:rFonts w:ascii="Palatino Linotype" w:hAnsi="Palatino Linotype"/>
          <w:b/>
          <w:vertAlign w:val="superscript"/>
        </w:rPr>
        <w:t>ste</w:t>
      </w:r>
      <w:r w:rsidR="00606AC3">
        <w:rPr>
          <w:rFonts w:ascii="Palatino Linotype" w:hAnsi="Palatino Linotype"/>
          <w:b/>
        </w:rPr>
        <w:t xml:space="preserve"> april</w:t>
      </w:r>
      <w:r w:rsidR="00EA7559">
        <w:rPr>
          <w:rFonts w:ascii="Palatino Linotype" w:hAnsi="Palatino Linotype"/>
          <w:b/>
        </w:rPr>
        <w:t xml:space="preserve"> 2021</w:t>
      </w:r>
      <w:r>
        <w:rPr>
          <w:rFonts w:ascii="Palatino Linotype" w:hAnsi="Palatino Linotype"/>
          <w:b/>
        </w:rPr>
        <w:t xml:space="preserve"> </w:t>
      </w:r>
      <w:r w:rsidR="00606AC3">
        <w:rPr>
          <w:rFonts w:ascii="Palatino Linotype" w:hAnsi="Palatino Linotype"/>
          <w:b/>
        </w:rPr>
        <w:t>tot wijziging van de</w:t>
      </w:r>
      <w:r w:rsidR="00EA7559" w:rsidRPr="00EA7559">
        <w:rPr>
          <w:rFonts w:ascii="Palatino Linotype" w:hAnsi="Palatino Linotype"/>
          <w:b/>
        </w:rPr>
        <w:t xml:space="preserve"> Beschikking vrijstelling en ontheffing dagklok COVID-19</w:t>
      </w:r>
      <w:r w:rsidR="00F541BD">
        <w:rPr>
          <w:rStyle w:val="FootnoteReference"/>
          <w:rFonts w:ascii="Palatino Linotype" w:hAnsi="Palatino Linotype"/>
          <w:b/>
        </w:rPr>
        <w:footnoteReference w:id="1"/>
      </w:r>
    </w:p>
    <w:p w:rsidR="00C037EF" w:rsidRDefault="00815012" w:rsidP="00EA7559">
      <w:pPr>
        <w:pStyle w:val="HoofdtekstA"/>
        <w:spacing w:after="160" w:line="259" w:lineRule="auto"/>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Pr="00C55A5E" w:rsidRDefault="00C55A5E" w:rsidP="00C037EF">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EA7559" w:rsidRPr="00EA7559" w:rsidRDefault="00EA7559" w:rsidP="00EA7559">
      <w:pPr>
        <w:pStyle w:val="HoofdtekstA"/>
        <w:rPr>
          <w:rFonts w:ascii="Palatino Linotype" w:eastAsia="Palatino Linotype" w:hAnsi="Palatino Linotype" w:cs="Palatino Linotype"/>
        </w:rPr>
      </w:pPr>
      <w:bookmarkStart w:id="0" w:name="_Hlk35753309"/>
    </w:p>
    <w:p w:rsidR="00FB6B0B" w:rsidRPr="00FB6B0B" w:rsidRDefault="00FB6B0B" w:rsidP="00FB6B0B">
      <w:pPr>
        <w:pStyle w:val="HoofdtekstA"/>
        <w:jc w:val="both"/>
        <w:rPr>
          <w:rFonts w:ascii="Palatino Linotype" w:eastAsia="Palatino Linotype" w:hAnsi="Palatino Linotype" w:cs="Palatino Linotype"/>
        </w:rPr>
      </w:pPr>
      <w:r w:rsidRPr="00FB6B0B">
        <w:rPr>
          <w:rFonts w:ascii="Palatino Linotype" w:eastAsia="Palatino Linotype" w:hAnsi="Palatino Linotype" w:cs="Palatino Linotype"/>
        </w:rPr>
        <w:t>dat vanwege de forse stijging van het aantal besmettingsgevallen met het SARS-CoV-2 virus en diens varianten, die de besmettelijke ziekte COVID-19 veroorzaken, per 24 maart 2021 in artikel 4a van de Tijdelijke regeling maatregelen uitzonderingstoestand COVID-19 pandemie</w:t>
      </w:r>
      <w:r w:rsidRPr="00FB6B0B">
        <w:rPr>
          <w:rFonts w:ascii="Palatino Linotype" w:eastAsia="Palatino Linotype" w:hAnsi="Palatino Linotype" w:cs="Palatino Linotype"/>
          <w:vertAlign w:val="superscript"/>
        </w:rPr>
        <w:footnoteReference w:id="2"/>
      </w:r>
      <w:r w:rsidRPr="00FB6B0B">
        <w:rPr>
          <w:rFonts w:ascii="Palatino Linotype" w:eastAsia="Palatino Linotype" w:hAnsi="Palatino Linotype" w:cs="Palatino Linotype"/>
        </w:rPr>
        <w:t>, hierna: de Regeling, regels zijn gesteld met betrekking tot de dagklok;</w:t>
      </w:r>
    </w:p>
    <w:p w:rsidR="00FB6B0B" w:rsidRPr="00FB6B0B" w:rsidRDefault="00FB6B0B" w:rsidP="00FB6B0B">
      <w:pPr>
        <w:pStyle w:val="HoofdtekstA"/>
        <w:jc w:val="both"/>
        <w:rPr>
          <w:rFonts w:ascii="Palatino Linotype" w:eastAsia="Palatino Linotype" w:hAnsi="Palatino Linotype" w:cs="Palatino Linotype"/>
        </w:rPr>
      </w:pPr>
    </w:p>
    <w:p w:rsidR="00FB6B0B" w:rsidRPr="00FB6B0B" w:rsidRDefault="00FB6B0B" w:rsidP="00FB6B0B">
      <w:pPr>
        <w:pStyle w:val="HoofdtekstA"/>
        <w:jc w:val="both"/>
        <w:rPr>
          <w:rFonts w:ascii="Palatino Linotype" w:eastAsia="Palatino Linotype" w:hAnsi="Palatino Linotype" w:cs="Palatino Linotype"/>
        </w:rPr>
      </w:pPr>
      <w:r w:rsidRPr="00FB6B0B">
        <w:rPr>
          <w:rFonts w:ascii="Palatino Linotype" w:eastAsia="Palatino Linotype" w:hAnsi="Palatino Linotype" w:cs="Palatino Linotype"/>
        </w:rPr>
        <w:t>dat op grond van de Regeling de Beschikking vrijstelling en ontheffing dagklok COVID-19, hierna: de Beschikking, is vastgesteld;</w:t>
      </w:r>
    </w:p>
    <w:p w:rsidR="00FB6B0B" w:rsidRPr="00FB6B0B" w:rsidRDefault="00FB6B0B" w:rsidP="00FB6B0B">
      <w:pPr>
        <w:pStyle w:val="HoofdtekstA"/>
        <w:jc w:val="both"/>
        <w:rPr>
          <w:rFonts w:ascii="Palatino Linotype" w:eastAsia="Palatino Linotype" w:hAnsi="Palatino Linotype" w:cs="Palatino Linotype"/>
        </w:rPr>
      </w:pPr>
    </w:p>
    <w:p w:rsidR="00FB6B0B" w:rsidRPr="00FB6B0B" w:rsidRDefault="00FB6B0B" w:rsidP="00FB6B0B">
      <w:pPr>
        <w:pStyle w:val="HoofdtekstA"/>
        <w:jc w:val="both"/>
        <w:rPr>
          <w:rFonts w:ascii="Palatino Linotype" w:eastAsia="Palatino Linotype" w:hAnsi="Palatino Linotype" w:cs="Palatino Linotype"/>
        </w:rPr>
      </w:pPr>
      <w:r w:rsidRPr="00FB6B0B">
        <w:rPr>
          <w:rFonts w:ascii="Palatino Linotype" w:eastAsia="Palatino Linotype" w:hAnsi="Palatino Linotype" w:cs="Palatino Linotype"/>
        </w:rPr>
        <w:t>dat na de per 17 april 2021 aangekondigde maatregelen het mogelijk is vanwege de daling van het aantal besmettingsgevallen om enige versoepelde maatregelen te treffen waardoor het noodzakelijk is de Beschikking te wijzigen;</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H e e f t  b e s l o te n:</w:t>
      </w:r>
    </w:p>
    <w:p w:rsidR="00C037EF" w:rsidRPr="00A43C90" w:rsidRDefault="00C037EF" w:rsidP="0019239D">
      <w:pPr>
        <w:pStyle w:val="NoSpacing"/>
        <w:rPr>
          <w:rFonts w:eastAsia="Palatino Linotype"/>
          <w:lang w:val="es-419"/>
        </w:rPr>
      </w:pPr>
    </w:p>
    <w:p w:rsidR="00FB6B0B" w:rsidRDefault="00FB6B0B" w:rsidP="00FB6B0B">
      <w:pPr>
        <w:pStyle w:val="HoofdtekstA"/>
        <w:spacing w:line="259" w:lineRule="auto"/>
        <w:ind w:left="284" w:hanging="284"/>
        <w:rPr>
          <w:rFonts w:ascii="Palatino Linotype" w:eastAsia="Palatino Linotype" w:hAnsi="Palatino Linotype" w:cs="Palatino Linotype"/>
        </w:rPr>
      </w:pPr>
      <w:r w:rsidRPr="00FB6B0B">
        <w:rPr>
          <w:rFonts w:ascii="Palatino Linotype" w:eastAsia="Palatino Linotype" w:hAnsi="Palatino Linotype" w:cs="Palatino Linotype"/>
        </w:rPr>
        <w:t>Artikel I</w:t>
      </w:r>
    </w:p>
    <w:p w:rsidR="00FB6B0B" w:rsidRPr="00FB6B0B" w:rsidRDefault="00FB6B0B" w:rsidP="00FB6B0B">
      <w:pPr>
        <w:pStyle w:val="HoofdtekstA"/>
        <w:spacing w:line="259" w:lineRule="auto"/>
        <w:ind w:left="284" w:hanging="284"/>
        <w:rPr>
          <w:rFonts w:ascii="Palatino Linotype" w:eastAsia="Palatino Linotype" w:hAnsi="Palatino Linotype" w:cs="Palatino Linotype"/>
        </w:rPr>
      </w:pP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De Beschikking vrijstelling en ontheffing dagklok COVID-19 wordt als volgt gewijzigd:</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numPr>
          <w:ilvl w:val="0"/>
          <w:numId w:val="29"/>
        </w:numPr>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Artikel 1 wordt als volgt gewijzigd:</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spacing w:line="259" w:lineRule="auto"/>
        <w:ind w:left="567"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a.</w:t>
      </w:r>
      <w:r w:rsidRPr="00FB6B0B">
        <w:rPr>
          <w:rFonts w:ascii="Palatino Linotype" w:eastAsia="Palatino Linotype" w:hAnsi="Palatino Linotype" w:cs="Palatino Linotype"/>
        </w:rPr>
        <w:tab/>
        <w:t>Het eerste lid, onderdeel e komt te luiden:</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spacing w:line="259" w:lineRule="auto"/>
        <w:ind w:left="851"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 xml:space="preserve">e. </w:t>
      </w:r>
      <w:r>
        <w:rPr>
          <w:rFonts w:ascii="Palatino Linotype" w:eastAsia="Palatino Linotype" w:hAnsi="Palatino Linotype" w:cs="Palatino Linotype"/>
        </w:rPr>
        <w:tab/>
      </w:r>
      <w:r w:rsidRPr="00FB6B0B">
        <w:rPr>
          <w:rFonts w:ascii="Palatino Linotype" w:eastAsia="Palatino Linotype" w:hAnsi="Palatino Linotype" w:cs="Palatino Linotype"/>
        </w:rPr>
        <w:t>voor het verkrijgen van de dienstverlening als bedoeld in artikel 6, tweede lid, en artikel 6a, eerste en tweede lid, van de Tijdelijke regeling maatregelen uitzonderingstoestand COVID-19 pandemie.</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spacing w:line="259" w:lineRule="auto"/>
        <w:ind w:left="567" w:hanging="283"/>
        <w:jc w:val="both"/>
        <w:rPr>
          <w:rFonts w:ascii="Palatino Linotype" w:eastAsia="Palatino Linotype" w:hAnsi="Palatino Linotype" w:cs="Palatino Linotype"/>
        </w:rPr>
      </w:pPr>
      <w:r w:rsidRPr="00FB6B0B">
        <w:rPr>
          <w:rFonts w:ascii="Palatino Linotype" w:eastAsia="Palatino Linotype" w:hAnsi="Palatino Linotype" w:cs="Palatino Linotype"/>
        </w:rPr>
        <w:lastRenderedPageBreak/>
        <w:t>b.  In het vierde lid wordt de zinsnede “conform de verdeling opgenomen in bijlage 3 bij de Tijdelijke regeling maatregelen uitzonderingstoestand COVID-19 pandemie” vervangen door: conform de verdeling opgenomen in bijlage 2 bij deze beschikking.</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numPr>
          <w:ilvl w:val="0"/>
          <w:numId w:val="29"/>
        </w:numPr>
        <w:spacing w:line="259" w:lineRule="auto"/>
        <w:ind w:left="284" w:hanging="284"/>
        <w:jc w:val="both"/>
        <w:rPr>
          <w:rFonts w:ascii="Palatino Linotype" w:eastAsia="Palatino Linotype" w:hAnsi="Palatino Linotype" w:cs="Palatino Linotype"/>
        </w:rPr>
      </w:pPr>
      <w:r w:rsidRPr="00FB6B0B">
        <w:rPr>
          <w:rFonts w:ascii="Palatino Linotype" w:hAnsi="Palatino Linotype" w:cs="Palatino Linotype"/>
        </w:rPr>
        <w:t>“Bijlage 1” wordt vervangen door Bijlage 1 bij deze beschikking.</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numPr>
          <w:ilvl w:val="0"/>
          <w:numId w:val="29"/>
        </w:numPr>
        <w:spacing w:line="259" w:lineRule="auto"/>
        <w:ind w:left="284" w:hanging="284"/>
        <w:jc w:val="both"/>
        <w:rPr>
          <w:rFonts w:ascii="Palatino Linotype" w:eastAsia="Palatino Linotype" w:hAnsi="Palatino Linotype" w:cs="Palatino Linotype"/>
        </w:rPr>
      </w:pPr>
      <w:r w:rsidRPr="00FB6B0B">
        <w:rPr>
          <w:rFonts w:ascii="Palatino Linotype" w:hAnsi="Palatino Linotype" w:cs="Palatino Linotype"/>
        </w:rPr>
        <w:t xml:space="preserve">Er wordt een </w:t>
      </w:r>
      <w:r w:rsidRPr="00FB6B0B">
        <w:rPr>
          <w:rFonts w:ascii="Palatino Linotype" w:eastAsia="Palatino Linotype" w:hAnsi="Palatino Linotype" w:cs="Palatino Linotype"/>
        </w:rPr>
        <w:t>Bijlage 2 zoals opgenomen in de bijlage bij deze beschikking toegevoegd.</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 xml:space="preserve">Artikel II </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Deze beschikking treedt in werking met ingang van de dag na datum van dagtekening ervan.</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Artikel III</w:t>
      </w:r>
    </w:p>
    <w:p w:rsidR="00FB6B0B" w:rsidRPr="00FB6B0B" w:rsidRDefault="00FB6B0B" w:rsidP="00FB6B0B">
      <w:pPr>
        <w:pStyle w:val="HoofdtekstA"/>
        <w:spacing w:line="259" w:lineRule="auto"/>
        <w:ind w:left="284" w:hanging="284"/>
        <w:jc w:val="both"/>
        <w:rPr>
          <w:rFonts w:ascii="Palatino Linotype" w:eastAsia="Palatino Linotype" w:hAnsi="Palatino Linotype" w:cs="Palatino Linotype"/>
        </w:rPr>
      </w:pPr>
      <w:r w:rsidRPr="00FB6B0B">
        <w:rPr>
          <w:rFonts w:ascii="Palatino Linotype" w:eastAsia="Palatino Linotype" w:hAnsi="Palatino Linotype" w:cs="Palatino Linotype"/>
        </w:rPr>
        <w:t>Deze beschikking wordt bekendgemaakt in het Publicatieblad.</w:t>
      </w:r>
    </w:p>
    <w:p w:rsidR="00C037EF" w:rsidRDefault="00C037EF" w:rsidP="00F541BD">
      <w:pPr>
        <w:pStyle w:val="HoofdtekstA"/>
        <w:spacing w:line="259" w:lineRule="auto"/>
        <w:ind w:left="284" w:hanging="284"/>
        <w:jc w:val="both"/>
        <w:rPr>
          <w:rFonts w:ascii="Palatino Linotype" w:eastAsia="Palatino Linotype" w:hAnsi="Palatino Linotype" w:cs="Palatino Linotype"/>
        </w:rPr>
      </w:pPr>
    </w:p>
    <w:p w:rsidR="00606AC3" w:rsidRPr="00032D18" w:rsidRDefault="00606AC3"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FB6B0B">
        <w:rPr>
          <w:rFonts w:ascii="Palatino Linotype" w:eastAsia="Palatino Linotype" w:hAnsi="Palatino Linotype" w:cs="Palatino Linotype"/>
        </w:rPr>
        <w:t>20</w:t>
      </w:r>
      <w:r w:rsidR="00606AC3">
        <w:rPr>
          <w:rFonts w:ascii="Palatino Linotype" w:eastAsia="Palatino Linotype" w:hAnsi="Palatino Linotype" w:cs="Palatino Linotype"/>
        </w:rPr>
        <w:t xml:space="preserve"> april</w:t>
      </w:r>
      <w:r w:rsidR="00EA7559">
        <w:rPr>
          <w:rFonts w:ascii="Palatino Linotype" w:eastAsia="Palatino Linotype" w:hAnsi="Palatino Linotype" w:cs="Palatino Linotype"/>
        </w:rPr>
        <w:t xml:space="preserve">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001CBE" w:rsidRDefault="00C55A5E" w:rsidP="00001CBE">
      <w:pPr>
        <w:pStyle w:val="HoofdtekstA"/>
        <w:spacing w:after="160" w:line="259" w:lineRule="auto"/>
        <w:ind w:left="4536"/>
        <w:jc w:val="both"/>
        <w:rPr>
          <w:rFonts w:ascii="Palatino Linotype" w:eastAsia="Palatino Linotype" w:hAnsi="Palatino Linotype" w:cs="Palatino Linotype"/>
        </w:rPr>
      </w:pPr>
      <w:r>
        <w:rPr>
          <w:rFonts w:ascii="Palatino Linotype" w:eastAsia="Palatino Linotype" w:hAnsi="Palatino Linotype" w:cs="Palatino Linotype"/>
        </w:rPr>
        <w:tab/>
      </w:r>
      <w:r w:rsidR="0019239D">
        <w:rPr>
          <w:rFonts w:ascii="Palatino Linotype" w:eastAsia="Palatino Linotype" w:hAnsi="Palatino Linotype" w:cs="Palatino Linotype"/>
        </w:rPr>
        <w:t xml:space="preserve">   </w:t>
      </w:r>
      <w:r w:rsidRPr="00C55A5E">
        <w:rPr>
          <w:rFonts w:ascii="Palatino Linotype" w:eastAsia="Palatino Linotype" w:hAnsi="Palatino Linotype" w:cs="Palatino Linotype"/>
        </w:rPr>
        <w:t>E. P. RHUGGENAATH</w:t>
      </w:r>
    </w:p>
    <w:p w:rsidR="00001CBE" w:rsidRDefault="00001CBE" w:rsidP="0019239D">
      <w:pPr>
        <w:pStyle w:val="HoofdtekstA"/>
        <w:spacing w:after="160" w:line="259" w:lineRule="auto"/>
        <w:ind w:left="4536"/>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FB6B0B">
        <w:rPr>
          <w:rFonts w:ascii="Palatino Linotype" w:eastAsia="Palatino Linotype" w:hAnsi="Palatino Linotype" w:cs="Palatino Linotype"/>
        </w:rPr>
        <w:t>20</w:t>
      </w:r>
      <w:r w:rsidR="00FB6B0B" w:rsidRPr="00FB6B0B">
        <w:rPr>
          <w:rFonts w:ascii="Palatino Linotype" w:eastAsia="Palatino Linotype" w:hAnsi="Palatino Linotype" w:cs="Palatino Linotype"/>
          <w:vertAlign w:val="superscript"/>
        </w:rPr>
        <w:t>ste</w:t>
      </w:r>
      <w:r w:rsidR="00FB6B0B">
        <w:rPr>
          <w:rFonts w:ascii="Palatino Linotype" w:eastAsia="Palatino Linotype" w:hAnsi="Palatino Linotype" w:cs="Palatino Linotype"/>
        </w:rPr>
        <w:t xml:space="preserve"> </w:t>
      </w:r>
      <w:r w:rsidR="00606AC3">
        <w:rPr>
          <w:rFonts w:ascii="Palatino Linotype" w:eastAsia="Palatino Linotype" w:hAnsi="Palatino Linotype" w:cs="Palatino Linotype"/>
        </w:rPr>
        <w:t>april</w:t>
      </w:r>
      <w:r w:rsidR="00EA7559">
        <w:rPr>
          <w:rFonts w:ascii="Palatino Linotype" w:eastAsia="Palatino Linotype" w:hAnsi="Palatino Linotype" w:cs="Palatino Linotype"/>
        </w:rPr>
        <w:t xml:space="preserve"> 2021</w:t>
      </w:r>
      <w:r w:rsidR="00625B19">
        <w:rPr>
          <w:rFonts w:ascii="Palatino Linotype" w:eastAsia="Palatino Linotype" w:hAnsi="Palatino Linotype" w:cs="Palatino Linotype"/>
        </w:rPr>
        <w:t xml:space="preserve">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001CBE"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rsidR="00022D76" w:rsidRDefault="00022D76" w:rsidP="00022D76">
      <w:pPr>
        <w:rPr>
          <w:rFonts w:asciiTheme="minorHAnsi" w:eastAsiaTheme="minorHAnsi" w:hAnsiTheme="minorHAnsi" w:cstheme="minorBidi"/>
          <w:sz w:val="22"/>
          <w:szCs w:val="22"/>
          <w:lang w:val="nl-NL"/>
        </w:rPr>
      </w:pPr>
    </w:p>
    <w:p w:rsidR="00C5096D" w:rsidRDefault="00C5096D">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rsidR="00C5096D" w:rsidRPr="00C5096D" w:rsidRDefault="00C5096D" w:rsidP="00C5096D">
      <w:pPr>
        <w:widowControl/>
        <w:spacing w:after="160" w:line="259" w:lineRule="auto"/>
        <w:jc w:val="both"/>
        <w:rPr>
          <w:rFonts w:ascii="Palatino Linotype" w:eastAsia="Palatino Linotype" w:hAnsi="Palatino Linotype" w:cs="Palatino Linotype"/>
          <w:sz w:val="22"/>
          <w:szCs w:val="22"/>
          <w:lang w:val="nl-NL"/>
        </w:rPr>
      </w:pPr>
      <w:r w:rsidRPr="00C5096D">
        <w:rPr>
          <w:rFonts w:ascii="Palatino Linotype" w:eastAsia="Palatino Linotype" w:hAnsi="Palatino Linotype" w:cs="Palatino Linotype"/>
          <w:sz w:val="22"/>
          <w:szCs w:val="22"/>
          <w:lang w:val="nl-NL"/>
        </w:rPr>
        <w:lastRenderedPageBreak/>
        <w:t>BIJLAGE 1 bij de Beschikking vrijstelling en ontheffing dagklok COVID-19</w:t>
      </w:r>
    </w:p>
    <w:p w:rsidR="00C5096D" w:rsidRPr="00C5096D" w:rsidRDefault="00C5096D" w:rsidP="00C5096D">
      <w:pPr>
        <w:widowControl/>
        <w:ind w:left="1134"/>
        <w:jc w:val="center"/>
        <w:rPr>
          <w:rFonts w:ascii="Palatino Linotype" w:eastAsia="Palatino Linotype" w:hAnsi="Palatino Linotype" w:cs="Palatino Linotype"/>
          <w:sz w:val="22"/>
          <w:szCs w:val="22"/>
          <w:lang w:val="nl-NL"/>
        </w:rPr>
      </w:pPr>
    </w:p>
    <w:p w:rsidR="00FB6B0B" w:rsidRPr="00FB6B0B" w:rsidRDefault="00FB6B0B" w:rsidP="00FB6B0B">
      <w:pPr>
        <w:widowControl/>
        <w:jc w:val="center"/>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VITALE FUNCTIES EN PROCESSEN WAARVOOR ONTHEFFING KAN WORDEN VERLEEND TIJDENS DE DAGKLOK</w:t>
      </w:r>
    </w:p>
    <w:p w:rsidR="00FB6B0B" w:rsidRPr="00FB6B0B" w:rsidRDefault="00FB6B0B" w:rsidP="00FB6B0B">
      <w:pPr>
        <w:widowControl/>
        <w:jc w:val="center"/>
        <w:rPr>
          <w:rFonts w:ascii="Palatino Linotype" w:eastAsia="Palatino Linotype" w:hAnsi="Palatino Linotype" w:cs="Palatino Linotype"/>
          <w:sz w:val="22"/>
          <w:szCs w:val="22"/>
          <w:lang w:val="nl-NL"/>
        </w:rPr>
      </w:pP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Zorg (medisch en paramedisch), inclusief laboratoria, inkoop, verkoop en transport van medicijnen en medische hulpmiddelen;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Begrafenisondernemingen en crematoria en aanverwante dienstverlening;</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Douane;</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Advocaten en notarissen;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Kritieke functies bij de vertegenwoordiging van derde landen op Curaçao (Consuls);</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Gevangeniswezen en andere justitiële inrichtingen;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Particuliere beveiligings- en bewakingsbedrijven;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Luchthaven en aanverwante logistieke sector, luchtverkeersleiding en luchtverkeersveiligheid;</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Hotels en dienstverlening op hotelterrein aan hotelgasten;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Meteorologische dienst;</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Havens en aanverwante logistieke sector, loodsdiensten, haven veiligheidsinspectie en havenstaatcontrole;</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Scheepsreparatie;</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Openbaar vervoer en taxivervoer;</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Autoverhuurbedrijven;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bookmarkStart w:id="1" w:name="_heading=h.gjdgxs" w:colFirst="0" w:colLast="0"/>
      <w:bookmarkEnd w:id="1"/>
      <w:r w:rsidRPr="00FB6B0B">
        <w:rPr>
          <w:rFonts w:ascii="Palatino Linotype" w:eastAsia="Palatino Linotype" w:hAnsi="Palatino Linotype" w:cs="Palatino Linotype"/>
          <w:sz w:val="22"/>
          <w:szCs w:val="22"/>
          <w:lang w:val="nl-NL"/>
        </w:rPr>
        <w:t>Voedselketen en aanverwante levensbehoeften (breed) betreft: supermarkten, minimarkten, toko’s, broodbakkerijen, restaurants, trùk’s di pan, groothandels en import, transport van voedsel, lokale productie, waaronder landbouw, veeteelt en visserij (bij de Kamer van Koophandel en Nijverheid, de Sector Landbouw, Milieu en Natuur, of de Havenmeester geregistreerde vissers), verwerking en aanlevering, inclusief voeding voor dieren;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Productie, opslag, transport en distributie van brandstoffen (geraffineerde producten);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Productie en distributie van water en elektriciteit;</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Productie en levering van producten voor reiniging en ontsmetting;</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Financiële dienstverlening, waaronder verzekeringsmaatschappijen en kredietinstellingen;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Schoonmaakdiensten voor particulieren en bedrijven, wasserijen en ongediertebestrijding;</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Bouw- infrastructurele- en installatietechnische werkzaamheden (commercieel en particulier) en direct aanverwante toeleveringsbedrijven voor materialen en grondstoffen;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Vervoer van (bedrijfs)afval en vuilnis, inclusief de landfill;</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 xml:space="preserve">Urgente reparatiewerkzaamheden aan de openbare infrastructuur; </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Voertuigreparatie en verkoop van onderdelen;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Bewateren van openbaar groen conform de instructies van de opdrachtgever;</w:t>
      </w:r>
    </w:p>
    <w:sdt>
      <w:sdtPr>
        <w:rPr>
          <w:rFonts w:ascii="Palatino Linotype" w:eastAsia="Palatino Linotype" w:hAnsi="Palatino Linotype" w:cs="Palatino Linotype"/>
          <w:sz w:val="22"/>
          <w:szCs w:val="22"/>
          <w:lang w:val="nl-NL"/>
        </w:rPr>
        <w:tag w:val="goog_rdk_1"/>
        <w:id w:val="1122104660"/>
      </w:sdtPr>
      <w:sdtContent>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Verzorging van dieren;</w:t>
          </w:r>
          <w:sdt>
            <w:sdtPr>
              <w:rPr>
                <w:rFonts w:ascii="Palatino Linotype" w:eastAsia="Palatino Linotype" w:hAnsi="Palatino Linotype" w:cs="Palatino Linotype"/>
                <w:sz w:val="22"/>
                <w:szCs w:val="22"/>
                <w:lang w:val="nl-NL"/>
              </w:rPr>
              <w:tag w:val="goog_rdk_0"/>
              <w:id w:val="894636140"/>
            </w:sdtPr>
            <w:sdtContent/>
          </w:sdt>
        </w:p>
      </w:sdtContent>
    </w:sdt>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sdt>
        <w:sdtPr>
          <w:rPr>
            <w:rFonts w:ascii="Palatino Linotype" w:eastAsia="Palatino Linotype" w:hAnsi="Palatino Linotype" w:cs="Palatino Linotype"/>
            <w:sz w:val="22"/>
            <w:szCs w:val="22"/>
            <w:lang w:val="nl-NL"/>
          </w:rPr>
          <w:tag w:val="goog_rdk_2"/>
          <w:id w:val="340824415"/>
        </w:sdtPr>
        <w:sdtContent>
          <w:r w:rsidRPr="00FB6B0B">
            <w:rPr>
              <w:rFonts w:ascii="Palatino Linotype" w:eastAsia="Palatino Linotype" w:hAnsi="Palatino Linotype" w:cs="Palatino Linotype"/>
              <w:sz w:val="22"/>
              <w:szCs w:val="22"/>
              <w:lang w:val="nl-NL"/>
            </w:rPr>
            <w:t>Onderwijs en Onderwijsinspectie;</w:t>
          </w:r>
        </w:sdtContent>
      </w:sdt>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 xml:space="preserve">Journalistieke media; </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Telecommunicatie, waaronder: radiocommunicatie, internet- en datadiensten;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Verkoop en reparatie van computers, telefoons en aanverwante apparatuur;</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Boekhandels en winkels voor kantoorartikelen;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Verkoop van bouwmaterialen;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Posterijen;</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Continuïteit hulpverleningsdiensten:</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Meldkamerprocessen;</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Brandweerzorg;</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Ambulancezorg;</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Crisisbeheersing en rampenbestrijding;</w:t>
      </w:r>
    </w:p>
    <w:p w:rsidR="00FB6B0B" w:rsidRPr="00FB6B0B" w:rsidRDefault="00FB6B0B" w:rsidP="00FB6B0B">
      <w:pPr>
        <w:widowControl/>
        <w:numPr>
          <w:ilvl w:val="0"/>
          <w:numId w:val="30"/>
        </w:numPr>
        <w:ind w:left="851"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 xml:space="preserve">Vitale overheidsprocessen, waaronder: </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Betalingen uitkeringen en pensioenen;</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Burgerzaken en basisadministratie;</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Consulaire dienstverlening;</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Toelating en uitzetting van personen;</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In- en uitklaring van vracht;</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Begrotings- en financieel beheer, belastingheffing, -inning en -controle;</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Inspectiediensten;</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Kinder- en jeugdbescherming;</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Vlaggenstaat;</w:t>
      </w:r>
    </w:p>
    <w:p w:rsidR="00FB6B0B" w:rsidRPr="00FB6B0B" w:rsidRDefault="00FB6B0B" w:rsidP="00FB6B0B">
      <w:pPr>
        <w:widowControl/>
        <w:numPr>
          <w:ilvl w:val="1"/>
          <w:numId w:val="30"/>
        </w:numPr>
        <w:ind w:left="1134" w:hanging="284"/>
        <w:jc w:val="both"/>
        <w:rPr>
          <w:rFonts w:ascii="Palatino Linotype" w:eastAsia="Palatino Linotype" w:hAnsi="Palatino Linotype" w:cs="Palatino Linotype"/>
          <w:sz w:val="22"/>
          <w:szCs w:val="22"/>
          <w:lang w:val="nl-NL"/>
        </w:rPr>
      </w:pPr>
      <w:r w:rsidRPr="00FB6B0B">
        <w:rPr>
          <w:rFonts w:ascii="Palatino Linotype" w:eastAsia="Palatino Linotype" w:hAnsi="Palatino Linotype" w:cs="Palatino Linotype"/>
          <w:sz w:val="22"/>
          <w:szCs w:val="22"/>
          <w:lang w:val="nl-NL"/>
        </w:rPr>
        <w:t>De diensten van het Kadaster en de hypotheekbewaarder.</w:t>
      </w:r>
    </w:p>
    <w:p w:rsidR="00FB6B0B" w:rsidRDefault="00FB6B0B">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rsidR="00FB6B0B" w:rsidRPr="006A5FE6" w:rsidRDefault="00FB6B0B" w:rsidP="00FB6B0B">
      <w:pPr>
        <w:ind w:left="720" w:hanging="360"/>
        <w:rPr>
          <w:rFonts w:ascii="Palatino Linotype" w:hAnsi="Palatino Linotype"/>
        </w:rPr>
      </w:pPr>
    </w:p>
    <w:p w:rsidR="00FB6B0B" w:rsidRDefault="00FB6B0B" w:rsidP="00FB6B0B">
      <w:pPr>
        <w:rPr>
          <w:rFonts w:ascii="Palatino Linotype" w:hAnsi="Palatino Linotype"/>
          <w:lang w:val="nl-NL"/>
        </w:rPr>
      </w:pPr>
      <w:r w:rsidRPr="00F17746">
        <w:rPr>
          <w:rFonts w:ascii="Palatino Linotype" w:hAnsi="Palatino Linotype"/>
          <w:lang w:val="nl-NL"/>
        </w:rPr>
        <w:t xml:space="preserve">BIJLAGE </w:t>
      </w:r>
      <w:r>
        <w:rPr>
          <w:rFonts w:ascii="Palatino Linotype" w:hAnsi="Palatino Linotype"/>
          <w:lang w:val="nl-NL"/>
        </w:rPr>
        <w:t>2</w:t>
      </w:r>
      <w:r w:rsidRPr="00F17746">
        <w:rPr>
          <w:rFonts w:ascii="Palatino Linotype" w:hAnsi="Palatino Linotype"/>
          <w:lang w:val="nl-NL"/>
        </w:rPr>
        <w:t xml:space="preserve"> bij de </w:t>
      </w:r>
      <w:r>
        <w:rPr>
          <w:rFonts w:ascii="Palatino Linotype" w:hAnsi="Palatino Linotype"/>
          <w:lang w:val="nl-NL"/>
        </w:rPr>
        <w:t>Beschikking vrijstelling en ontheffing dagklok COVID-19</w:t>
      </w:r>
    </w:p>
    <w:p w:rsidR="00FB6B0B" w:rsidRDefault="00FB6B0B" w:rsidP="00FB6B0B">
      <w:pPr>
        <w:rPr>
          <w:rFonts w:ascii="Palatino Linotype" w:hAnsi="Palatino Linotype"/>
          <w:lang w:val="nl-NL"/>
        </w:rPr>
      </w:pPr>
    </w:p>
    <w:p w:rsidR="00FB6B0B" w:rsidRDefault="00FB6B0B" w:rsidP="00FB6B0B">
      <w:pPr>
        <w:jc w:val="center"/>
        <w:rPr>
          <w:rFonts w:ascii="Palatino Linotype" w:hAnsi="Palatino Linotype"/>
          <w:lang w:val="nl-NL"/>
        </w:rPr>
      </w:pPr>
      <w:r w:rsidRPr="00206292">
        <w:rPr>
          <w:rFonts w:ascii="Palatino Linotype" w:hAnsi="Palatino Linotype"/>
          <w:lang w:val="nl-NL"/>
        </w:rPr>
        <w:t xml:space="preserve">VERDELING VAN MOTORVOERTUIGEN EN BROMFIETSEN </w:t>
      </w:r>
    </w:p>
    <w:p w:rsidR="00FB6B0B" w:rsidRDefault="00FB6B0B" w:rsidP="00FB6B0B">
      <w:pPr>
        <w:jc w:val="center"/>
        <w:rPr>
          <w:rFonts w:ascii="Palatino Linotype" w:hAnsi="Palatino Linotype"/>
          <w:lang w:val="nl-NL"/>
        </w:rPr>
      </w:pPr>
      <w:r w:rsidRPr="00206292">
        <w:rPr>
          <w:rFonts w:ascii="Palatino Linotype" w:hAnsi="Palatino Linotype"/>
          <w:lang w:val="nl-NL"/>
        </w:rPr>
        <w:t>VOOR GEBRUIK VAN OPENBARE WEG</w:t>
      </w:r>
    </w:p>
    <w:p w:rsidR="00FB6B0B" w:rsidRPr="00206292" w:rsidRDefault="00FB6B0B" w:rsidP="00FB6B0B">
      <w:pPr>
        <w:jc w:val="center"/>
        <w:rPr>
          <w:rFonts w:ascii="Palatino Linotype" w:hAnsi="Palatino Linotype"/>
          <w:lang w:val="nl-NL"/>
        </w:rPr>
      </w:pPr>
      <w:bookmarkStart w:id="2" w:name="_GoBack"/>
      <w:bookmarkEnd w:id="2"/>
    </w:p>
    <w:p w:rsidR="00FB6B0B" w:rsidRPr="004D56CE" w:rsidRDefault="00FB6B0B" w:rsidP="00FB6B0B">
      <w:pPr>
        <w:rPr>
          <w:rFonts w:ascii="Palatino Linotype" w:hAnsi="Palatino Linotype"/>
          <w:lang w:val="nl-NL"/>
        </w:rPr>
      </w:pPr>
    </w:p>
    <w:tbl>
      <w:tblPr>
        <w:tblW w:w="9165" w:type="dxa"/>
        <w:tblLayout w:type="fixed"/>
        <w:tblCellMar>
          <w:left w:w="70" w:type="dxa"/>
          <w:right w:w="70" w:type="dxa"/>
        </w:tblCellMar>
        <w:tblLook w:val="04A0" w:firstRow="1" w:lastRow="0" w:firstColumn="1" w:lastColumn="0" w:noHBand="0" w:noVBand="1"/>
      </w:tblPr>
      <w:tblGrid>
        <w:gridCol w:w="1795"/>
        <w:gridCol w:w="3765"/>
        <w:gridCol w:w="3605"/>
      </w:tblGrid>
      <w:tr w:rsidR="00FB6B0B" w:rsidRPr="004D56CE" w:rsidTr="00E9300D">
        <w:trPr>
          <w:trHeight w:val="708"/>
        </w:trPr>
        <w:tc>
          <w:tcPr>
            <w:tcW w:w="1795" w:type="dxa"/>
            <w:tcBorders>
              <w:top w:val="single" w:sz="12" w:space="0" w:color="auto"/>
              <w:left w:val="single" w:sz="12" w:space="0" w:color="auto"/>
              <w:bottom w:val="single" w:sz="12" w:space="0" w:color="auto"/>
              <w:right w:val="single" w:sz="4" w:space="0" w:color="auto"/>
            </w:tcBorders>
            <w:hideMark/>
          </w:tcPr>
          <w:p w:rsidR="00FB6B0B" w:rsidRPr="004D56CE" w:rsidRDefault="00FB6B0B" w:rsidP="00E9300D">
            <w:pPr>
              <w:rPr>
                <w:rFonts w:ascii="Palatino Linotype" w:hAnsi="Palatino Linotype"/>
                <w:b/>
              </w:rPr>
            </w:pPr>
            <w:r w:rsidRPr="004D56CE">
              <w:rPr>
                <w:rFonts w:ascii="Palatino Linotype" w:hAnsi="Palatino Linotype"/>
                <w:b/>
              </w:rPr>
              <w:t>GROEP</w:t>
            </w:r>
          </w:p>
        </w:tc>
        <w:tc>
          <w:tcPr>
            <w:tcW w:w="3765" w:type="dxa"/>
            <w:tcBorders>
              <w:top w:val="single" w:sz="12" w:space="0" w:color="auto"/>
              <w:left w:val="single" w:sz="4" w:space="0" w:color="auto"/>
              <w:bottom w:val="single" w:sz="12" w:space="0" w:color="auto"/>
              <w:right w:val="single" w:sz="4" w:space="0" w:color="auto"/>
            </w:tcBorders>
            <w:noWrap/>
            <w:hideMark/>
          </w:tcPr>
          <w:p w:rsidR="00FB6B0B" w:rsidRPr="004D56CE" w:rsidRDefault="00FB6B0B" w:rsidP="00E9300D">
            <w:pPr>
              <w:rPr>
                <w:rFonts w:ascii="Palatino Linotype" w:hAnsi="Palatino Linotype"/>
                <w:b/>
              </w:rPr>
            </w:pPr>
            <w:r w:rsidRPr="004D56CE">
              <w:rPr>
                <w:rFonts w:ascii="Palatino Linotype" w:hAnsi="Palatino Linotype"/>
                <w:b/>
              </w:rPr>
              <w:t>TOEGESTANE DAGEN</w:t>
            </w:r>
          </w:p>
        </w:tc>
        <w:tc>
          <w:tcPr>
            <w:tcW w:w="3605" w:type="dxa"/>
            <w:tcBorders>
              <w:top w:val="single" w:sz="12" w:space="0" w:color="auto"/>
              <w:left w:val="nil"/>
              <w:bottom w:val="single" w:sz="12" w:space="0" w:color="auto"/>
              <w:right w:val="single" w:sz="12" w:space="0" w:color="auto"/>
            </w:tcBorders>
            <w:noWrap/>
            <w:hideMark/>
          </w:tcPr>
          <w:p w:rsidR="00FB6B0B" w:rsidRPr="004D56CE" w:rsidRDefault="00FB6B0B" w:rsidP="00E9300D">
            <w:pPr>
              <w:rPr>
                <w:rFonts w:ascii="Palatino Linotype" w:hAnsi="Palatino Linotype"/>
                <w:b/>
                <w:bCs/>
              </w:rPr>
            </w:pPr>
            <w:r w:rsidRPr="004D56CE">
              <w:rPr>
                <w:rFonts w:ascii="Palatino Linotype" w:hAnsi="Palatino Linotype"/>
                <w:b/>
                <w:bCs/>
              </w:rPr>
              <w:t>TOEGESTANE LETTER VAN KENTEKEN</w:t>
            </w:r>
          </w:p>
        </w:tc>
      </w:tr>
      <w:tr w:rsidR="00FB6B0B" w:rsidRPr="00FB6B0B" w:rsidTr="00E9300D">
        <w:trPr>
          <w:trHeight w:val="600"/>
        </w:trPr>
        <w:tc>
          <w:tcPr>
            <w:tcW w:w="1795" w:type="dxa"/>
            <w:tcBorders>
              <w:top w:val="single" w:sz="12" w:space="0" w:color="auto"/>
              <w:left w:val="single" w:sz="4" w:space="0" w:color="auto"/>
              <w:bottom w:val="single" w:sz="4" w:space="0" w:color="auto"/>
              <w:right w:val="single" w:sz="4" w:space="0" w:color="auto"/>
            </w:tcBorders>
            <w:hideMark/>
          </w:tcPr>
          <w:p w:rsidR="00FB6B0B" w:rsidRPr="004D56CE" w:rsidRDefault="00FB6B0B" w:rsidP="00E9300D">
            <w:pPr>
              <w:rPr>
                <w:rFonts w:ascii="Palatino Linotype" w:hAnsi="Palatino Linotype"/>
              </w:rPr>
            </w:pPr>
            <w:r w:rsidRPr="004D56CE">
              <w:rPr>
                <w:rFonts w:ascii="Palatino Linotype" w:hAnsi="Palatino Linotype"/>
              </w:rPr>
              <w:t>1</w:t>
            </w:r>
          </w:p>
        </w:tc>
        <w:tc>
          <w:tcPr>
            <w:tcW w:w="3765" w:type="dxa"/>
            <w:tcBorders>
              <w:top w:val="single" w:sz="12" w:space="0" w:color="auto"/>
              <w:left w:val="single" w:sz="4" w:space="0" w:color="auto"/>
              <w:bottom w:val="single" w:sz="4" w:space="0" w:color="auto"/>
              <w:right w:val="single" w:sz="4" w:space="0" w:color="auto"/>
            </w:tcBorders>
            <w:noWrap/>
            <w:hideMark/>
          </w:tcPr>
          <w:p w:rsidR="00FB6B0B" w:rsidRPr="004D56CE" w:rsidRDefault="00FB6B0B" w:rsidP="00E9300D">
            <w:pPr>
              <w:rPr>
                <w:rFonts w:ascii="Palatino Linotype" w:hAnsi="Palatino Linotype"/>
              </w:rPr>
            </w:pPr>
            <w:r>
              <w:rPr>
                <w:rFonts w:ascii="Palatino Linotype" w:hAnsi="Palatino Linotype"/>
              </w:rPr>
              <w:t>m</w:t>
            </w:r>
            <w:r w:rsidRPr="004D56CE">
              <w:rPr>
                <w:rFonts w:ascii="Palatino Linotype" w:hAnsi="Palatino Linotype"/>
              </w:rPr>
              <w:t>aandag en donderdag</w:t>
            </w:r>
          </w:p>
        </w:tc>
        <w:tc>
          <w:tcPr>
            <w:tcW w:w="3605" w:type="dxa"/>
            <w:tcBorders>
              <w:top w:val="single" w:sz="12" w:space="0" w:color="auto"/>
              <w:left w:val="nil"/>
              <w:bottom w:val="single" w:sz="4" w:space="0" w:color="auto"/>
              <w:right w:val="single" w:sz="4" w:space="0" w:color="auto"/>
            </w:tcBorders>
            <w:noWrap/>
            <w:vAlign w:val="center"/>
            <w:hideMark/>
          </w:tcPr>
          <w:p w:rsidR="00FB6B0B" w:rsidRPr="004D56CE" w:rsidRDefault="00FB6B0B" w:rsidP="00E9300D">
            <w:pPr>
              <w:rPr>
                <w:rFonts w:ascii="Palatino Linotype" w:hAnsi="Palatino Linotype"/>
                <w:lang w:val="nl-NL"/>
              </w:rPr>
            </w:pPr>
            <w:r w:rsidRPr="004D56CE">
              <w:rPr>
                <w:rFonts w:ascii="Palatino Linotype" w:hAnsi="Palatino Linotype"/>
                <w:lang w:val="nl-NL"/>
              </w:rPr>
              <w:t>A-D-F-G-H-K-BF-Z-WA-Speciaal Kenteken</w:t>
            </w:r>
          </w:p>
        </w:tc>
      </w:tr>
      <w:tr w:rsidR="00FB6B0B" w:rsidRPr="004D56CE" w:rsidTr="00E9300D">
        <w:trPr>
          <w:trHeight w:val="255"/>
        </w:trPr>
        <w:tc>
          <w:tcPr>
            <w:tcW w:w="1795" w:type="dxa"/>
            <w:tcBorders>
              <w:top w:val="nil"/>
              <w:left w:val="single" w:sz="4" w:space="0" w:color="auto"/>
              <w:bottom w:val="single" w:sz="4" w:space="0" w:color="auto"/>
              <w:right w:val="single" w:sz="4" w:space="0" w:color="auto"/>
            </w:tcBorders>
            <w:hideMark/>
          </w:tcPr>
          <w:p w:rsidR="00FB6B0B" w:rsidRPr="004D56CE" w:rsidRDefault="00FB6B0B" w:rsidP="00E9300D">
            <w:pPr>
              <w:rPr>
                <w:rFonts w:ascii="Palatino Linotype" w:hAnsi="Palatino Linotype"/>
              </w:rPr>
            </w:pPr>
            <w:r w:rsidRPr="004D56CE">
              <w:rPr>
                <w:rFonts w:ascii="Palatino Linotype" w:hAnsi="Palatino Linotype"/>
              </w:rPr>
              <w:t>2</w:t>
            </w:r>
          </w:p>
        </w:tc>
        <w:tc>
          <w:tcPr>
            <w:tcW w:w="3765" w:type="dxa"/>
            <w:tcBorders>
              <w:top w:val="nil"/>
              <w:left w:val="single" w:sz="4" w:space="0" w:color="auto"/>
              <w:bottom w:val="single" w:sz="4" w:space="0" w:color="auto"/>
              <w:right w:val="single" w:sz="4" w:space="0" w:color="auto"/>
            </w:tcBorders>
            <w:noWrap/>
            <w:hideMark/>
          </w:tcPr>
          <w:p w:rsidR="00FB6B0B" w:rsidRPr="004D56CE" w:rsidRDefault="00FB6B0B" w:rsidP="00E9300D">
            <w:pPr>
              <w:rPr>
                <w:rFonts w:ascii="Palatino Linotype" w:hAnsi="Palatino Linotype"/>
              </w:rPr>
            </w:pPr>
            <w:r>
              <w:rPr>
                <w:rFonts w:ascii="Palatino Linotype" w:hAnsi="Palatino Linotype"/>
              </w:rPr>
              <w:t>d</w:t>
            </w:r>
            <w:r w:rsidRPr="004D56CE">
              <w:rPr>
                <w:rFonts w:ascii="Palatino Linotype" w:hAnsi="Palatino Linotype"/>
              </w:rPr>
              <w:t>insdag en</w:t>
            </w:r>
            <w:r>
              <w:rPr>
                <w:rFonts w:ascii="Palatino Linotype" w:hAnsi="Palatino Linotype"/>
              </w:rPr>
              <w:t xml:space="preserve"> </w:t>
            </w:r>
            <w:r w:rsidRPr="004D56CE">
              <w:rPr>
                <w:rFonts w:ascii="Palatino Linotype" w:hAnsi="Palatino Linotype"/>
              </w:rPr>
              <w:t>vrijdag</w:t>
            </w:r>
          </w:p>
        </w:tc>
        <w:tc>
          <w:tcPr>
            <w:tcW w:w="3605" w:type="dxa"/>
            <w:tcBorders>
              <w:top w:val="nil"/>
              <w:left w:val="nil"/>
              <w:bottom w:val="single" w:sz="4" w:space="0" w:color="auto"/>
              <w:right w:val="single" w:sz="4" w:space="0" w:color="auto"/>
            </w:tcBorders>
            <w:noWrap/>
            <w:vAlign w:val="center"/>
            <w:hideMark/>
          </w:tcPr>
          <w:p w:rsidR="00FB6B0B" w:rsidRPr="004D56CE" w:rsidRDefault="00FB6B0B" w:rsidP="00E9300D">
            <w:pPr>
              <w:rPr>
                <w:rFonts w:ascii="Palatino Linotype" w:hAnsi="Palatino Linotype"/>
              </w:rPr>
            </w:pPr>
            <w:r>
              <w:rPr>
                <w:rFonts w:ascii="Palatino Linotype" w:hAnsi="Palatino Linotype"/>
              </w:rPr>
              <w:t>B-</w:t>
            </w:r>
            <w:r w:rsidRPr="004D56CE">
              <w:rPr>
                <w:rFonts w:ascii="Palatino Linotype" w:hAnsi="Palatino Linotype"/>
              </w:rPr>
              <w:t>J-L-N-R-U-MF</w:t>
            </w:r>
          </w:p>
        </w:tc>
      </w:tr>
      <w:tr w:rsidR="00FB6B0B" w:rsidTr="00E9300D">
        <w:trPr>
          <w:trHeight w:val="255"/>
        </w:trPr>
        <w:tc>
          <w:tcPr>
            <w:tcW w:w="1795" w:type="dxa"/>
            <w:tcBorders>
              <w:top w:val="nil"/>
              <w:left w:val="single" w:sz="4" w:space="0" w:color="auto"/>
              <w:bottom w:val="single" w:sz="4" w:space="0" w:color="auto"/>
              <w:right w:val="single" w:sz="4" w:space="0" w:color="auto"/>
            </w:tcBorders>
            <w:hideMark/>
          </w:tcPr>
          <w:p w:rsidR="00FB6B0B" w:rsidRPr="004D56CE" w:rsidRDefault="00FB6B0B" w:rsidP="00E9300D">
            <w:pPr>
              <w:rPr>
                <w:rFonts w:ascii="Palatino Linotype" w:hAnsi="Palatino Linotype"/>
              </w:rPr>
            </w:pPr>
            <w:r w:rsidRPr="004D56CE">
              <w:rPr>
                <w:rFonts w:ascii="Palatino Linotype" w:hAnsi="Palatino Linotype"/>
              </w:rPr>
              <w:t>3</w:t>
            </w:r>
          </w:p>
        </w:tc>
        <w:tc>
          <w:tcPr>
            <w:tcW w:w="3765" w:type="dxa"/>
            <w:tcBorders>
              <w:top w:val="nil"/>
              <w:left w:val="single" w:sz="4" w:space="0" w:color="auto"/>
              <w:bottom w:val="single" w:sz="4" w:space="0" w:color="auto"/>
              <w:right w:val="single" w:sz="4" w:space="0" w:color="auto"/>
            </w:tcBorders>
            <w:noWrap/>
            <w:hideMark/>
          </w:tcPr>
          <w:p w:rsidR="00FB6B0B" w:rsidRPr="004D56CE" w:rsidRDefault="00FB6B0B" w:rsidP="00E9300D">
            <w:pPr>
              <w:rPr>
                <w:rFonts w:ascii="Palatino Linotype" w:hAnsi="Palatino Linotype"/>
              </w:rPr>
            </w:pPr>
            <w:r>
              <w:rPr>
                <w:rFonts w:ascii="Palatino Linotype" w:hAnsi="Palatino Linotype"/>
              </w:rPr>
              <w:t>w</w:t>
            </w:r>
            <w:r w:rsidRPr="004D56CE">
              <w:rPr>
                <w:rFonts w:ascii="Palatino Linotype" w:hAnsi="Palatino Linotype"/>
              </w:rPr>
              <w:t>oensdag en zaterdag</w:t>
            </w:r>
          </w:p>
        </w:tc>
        <w:tc>
          <w:tcPr>
            <w:tcW w:w="3605" w:type="dxa"/>
            <w:tcBorders>
              <w:top w:val="nil"/>
              <w:left w:val="nil"/>
              <w:bottom w:val="single" w:sz="4" w:space="0" w:color="auto"/>
              <w:right w:val="single" w:sz="4" w:space="0" w:color="auto"/>
            </w:tcBorders>
            <w:noWrap/>
            <w:vAlign w:val="center"/>
            <w:hideMark/>
          </w:tcPr>
          <w:p w:rsidR="00FB6B0B" w:rsidRPr="004D56CE" w:rsidRDefault="00FB6B0B" w:rsidP="00E9300D">
            <w:pPr>
              <w:rPr>
                <w:rFonts w:ascii="Palatino Linotype" w:hAnsi="Palatino Linotype"/>
              </w:rPr>
            </w:pPr>
            <w:r w:rsidRPr="004D56CE">
              <w:rPr>
                <w:rFonts w:ascii="Palatino Linotype" w:hAnsi="Palatino Linotype"/>
              </w:rPr>
              <w:t>S-T-V-X-Y</w:t>
            </w:r>
          </w:p>
        </w:tc>
      </w:tr>
    </w:tbl>
    <w:p w:rsidR="00FB6B0B" w:rsidRPr="00206292" w:rsidRDefault="00FB6B0B" w:rsidP="00FB6B0B">
      <w:pPr>
        <w:rPr>
          <w:rFonts w:ascii="Palatino Linotype" w:hAnsi="Palatino Linotype"/>
          <w:lang w:val="nl-NL"/>
        </w:rPr>
      </w:pPr>
    </w:p>
    <w:p w:rsidR="00E65B06" w:rsidRPr="00F541BD" w:rsidRDefault="00E65B06" w:rsidP="00FB6B0B">
      <w:pPr>
        <w:widowControl/>
        <w:jc w:val="both"/>
        <w:rPr>
          <w:rFonts w:ascii="Palatino Linotype" w:eastAsia="Palatino Linotype" w:hAnsi="Palatino Linotype" w:cs="Palatino Linotype"/>
          <w:b/>
          <w:sz w:val="22"/>
          <w:lang w:val="nl-NL"/>
        </w:rPr>
      </w:pPr>
    </w:p>
    <w:sectPr w:rsidR="00E65B06" w:rsidRPr="00F541BD" w:rsidSect="00C55A5E">
      <w:headerReference w:type="even" r:id="rId9"/>
      <w:headerReference w:type="default" r:id="rId10"/>
      <w:endnotePr>
        <w:numFmt w:val="decimal"/>
      </w:endnotePr>
      <w:type w:val="continuous"/>
      <w:pgSz w:w="11906" w:h="16838"/>
      <w:pgMar w:top="1440" w:right="1440" w:bottom="1440" w:left="1440" w:header="1440" w:footer="9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4D" w:rsidRDefault="0039024D">
      <w:pPr>
        <w:spacing w:line="20" w:lineRule="exact"/>
      </w:pPr>
    </w:p>
  </w:endnote>
  <w:endnote w:type="continuationSeparator" w:id="0">
    <w:p w:rsidR="0039024D" w:rsidRDefault="0039024D">
      <w:r>
        <w:t xml:space="preserve"> </w:t>
      </w:r>
    </w:p>
  </w:endnote>
  <w:endnote w:type="continuationNotice" w:id="1">
    <w:p w:rsidR="0039024D" w:rsidRDefault="003902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4D" w:rsidRDefault="0039024D">
      <w:r>
        <w:separator/>
      </w:r>
    </w:p>
  </w:footnote>
  <w:footnote w:type="continuationSeparator" w:id="0">
    <w:p w:rsidR="0039024D" w:rsidRDefault="0039024D">
      <w:r>
        <w:continuationSeparator/>
      </w:r>
    </w:p>
  </w:footnote>
  <w:footnote w:id="1">
    <w:p w:rsidR="00F541BD" w:rsidRPr="00FB6B0B" w:rsidRDefault="00F541BD">
      <w:pPr>
        <w:pStyle w:val="FootnoteText"/>
        <w:rPr>
          <w:rFonts w:ascii="Palatino Linotype" w:hAnsi="Palatino Linotype"/>
          <w:sz w:val="18"/>
          <w:szCs w:val="18"/>
          <w:lang w:val="nl-NL"/>
        </w:rPr>
      </w:pPr>
      <w:r w:rsidRPr="00FB6B0B">
        <w:rPr>
          <w:rStyle w:val="FootnoteReference"/>
          <w:rFonts w:ascii="Palatino Linotype" w:hAnsi="Palatino Linotype"/>
          <w:sz w:val="18"/>
          <w:szCs w:val="18"/>
        </w:rPr>
        <w:footnoteRef/>
      </w:r>
      <w:r w:rsidRPr="00FB6B0B">
        <w:rPr>
          <w:rFonts w:ascii="Palatino Linotype" w:hAnsi="Palatino Linotype"/>
          <w:sz w:val="18"/>
          <w:szCs w:val="18"/>
          <w:lang w:val="nl-NL"/>
        </w:rPr>
        <w:t xml:space="preserve"> P.B. 2021, no. 27, zoals laatstelijk gewijzigd bij P.B. 2021, no. </w:t>
      </w:r>
      <w:r w:rsidR="00165BB7" w:rsidRPr="00FB6B0B">
        <w:rPr>
          <w:rFonts w:ascii="Palatino Linotype" w:hAnsi="Palatino Linotype"/>
          <w:sz w:val="18"/>
          <w:szCs w:val="18"/>
          <w:lang w:val="nl-NL"/>
        </w:rPr>
        <w:t>3</w:t>
      </w:r>
      <w:r w:rsidR="00FB6B0B" w:rsidRPr="00FB6B0B">
        <w:rPr>
          <w:rFonts w:ascii="Palatino Linotype" w:hAnsi="Palatino Linotype"/>
          <w:sz w:val="18"/>
          <w:szCs w:val="18"/>
          <w:lang w:val="nl-NL"/>
        </w:rPr>
        <w:t>8</w:t>
      </w:r>
      <w:r w:rsidRPr="00FB6B0B">
        <w:rPr>
          <w:rFonts w:ascii="Palatino Linotype" w:hAnsi="Palatino Linotype"/>
          <w:sz w:val="18"/>
          <w:szCs w:val="18"/>
          <w:lang w:val="nl-NL"/>
        </w:rPr>
        <w:t>.</w:t>
      </w:r>
    </w:p>
  </w:footnote>
  <w:footnote w:id="2">
    <w:p w:rsidR="00FB6B0B" w:rsidRPr="00FB6B0B" w:rsidRDefault="00FB6B0B" w:rsidP="00FB6B0B">
      <w:pPr>
        <w:pBdr>
          <w:top w:val="nil"/>
          <w:left w:val="nil"/>
          <w:bottom w:val="nil"/>
          <w:right w:val="nil"/>
          <w:between w:val="nil"/>
        </w:pBdr>
        <w:rPr>
          <w:rFonts w:ascii="Palatino Linotype" w:hAnsi="Palatino Linotype"/>
          <w:color w:val="000000"/>
          <w:sz w:val="18"/>
          <w:szCs w:val="18"/>
        </w:rPr>
      </w:pPr>
      <w:r w:rsidRPr="00FB6B0B">
        <w:rPr>
          <w:rStyle w:val="FootnoteReference"/>
          <w:rFonts w:ascii="Palatino Linotype" w:hAnsi="Palatino Linotype"/>
          <w:sz w:val="18"/>
          <w:szCs w:val="18"/>
        </w:rPr>
        <w:footnoteRef/>
      </w:r>
      <w:r w:rsidRPr="00FB6B0B">
        <w:rPr>
          <w:rFonts w:ascii="Palatino Linotype" w:hAnsi="Palatino Linotype"/>
          <w:color w:val="000000"/>
          <w:sz w:val="18"/>
          <w:szCs w:val="18"/>
        </w:rPr>
        <w:t xml:space="preserve"> P.B. 2020, no.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BE" w:rsidRDefault="00001CBE" w:rsidP="00001CBE">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65D2D856" wp14:editId="64C241F8">
              <wp:simplePos x="0" y="0"/>
              <wp:positionH relativeFrom="page">
                <wp:posOffset>822960</wp:posOffset>
              </wp:positionH>
              <wp:positionV relativeFrom="paragraph">
                <wp:posOffset>0</wp:posOffset>
              </wp:positionV>
              <wp:extent cx="5914390" cy="152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6B0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D856" id="Rectangle 2" o:spid="_x0000_s1026" style="position:absolute;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6n4AIAAF4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" o:allowincell="f" filled="f" stroked="f" strokeweight="0">
              <v:textbox inset="0,0,0,0">
                <w:txbxContent>
                  <w:p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6B0B">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B6B0B">
      <w:rPr>
        <w:rFonts w:ascii="Times New Roman" w:hAnsi="Times New Roman"/>
        <w:b/>
        <w:spacing w:val="-4"/>
        <w:sz w:val="36"/>
      </w:rPr>
      <w:t>40</w:t>
    </w:r>
  </w:p>
  <w:p w:rsidR="00001CBE" w:rsidRDefault="00001CBE" w:rsidP="00001CBE">
    <w:pPr>
      <w:tabs>
        <w:tab w:val="right" w:pos="9313"/>
      </w:tabs>
      <w:suppressAutoHyphens/>
      <w:jc w:val="both"/>
      <w:rPr>
        <w:rFonts w:ascii="Times New Roman" w:hAnsi="Times New Roman"/>
        <w:spacing w:val="-3"/>
      </w:rPr>
    </w:pPr>
  </w:p>
  <w:p w:rsidR="00022D76" w:rsidRPr="00001CBE" w:rsidRDefault="00022D76" w:rsidP="00001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6B0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B6B0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B6B0B">
      <w:rPr>
        <w:rFonts w:ascii="Times New Roman" w:hAnsi="Times New Roman"/>
        <w:b/>
        <w:spacing w:val="-4"/>
        <w:sz w:val="36"/>
      </w:rPr>
      <w:tab/>
      <w:t>40</w:t>
    </w:r>
  </w:p>
  <w:p w:rsidR="00022D76" w:rsidRDefault="00022D76">
    <w:pPr>
      <w:tabs>
        <w:tab w:val="right" w:pos="9313"/>
      </w:tabs>
      <w:suppressAutoHyphens/>
      <w:jc w:val="both"/>
      <w:rPr>
        <w:rFonts w:ascii="Times New Roman" w:hAnsi="Times New Roman"/>
        <w:spacing w:val="-3"/>
      </w:rPr>
    </w:pPr>
  </w:p>
  <w:p w:rsidR="00001CBE" w:rsidRDefault="00001CBE">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9F5"/>
    <w:multiLevelType w:val="multilevel"/>
    <w:tmpl w:val="C8F63B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20FE7983"/>
    <w:multiLevelType w:val="multilevel"/>
    <w:tmpl w:val="F100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A8F5833"/>
    <w:multiLevelType w:val="multilevel"/>
    <w:tmpl w:val="DB9EC1E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2C5E5CA6"/>
    <w:multiLevelType w:val="multilevel"/>
    <w:tmpl w:val="31AE44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1DF7AA3"/>
    <w:multiLevelType w:val="multilevel"/>
    <w:tmpl w:val="3E84A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8F42AE6"/>
    <w:multiLevelType w:val="multilevel"/>
    <w:tmpl w:val="D94E0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BBB3501"/>
    <w:multiLevelType w:val="multilevel"/>
    <w:tmpl w:val="3E5014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8E6831"/>
    <w:multiLevelType w:val="multilevel"/>
    <w:tmpl w:val="B7FAA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A2445"/>
    <w:multiLevelType w:val="multilevel"/>
    <w:tmpl w:val="67382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7D2653D"/>
    <w:multiLevelType w:val="multilevel"/>
    <w:tmpl w:val="6050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5C2BD1"/>
    <w:multiLevelType w:val="multilevel"/>
    <w:tmpl w:val="41A23336"/>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5ED31796"/>
    <w:multiLevelType w:val="multilevel"/>
    <w:tmpl w:val="0AF812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D638BC"/>
    <w:multiLevelType w:val="multilevel"/>
    <w:tmpl w:val="A308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B12D04"/>
    <w:multiLevelType w:val="multilevel"/>
    <w:tmpl w:val="57BC5B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342072"/>
    <w:multiLevelType w:val="multilevel"/>
    <w:tmpl w:val="F5F44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A7D0ACA"/>
    <w:multiLevelType w:val="multilevel"/>
    <w:tmpl w:val="112400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6BD9243B"/>
    <w:multiLevelType w:val="multilevel"/>
    <w:tmpl w:val="4CA0ED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6C652366"/>
    <w:multiLevelType w:val="multilevel"/>
    <w:tmpl w:val="88FEF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FB2C33"/>
    <w:multiLevelType w:val="multilevel"/>
    <w:tmpl w:val="D190FC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FE72051"/>
    <w:multiLevelType w:val="multilevel"/>
    <w:tmpl w:val="E800F3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0"/>
  </w:num>
  <w:num w:numId="4">
    <w:abstractNumId w:val="9"/>
  </w:num>
  <w:num w:numId="5">
    <w:abstractNumId w:val="28"/>
  </w:num>
  <w:num w:numId="6">
    <w:abstractNumId w:val="15"/>
  </w:num>
  <w:num w:numId="7">
    <w:abstractNumId w:val="6"/>
  </w:num>
  <w:num w:numId="8">
    <w:abstractNumId w:val="3"/>
  </w:num>
  <w:num w:numId="9">
    <w:abstractNumId w:val="13"/>
  </w:num>
  <w:num w:numId="10">
    <w:abstractNumId w:val="1"/>
  </w:num>
  <w:num w:numId="11">
    <w:abstractNumId w:val="11"/>
  </w:num>
  <w:num w:numId="12">
    <w:abstractNumId w:val="21"/>
  </w:num>
  <w:num w:numId="13">
    <w:abstractNumId w:val="2"/>
  </w:num>
  <w:num w:numId="14">
    <w:abstractNumId w:val="5"/>
  </w:num>
  <w:num w:numId="15">
    <w:abstractNumId w:val="12"/>
  </w:num>
  <w:num w:numId="16">
    <w:abstractNumId w:val="4"/>
  </w:num>
  <w:num w:numId="17">
    <w:abstractNumId w:val="17"/>
  </w:num>
  <w:num w:numId="18">
    <w:abstractNumId w:val="7"/>
  </w:num>
  <w:num w:numId="19">
    <w:abstractNumId w:val="18"/>
  </w:num>
  <w:num w:numId="20">
    <w:abstractNumId w:val="26"/>
  </w:num>
  <w:num w:numId="21">
    <w:abstractNumId w:val="29"/>
  </w:num>
  <w:num w:numId="22">
    <w:abstractNumId w:val="25"/>
  </w:num>
  <w:num w:numId="23">
    <w:abstractNumId w:val="27"/>
  </w:num>
  <w:num w:numId="24">
    <w:abstractNumId w:val="14"/>
  </w:num>
  <w:num w:numId="25">
    <w:abstractNumId w:val="23"/>
  </w:num>
  <w:num w:numId="26">
    <w:abstractNumId w:val="20"/>
  </w:num>
  <w:num w:numId="27">
    <w:abstractNumId w:val="24"/>
  </w:num>
  <w:num w:numId="28">
    <w:abstractNumId w:val="19"/>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01CBE"/>
    <w:rsid w:val="0001282E"/>
    <w:rsid w:val="00022D76"/>
    <w:rsid w:val="00023DB3"/>
    <w:rsid w:val="000254C1"/>
    <w:rsid w:val="00027BDF"/>
    <w:rsid w:val="00064039"/>
    <w:rsid w:val="000829F9"/>
    <w:rsid w:val="000A0DBD"/>
    <w:rsid w:val="000D2F17"/>
    <w:rsid w:val="0014186C"/>
    <w:rsid w:val="00144015"/>
    <w:rsid w:val="00165BB7"/>
    <w:rsid w:val="00173FBA"/>
    <w:rsid w:val="0019239D"/>
    <w:rsid w:val="001A7D22"/>
    <w:rsid w:val="001C27B0"/>
    <w:rsid w:val="001C384D"/>
    <w:rsid w:val="001D525D"/>
    <w:rsid w:val="001F380F"/>
    <w:rsid w:val="00213227"/>
    <w:rsid w:val="00282C3F"/>
    <w:rsid w:val="00285014"/>
    <w:rsid w:val="002B27B9"/>
    <w:rsid w:val="002F0CFE"/>
    <w:rsid w:val="00331A7B"/>
    <w:rsid w:val="00334EF0"/>
    <w:rsid w:val="0033612A"/>
    <w:rsid w:val="0034631A"/>
    <w:rsid w:val="0039024D"/>
    <w:rsid w:val="00390EC1"/>
    <w:rsid w:val="003B694F"/>
    <w:rsid w:val="003C30EB"/>
    <w:rsid w:val="003D1497"/>
    <w:rsid w:val="003D25AC"/>
    <w:rsid w:val="003E6FF3"/>
    <w:rsid w:val="004E29EE"/>
    <w:rsid w:val="004E2C9C"/>
    <w:rsid w:val="004E799B"/>
    <w:rsid w:val="00582403"/>
    <w:rsid w:val="00593143"/>
    <w:rsid w:val="00597307"/>
    <w:rsid w:val="005B7EA9"/>
    <w:rsid w:val="005D0989"/>
    <w:rsid w:val="005D39A3"/>
    <w:rsid w:val="005E5E9B"/>
    <w:rsid w:val="00606AC3"/>
    <w:rsid w:val="006147F1"/>
    <w:rsid w:val="006169E6"/>
    <w:rsid w:val="00625B19"/>
    <w:rsid w:val="006725E6"/>
    <w:rsid w:val="006B4862"/>
    <w:rsid w:val="006C19FE"/>
    <w:rsid w:val="006D521C"/>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404AE"/>
    <w:rsid w:val="00B41F4D"/>
    <w:rsid w:val="00B42035"/>
    <w:rsid w:val="00B73573"/>
    <w:rsid w:val="00B747D5"/>
    <w:rsid w:val="00B84E49"/>
    <w:rsid w:val="00B920FE"/>
    <w:rsid w:val="00BE36FD"/>
    <w:rsid w:val="00BF3E97"/>
    <w:rsid w:val="00C00533"/>
    <w:rsid w:val="00C037EF"/>
    <w:rsid w:val="00C5096D"/>
    <w:rsid w:val="00C55A5E"/>
    <w:rsid w:val="00C63D67"/>
    <w:rsid w:val="00CB1556"/>
    <w:rsid w:val="00CC6CA3"/>
    <w:rsid w:val="00CE18CE"/>
    <w:rsid w:val="00CE27F3"/>
    <w:rsid w:val="00CE5C4F"/>
    <w:rsid w:val="00D03575"/>
    <w:rsid w:val="00D03A15"/>
    <w:rsid w:val="00D16FF1"/>
    <w:rsid w:val="00D50DA5"/>
    <w:rsid w:val="00D67282"/>
    <w:rsid w:val="00D95F17"/>
    <w:rsid w:val="00DC4B4C"/>
    <w:rsid w:val="00E31541"/>
    <w:rsid w:val="00E42D6B"/>
    <w:rsid w:val="00E65B06"/>
    <w:rsid w:val="00E93D23"/>
    <w:rsid w:val="00EA7559"/>
    <w:rsid w:val="00ED69A7"/>
    <w:rsid w:val="00EE4787"/>
    <w:rsid w:val="00EE4FD2"/>
    <w:rsid w:val="00F541BD"/>
    <w:rsid w:val="00F81906"/>
    <w:rsid w:val="00F87233"/>
    <w:rsid w:val="00FB136B"/>
    <w:rsid w:val="00FB6B0B"/>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 w:type="character" w:styleId="Hyperlink">
    <w:name w:val="Hyperlink"/>
    <w:basedOn w:val="DefaultParagraphFont"/>
    <w:rsid w:val="00FB6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D260-C9FD-4305-8F88-51CD5CE7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2021-04-02T16:38:00Z</cp:lastPrinted>
  <dcterms:created xsi:type="dcterms:W3CDTF">2021-04-21T03:37:00Z</dcterms:created>
  <dcterms:modified xsi:type="dcterms:W3CDTF">2021-04-21T03:37:00Z</dcterms:modified>
</cp:coreProperties>
</file>