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E2436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507065" w:rsidRPr="00F842BA">
        <w:rPr>
          <w:b/>
          <w:sz w:val="36"/>
          <w:szCs w:val="36"/>
          <w:lang w:val="nl-NL"/>
        </w:rPr>
        <w:t>55</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507065" w:rsidRPr="00507065" w:rsidRDefault="00507065" w:rsidP="001453BA">
      <w:pPr>
        <w:widowControl/>
        <w:spacing w:after="240"/>
        <w:jc w:val="both"/>
        <w:rPr>
          <w:rFonts w:ascii="Times New Roman" w:hAnsi="Times New Roman"/>
          <w:b/>
          <w:snapToGrid/>
          <w:szCs w:val="24"/>
          <w:lang w:val="nl-NL"/>
        </w:rPr>
      </w:pPr>
      <w:r w:rsidRPr="00507065">
        <w:rPr>
          <w:rFonts w:ascii="Times New Roman" w:hAnsi="Times New Roman"/>
          <w:b/>
          <w:snapToGrid/>
          <w:szCs w:val="24"/>
          <w:lang w:val="nl-NL"/>
        </w:rPr>
        <w:t xml:space="preserve">MINISTERIËLE REGELING MET ALGEMENE WERKING, van de </w:t>
      </w:r>
      <w:r w:rsidR="001453BA">
        <w:rPr>
          <w:rFonts w:ascii="Times New Roman" w:hAnsi="Times New Roman"/>
          <w:b/>
          <w:snapToGrid/>
          <w:szCs w:val="24"/>
          <w:lang w:val="nl-NL"/>
        </w:rPr>
        <w:t>7</w:t>
      </w:r>
      <w:r w:rsidRPr="00507065">
        <w:rPr>
          <w:rFonts w:ascii="Times New Roman" w:hAnsi="Times New Roman"/>
          <w:b/>
          <w:snapToGrid/>
          <w:szCs w:val="24"/>
          <w:vertAlign w:val="superscript"/>
          <w:lang w:val="nl-NL"/>
        </w:rPr>
        <w:t>de</w:t>
      </w:r>
      <w:r w:rsidRPr="00507065">
        <w:rPr>
          <w:rFonts w:ascii="Times New Roman" w:hAnsi="Times New Roman"/>
          <w:b/>
          <w:snapToGrid/>
          <w:szCs w:val="24"/>
          <w:lang w:val="nl-NL"/>
        </w:rPr>
        <w:t xml:space="preserve"> juni 2023</w:t>
      </w:r>
      <w:r>
        <w:rPr>
          <w:rFonts w:ascii="Times New Roman" w:hAnsi="Times New Roman"/>
          <w:snapToGrid/>
          <w:szCs w:val="24"/>
          <w:lang w:val="nl-NL"/>
        </w:rPr>
        <w:t xml:space="preserve"> </w:t>
      </w:r>
      <w:r w:rsidRPr="00507065">
        <w:rPr>
          <w:rFonts w:ascii="Times New Roman" w:hAnsi="Times New Roman"/>
          <w:b/>
          <w:snapToGrid/>
          <w:szCs w:val="24"/>
          <w:lang w:val="nl-NL"/>
        </w:rPr>
        <w:t>ter uitvoering van artikel 4, zesde lid, van de Landsverordening normering topinkomens Curaçao</w:t>
      </w:r>
      <w:r w:rsidRPr="00507065">
        <w:rPr>
          <w:rFonts w:ascii="Times New Roman" w:hAnsi="Times New Roman"/>
          <w:b/>
          <w:snapToGrid/>
          <w:szCs w:val="24"/>
          <w:vertAlign w:val="superscript"/>
          <w:lang w:val="nl-NL"/>
        </w:rPr>
        <w:footnoteReference w:id="1"/>
      </w:r>
      <w:r w:rsidRPr="00507065">
        <w:rPr>
          <w:rFonts w:ascii="Times New Roman" w:hAnsi="Times New Roman"/>
          <w:b/>
          <w:snapToGrid/>
          <w:szCs w:val="24"/>
          <w:lang w:val="nl-NL"/>
        </w:rPr>
        <w:t xml:space="preserve">  (Regeling nieuwe bedragen normering topinkomens)</w:t>
      </w:r>
    </w:p>
    <w:p w:rsidR="00C83870" w:rsidRPr="00C83870" w:rsidRDefault="00F842BA" w:rsidP="00A23576">
      <w:pPr>
        <w:widowControl/>
        <w:spacing w:after="160"/>
        <w:jc w:val="center"/>
        <w:rPr>
          <w:rFonts w:ascii="Times New Roman" w:hAnsi="Times New Roman"/>
          <w:snapToGrid/>
          <w:szCs w:val="24"/>
          <w:lang w:val="nl-NL"/>
        </w:rPr>
      </w:pPr>
      <w:r>
        <w:rPr>
          <w:rFonts w:ascii="Times New Roman" w:hAnsi="Times New Roman"/>
          <w:snapToGrid/>
          <w:szCs w:val="24"/>
          <w:lang w:val="nl-NL"/>
        </w:rPr>
        <w:t>____________</w:t>
      </w:r>
      <w:bookmarkStart w:id="0" w:name="_GoBack"/>
      <w:bookmarkEnd w:id="0"/>
    </w:p>
    <w:p w:rsidR="00F842BA" w:rsidRDefault="00E44991" w:rsidP="00F842BA">
      <w:pPr>
        <w:widowControl/>
        <w:jc w:val="center"/>
        <w:rPr>
          <w:rFonts w:ascii="Palatino Linotype" w:hAnsi="Palatino Linotype"/>
          <w:szCs w:val="24"/>
          <w:lang w:val="nl-NL"/>
        </w:rPr>
      </w:pPr>
      <w:r w:rsidRPr="00C83870">
        <w:rPr>
          <w:rFonts w:ascii="Times New Roman" w:hAnsi="Times New Roman"/>
          <w:snapToGrid/>
          <w:szCs w:val="24"/>
          <w:lang w:val="nl-NL"/>
        </w:rPr>
        <w:t xml:space="preserve">De </w:t>
      </w:r>
      <w:r>
        <w:rPr>
          <w:rFonts w:ascii="Times New Roman" w:hAnsi="Times New Roman"/>
          <w:snapToGrid/>
          <w:szCs w:val="24"/>
          <w:lang w:val="nl-NL"/>
        </w:rPr>
        <w:t>M</w:t>
      </w:r>
      <w:r w:rsidRPr="00C83870">
        <w:rPr>
          <w:rFonts w:ascii="Times New Roman" w:hAnsi="Times New Roman"/>
          <w:snapToGrid/>
          <w:szCs w:val="24"/>
          <w:lang w:val="nl-NL"/>
        </w:rPr>
        <w:t xml:space="preserve">inister van </w:t>
      </w:r>
      <w:r w:rsidR="00507065" w:rsidRPr="00F842BA">
        <w:rPr>
          <w:rFonts w:ascii="Palatino Linotype" w:hAnsi="Palatino Linotype"/>
          <w:szCs w:val="24"/>
          <w:lang w:val="nl-NL"/>
        </w:rPr>
        <w:t>Financiën</w:t>
      </w:r>
      <w:r w:rsidR="00F842BA">
        <w:rPr>
          <w:rFonts w:ascii="Palatino Linotype" w:hAnsi="Palatino Linotype"/>
          <w:szCs w:val="24"/>
          <w:lang w:val="nl-NL"/>
        </w:rPr>
        <w:t xml:space="preserve"> </w:t>
      </w:r>
    </w:p>
    <w:p w:rsidR="00507065" w:rsidRPr="00F842BA" w:rsidRDefault="00507065" w:rsidP="00F842BA">
      <w:pPr>
        <w:widowControl/>
        <w:jc w:val="center"/>
        <w:rPr>
          <w:rFonts w:ascii="Palatino Linotype" w:hAnsi="Palatino Linotype"/>
          <w:szCs w:val="24"/>
          <w:lang w:val="nl-NL"/>
        </w:rPr>
      </w:pPr>
      <w:r w:rsidRPr="00F842BA">
        <w:rPr>
          <w:rFonts w:ascii="Palatino Linotype" w:hAnsi="Palatino Linotype"/>
          <w:szCs w:val="24"/>
          <w:lang w:val="nl-NL"/>
        </w:rPr>
        <w:t>in overeenstemming met de Minister van Algemene Zaken,</w:t>
      </w:r>
    </w:p>
    <w:p w:rsidR="00507065" w:rsidRPr="00F842BA" w:rsidRDefault="00507065" w:rsidP="00507065">
      <w:pPr>
        <w:rPr>
          <w:rFonts w:ascii="Palatino Linotype" w:hAnsi="Palatino Linotype"/>
          <w:sz w:val="22"/>
          <w:szCs w:val="22"/>
          <w:lang w:val="nl-NL"/>
        </w:rPr>
      </w:pPr>
    </w:p>
    <w:p w:rsidR="00507065" w:rsidRPr="00507065" w:rsidRDefault="00507065" w:rsidP="00507065">
      <w:pPr>
        <w:widowControl/>
        <w:tabs>
          <w:tab w:val="left" w:pos="567"/>
        </w:tabs>
        <w:ind w:left="567" w:hanging="567"/>
        <w:rPr>
          <w:rFonts w:ascii="Palatino Linotype" w:hAnsi="Palatino Linotype"/>
          <w:snapToGrid/>
          <w:sz w:val="22"/>
          <w:szCs w:val="22"/>
          <w:lang w:val="nl-NL"/>
        </w:rPr>
      </w:pPr>
      <w:r w:rsidRPr="00507065">
        <w:rPr>
          <w:rFonts w:ascii="Palatino Linotype" w:hAnsi="Palatino Linotype"/>
          <w:snapToGrid/>
          <w:sz w:val="22"/>
          <w:szCs w:val="22"/>
          <w:lang w:val="nl-NL"/>
        </w:rPr>
        <w:t>Overwegende:</w:t>
      </w:r>
    </w:p>
    <w:p w:rsidR="00507065" w:rsidRPr="00507065" w:rsidRDefault="00507065" w:rsidP="00507065">
      <w:pPr>
        <w:widowControl/>
        <w:rPr>
          <w:rFonts w:ascii="Palatino Linotype" w:hAnsi="Palatino Linotype"/>
          <w:snapToGrid/>
          <w:sz w:val="22"/>
          <w:szCs w:val="22"/>
          <w:lang w:val="nl-NL"/>
        </w:rPr>
      </w:pPr>
    </w:p>
    <w:p w:rsidR="00507065" w:rsidRPr="00507065" w:rsidRDefault="00507065" w:rsidP="00507065">
      <w:pPr>
        <w:keepNext/>
        <w:widowControl/>
        <w:jc w:val="both"/>
        <w:outlineLvl w:val="0"/>
        <w:rPr>
          <w:rFonts w:ascii="Palatino Linotype" w:hAnsi="Palatino Linotype"/>
          <w:snapToGrid/>
          <w:sz w:val="22"/>
          <w:szCs w:val="22"/>
          <w:lang w:val="nl-NL"/>
        </w:rPr>
      </w:pPr>
      <w:r w:rsidRPr="00507065">
        <w:rPr>
          <w:rFonts w:ascii="Palatino Linotype" w:hAnsi="Palatino Linotype"/>
          <w:snapToGrid/>
          <w:sz w:val="22"/>
          <w:szCs w:val="22"/>
          <w:lang w:val="nl-NL"/>
        </w:rPr>
        <w:t>dat vanwege de totstandkoming van het Landsbesluit van</w:t>
      </w:r>
      <w:r w:rsidRPr="00507065">
        <w:rPr>
          <w:rFonts w:ascii="Palatino Linotype" w:hAnsi="Palatino Linotype"/>
          <w:sz w:val="22"/>
          <w:szCs w:val="22"/>
          <w:lang w:val="nl-NL"/>
        </w:rPr>
        <w:t xml:space="preserve"> de 28</w:t>
      </w:r>
      <w:r w:rsidRPr="00507065">
        <w:rPr>
          <w:rFonts w:ascii="Palatino Linotype" w:hAnsi="Palatino Linotype"/>
          <w:sz w:val="22"/>
          <w:szCs w:val="22"/>
          <w:vertAlign w:val="superscript"/>
          <w:lang w:val="nl-NL"/>
        </w:rPr>
        <w:t xml:space="preserve">ste </w:t>
      </w:r>
      <w:r w:rsidRPr="00507065">
        <w:rPr>
          <w:rFonts w:ascii="Palatino Linotype" w:hAnsi="Palatino Linotype"/>
          <w:sz w:val="22"/>
          <w:szCs w:val="22"/>
          <w:lang w:val="nl-NL"/>
        </w:rPr>
        <w:t>december 2022, no. 22/2377, houdende vervallenverklaring van artikel 54 van de Landsverordening geldelijke voorzieningen ministers</w:t>
      </w:r>
      <w:r w:rsidRPr="00507065">
        <w:rPr>
          <w:rFonts w:ascii="Palatino Linotype" w:hAnsi="Palatino Linotype"/>
          <w:snapToGrid/>
          <w:sz w:val="22"/>
          <w:szCs w:val="22"/>
          <w:vertAlign w:val="superscript"/>
          <w:lang w:val="nl-NL"/>
        </w:rPr>
        <w:footnoteReference w:id="2"/>
      </w:r>
      <w:r w:rsidRPr="00507065">
        <w:rPr>
          <w:rFonts w:ascii="Palatino Linotype" w:hAnsi="Palatino Linotype"/>
          <w:snapToGrid/>
          <w:sz w:val="22"/>
          <w:szCs w:val="22"/>
          <w:lang w:val="nl-NL"/>
        </w:rPr>
        <w:t xml:space="preserve"> het noodzakelijk is om de  bedragen, genoemd in de artikelen 1, onderdeel i, 4, eerste lid, en 5, eerste lid, van de Landsverordening normering topinkomens Curaçao, bij ministeriële regeling met algemene werking opnieuw vast te stellen;</w:t>
      </w:r>
    </w:p>
    <w:p w:rsidR="00507065" w:rsidRPr="00507065" w:rsidRDefault="00507065" w:rsidP="00507065">
      <w:pPr>
        <w:widowControl/>
        <w:autoSpaceDE w:val="0"/>
        <w:autoSpaceDN w:val="0"/>
        <w:adjustRightInd w:val="0"/>
        <w:jc w:val="both"/>
        <w:rPr>
          <w:rFonts w:ascii="Palatino Linotype" w:hAnsi="Palatino Linotype" w:cs="Palatino Linotype"/>
          <w:snapToGrid/>
          <w:color w:val="000000"/>
          <w:sz w:val="22"/>
          <w:szCs w:val="22"/>
          <w:lang w:val="nl-NL"/>
        </w:rPr>
      </w:pPr>
    </w:p>
    <w:p w:rsidR="00507065" w:rsidRPr="00507065" w:rsidRDefault="00507065" w:rsidP="00507065">
      <w:pPr>
        <w:widowControl/>
        <w:rPr>
          <w:rFonts w:ascii="Palatino Linotype" w:hAnsi="Palatino Linotype"/>
          <w:snapToGrid/>
          <w:sz w:val="22"/>
          <w:szCs w:val="22"/>
          <w:lang w:val="nl-NL"/>
        </w:rPr>
      </w:pPr>
    </w:p>
    <w:p w:rsidR="00507065" w:rsidRPr="00507065" w:rsidRDefault="00507065" w:rsidP="00507065">
      <w:pPr>
        <w:widowControl/>
        <w:jc w:val="both"/>
        <w:rPr>
          <w:rFonts w:ascii="Palatino Linotype" w:hAnsi="Palatino Linotype"/>
          <w:snapToGrid/>
          <w:sz w:val="22"/>
          <w:szCs w:val="22"/>
          <w:lang w:val="nl-NL"/>
        </w:rPr>
      </w:pPr>
      <w:r w:rsidRPr="00507065">
        <w:rPr>
          <w:rFonts w:ascii="Palatino Linotype" w:hAnsi="Palatino Linotype"/>
          <w:snapToGrid/>
          <w:sz w:val="22"/>
          <w:szCs w:val="22"/>
          <w:lang w:val="nl-NL"/>
        </w:rPr>
        <w:t>Gelet op artikel 4, zesde lid, van de Landsverordening normering topinkomens Curaçao;</w:t>
      </w: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center"/>
        <w:rPr>
          <w:rFonts w:ascii="Palatino Linotype" w:hAnsi="Palatino Linotype"/>
          <w:snapToGrid/>
          <w:sz w:val="22"/>
          <w:szCs w:val="22"/>
          <w:lang w:val="nl-NL"/>
        </w:rPr>
      </w:pPr>
      <w:r w:rsidRPr="00507065">
        <w:rPr>
          <w:rFonts w:ascii="Palatino Linotype" w:hAnsi="Palatino Linotype"/>
          <w:snapToGrid/>
          <w:sz w:val="22"/>
          <w:szCs w:val="22"/>
          <w:lang w:val="nl-NL"/>
        </w:rPr>
        <w:t>Heeft besloten:</w:t>
      </w: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center"/>
        <w:rPr>
          <w:rFonts w:ascii="Palatino Linotype" w:hAnsi="Palatino Linotype"/>
          <w:snapToGrid/>
          <w:sz w:val="22"/>
          <w:szCs w:val="22"/>
          <w:lang w:val="nl-NL"/>
        </w:rPr>
      </w:pPr>
      <w:r w:rsidRPr="00507065">
        <w:rPr>
          <w:rFonts w:ascii="Palatino Linotype" w:hAnsi="Palatino Linotype"/>
          <w:snapToGrid/>
          <w:sz w:val="22"/>
          <w:szCs w:val="22"/>
          <w:lang w:val="nl-NL"/>
        </w:rPr>
        <w:t>Artikel 1</w:t>
      </w: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both"/>
        <w:rPr>
          <w:rFonts w:ascii="Palatino Linotype" w:hAnsi="Palatino Linotype"/>
          <w:snapToGrid/>
          <w:sz w:val="22"/>
          <w:szCs w:val="22"/>
          <w:lang w:val="nl-NL"/>
        </w:rPr>
      </w:pPr>
      <w:r w:rsidRPr="00507065">
        <w:rPr>
          <w:rFonts w:ascii="Palatino Linotype" w:hAnsi="Palatino Linotype"/>
          <w:snapToGrid/>
          <w:sz w:val="22"/>
          <w:szCs w:val="22"/>
          <w:lang w:val="nl-NL"/>
        </w:rPr>
        <w:t xml:space="preserve">De beloning betaalbaar op termijn, genoemd in artikel 1, eerste lid, onderdeel i, van de Landsverordening normering topinkomens Curaçao, bedraagt: </w:t>
      </w:r>
      <w:proofErr w:type="spellStart"/>
      <w:r w:rsidRPr="00507065">
        <w:rPr>
          <w:rFonts w:ascii="Palatino Linotype" w:hAnsi="Palatino Linotype"/>
          <w:snapToGrid/>
          <w:sz w:val="22"/>
          <w:szCs w:val="22"/>
          <w:lang w:val="nl-NL"/>
        </w:rPr>
        <w:t>NAf</w:t>
      </w:r>
      <w:proofErr w:type="spellEnd"/>
      <w:r w:rsidRPr="00507065">
        <w:rPr>
          <w:rFonts w:ascii="Palatino Linotype" w:hAnsi="Palatino Linotype"/>
          <w:snapToGrid/>
          <w:sz w:val="22"/>
          <w:szCs w:val="22"/>
          <w:lang w:val="nl-NL"/>
        </w:rPr>
        <w:t xml:space="preserve"> 30.000,-.</w:t>
      </w:r>
    </w:p>
    <w:p w:rsidR="00507065" w:rsidRPr="00507065" w:rsidRDefault="00507065" w:rsidP="00507065">
      <w:pPr>
        <w:widowControl/>
        <w:jc w:val="center"/>
        <w:rPr>
          <w:rFonts w:ascii="Palatino Linotype" w:hAnsi="Palatino Linotype"/>
          <w:snapToGrid/>
          <w:sz w:val="22"/>
          <w:szCs w:val="22"/>
          <w:lang w:val="nl-NL"/>
        </w:rPr>
      </w:pPr>
    </w:p>
    <w:p w:rsidR="00507065" w:rsidRPr="00507065" w:rsidRDefault="00507065" w:rsidP="00507065">
      <w:pPr>
        <w:widowControl/>
        <w:jc w:val="center"/>
        <w:rPr>
          <w:rFonts w:ascii="Palatino Linotype" w:hAnsi="Palatino Linotype"/>
          <w:snapToGrid/>
          <w:sz w:val="22"/>
          <w:szCs w:val="22"/>
          <w:lang w:val="nl-NL"/>
        </w:rPr>
      </w:pPr>
      <w:r w:rsidRPr="00507065">
        <w:rPr>
          <w:rFonts w:ascii="Palatino Linotype" w:hAnsi="Palatino Linotype"/>
          <w:snapToGrid/>
          <w:sz w:val="22"/>
          <w:szCs w:val="22"/>
          <w:lang w:val="nl-NL"/>
        </w:rPr>
        <w:t>Artikel 2</w:t>
      </w:r>
    </w:p>
    <w:p w:rsidR="00507065" w:rsidRPr="00507065" w:rsidRDefault="00507065" w:rsidP="00507065">
      <w:pPr>
        <w:widowControl/>
        <w:jc w:val="center"/>
        <w:rPr>
          <w:rFonts w:ascii="Palatino Linotype" w:hAnsi="Palatino Linotype"/>
          <w:snapToGrid/>
          <w:sz w:val="22"/>
          <w:szCs w:val="22"/>
          <w:lang w:val="nl-NL"/>
        </w:rPr>
      </w:pPr>
    </w:p>
    <w:p w:rsidR="00507065" w:rsidRPr="00507065" w:rsidRDefault="00507065" w:rsidP="00507065">
      <w:pPr>
        <w:widowControl/>
        <w:tabs>
          <w:tab w:val="right" w:leader="dot" w:pos="-1728"/>
          <w:tab w:val="left" w:pos="360"/>
        </w:tabs>
        <w:snapToGrid w:val="0"/>
        <w:spacing w:line="320" w:lineRule="exact"/>
        <w:jc w:val="both"/>
        <w:rPr>
          <w:rFonts w:ascii="Palatino Linotype" w:hAnsi="Palatino Linotype"/>
          <w:snapToGrid/>
          <w:sz w:val="22"/>
          <w:szCs w:val="22"/>
          <w:lang w:val="nl-NL"/>
        </w:rPr>
      </w:pPr>
      <w:r w:rsidRPr="00507065">
        <w:rPr>
          <w:rFonts w:ascii="Palatino Linotype" w:hAnsi="Palatino Linotype"/>
          <w:snapToGrid/>
          <w:sz w:val="22"/>
          <w:szCs w:val="22"/>
          <w:lang w:val="nl-NL"/>
        </w:rPr>
        <w:t xml:space="preserve">De bezoldiging van een topfunctionaris, genoemd in artikel 4, eerste lid, van de Landsverordening normering topinkomens Curaçao, bedraagt per kalenderjaar ten hoogste </w:t>
      </w:r>
      <w:proofErr w:type="spellStart"/>
      <w:r w:rsidRPr="00507065">
        <w:rPr>
          <w:rFonts w:ascii="Palatino Linotype" w:hAnsi="Palatino Linotype"/>
          <w:snapToGrid/>
          <w:sz w:val="22"/>
          <w:szCs w:val="22"/>
          <w:lang w:val="nl-NL"/>
        </w:rPr>
        <w:t>NAf</w:t>
      </w:r>
      <w:proofErr w:type="spellEnd"/>
      <w:r w:rsidRPr="00507065">
        <w:rPr>
          <w:rFonts w:ascii="Palatino Linotype" w:hAnsi="Palatino Linotype"/>
          <w:snapToGrid/>
          <w:sz w:val="22"/>
          <w:szCs w:val="22"/>
          <w:lang w:val="nl-NL"/>
        </w:rPr>
        <w:t xml:space="preserve"> 386.000,- bij een grote vennootschap, respectievelijk </w:t>
      </w:r>
      <w:proofErr w:type="spellStart"/>
      <w:r w:rsidRPr="00507065">
        <w:rPr>
          <w:rFonts w:ascii="Palatino Linotype" w:hAnsi="Palatino Linotype"/>
          <w:snapToGrid/>
          <w:sz w:val="22"/>
          <w:szCs w:val="22"/>
          <w:lang w:val="nl-NL"/>
        </w:rPr>
        <w:t>NAf</w:t>
      </w:r>
      <w:proofErr w:type="spellEnd"/>
      <w:r w:rsidRPr="00507065">
        <w:rPr>
          <w:rFonts w:ascii="Palatino Linotype" w:hAnsi="Palatino Linotype"/>
          <w:snapToGrid/>
          <w:sz w:val="22"/>
          <w:szCs w:val="22"/>
          <w:lang w:val="nl-NL"/>
        </w:rPr>
        <w:t xml:space="preserve"> 297.000,- bij een niet-grote vennootschap.</w:t>
      </w:r>
    </w:p>
    <w:p w:rsidR="00507065" w:rsidRPr="00507065" w:rsidRDefault="00507065" w:rsidP="00507065">
      <w:pPr>
        <w:widowControl/>
        <w:jc w:val="both"/>
        <w:rPr>
          <w:rFonts w:ascii="Palatino Linotype" w:hAnsi="Palatino Linotype"/>
          <w:snapToGrid/>
          <w:sz w:val="22"/>
          <w:szCs w:val="22"/>
          <w:lang w:val="nl-NL"/>
        </w:rPr>
      </w:pPr>
    </w:p>
    <w:p w:rsidR="00507065" w:rsidRDefault="00507065" w:rsidP="00507065">
      <w:pPr>
        <w:widowControl/>
        <w:jc w:val="center"/>
        <w:rPr>
          <w:rFonts w:ascii="Palatino Linotype" w:hAnsi="Palatino Linotype"/>
          <w:snapToGrid/>
          <w:sz w:val="22"/>
          <w:szCs w:val="22"/>
          <w:lang w:val="nl-NL"/>
        </w:rPr>
      </w:pPr>
    </w:p>
    <w:p w:rsidR="0022623B" w:rsidRDefault="0022623B" w:rsidP="00507065">
      <w:pPr>
        <w:widowControl/>
        <w:jc w:val="center"/>
        <w:rPr>
          <w:rFonts w:ascii="Palatino Linotype" w:hAnsi="Palatino Linotype"/>
          <w:snapToGrid/>
          <w:sz w:val="22"/>
          <w:szCs w:val="22"/>
          <w:lang w:val="nl-NL"/>
        </w:rPr>
      </w:pPr>
    </w:p>
    <w:p w:rsidR="0022623B" w:rsidRDefault="0022623B" w:rsidP="00507065">
      <w:pPr>
        <w:widowControl/>
        <w:jc w:val="center"/>
        <w:rPr>
          <w:rFonts w:ascii="Palatino Linotype" w:hAnsi="Palatino Linotype"/>
          <w:snapToGrid/>
          <w:sz w:val="22"/>
          <w:szCs w:val="22"/>
          <w:lang w:val="nl-NL"/>
        </w:rPr>
      </w:pPr>
    </w:p>
    <w:p w:rsidR="00507065" w:rsidRPr="00507065" w:rsidRDefault="00507065" w:rsidP="00507065">
      <w:pPr>
        <w:widowControl/>
        <w:jc w:val="center"/>
        <w:rPr>
          <w:rFonts w:ascii="Palatino Linotype" w:hAnsi="Palatino Linotype"/>
          <w:snapToGrid/>
          <w:sz w:val="22"/>
          <w:szCs w:val="22"/>
          <w:lang w:val="nl-NL"/>
        </w:rPr>
      </w:pPr>
      <w:r w:rsidRPr="00507065">
        <w:rPr>
          <w:rFonts w:ascii="Palatino Linotype" w:hAnsi="Palatino Linotype"/>
          <w:snapToGrid/>
          <w:sz w:val="22"/>
          <w:szCs w:val="22"/>
          <w:lang w:val="nl-NL"/>
        </w:rPr>
        <w:lastRenderedPageBreak/>
        <w:t>Artikel 3</w:t>
      </w:r>
    </w:p>
    <w:p w:rsidR="00507065" w:rsidRPr="00507065" w:rsidRDefault="00507065" w:rsidP="00507065">
      <w:pPr>
        <w:widowControl/>
        <w:rPr>
          <w:rFonts w:ascii="Palatino Linotype" w:hAnsi="Palatino Linotype"/>
          <w:snapToGrid/>
          <w:sz w:val="22"/>
          <w:szCs w:val="22"/>
          <w:lang w:val="nl-NL"/>
        </w:rPr>
      </w:pPr>
    </w:p>
    <w:p w:rsidR="00507065" w:rsidRPr="00507065" w:rsidRDefault="00507065" w:rsidP="00507065">
      <w:pPr>
        <w:widowControl/>
        <w:jc w:val="both"/>
        <w:rPr>
          <w:rFonts w:ascii="Palatino Linotype" w:hAnsi="Palatino Linotype"/>
          <w:snapToGrid/>
          <w:sz w:val="22"/>
          <w:szCs w:val="22"/>
          <w:lang w:val="nl-NL"/>
        </w:rPr>
      </w:pPr>
      <w:r w:rsidRPr="00507065">
        <w:rPr>
          <w:rFonts w:ascii="Palatino Linotype" w:hAnsi="Palatino Linotype"/>
          <w:snapToGrid/>
          <w:sz w:val="22"/>
          <w:szCs w:val="22"/>
          <w:lang w:val="nl-NL"/>
        </w:rPr>
        <w:t xml:space="preserve">De uitkeringen wegens beëindiging van het dienstverband, genoemd in artikel 5, eerste lid, van de Landsverordening normering topinkomens Curaçao, bedraagt ten hoogste </w:t>
      </w:r>
      <w:proofErr w:type="spellStart"/>
      <w:r w:rsidRPr="00507065">
        <w:rPr>
          <w:rFonts w:ascii="Palatino Linotype" w:hAnsi="Palatino Linotype"/>
          <w:snapToGrid/>
          <w:sz w:val="22"/>
          <w:szCs w:val="22"/>
          <w:lang w:val="nl-NL"/>
        </w:rPr>
        <w:t>NAf</w:t>
      </w:r>
      <w:proofErr w:type="spellEnd"/>
      <w:r w:rsidRPr="00507065">
        <w:rPr>
          <w:rFonts w:ascii="Palatino Linotype" w:hAnsi="Palatino Linotype"/>
          <w:snapToGrid/>
          <w:sz w:val="22"/>
          <w:szCs w:val="22"/>
          <w:lang w:val="nl-NL"/>
        </w:rPr>
        <w:t xml:space="preserve"> 129.000,-  bij een grote vennootschap, respectievelijk </w:t>
      </w:r>
      <w:proofErr w:type="spellStart"/>
      <w:r w:rsidRPr="00507065">
        <w:rPr>
          <w:rFonts w:ascii="Palatino Linotype" w:hAnsi="Palatino Linotype"/>
          <w:snapToGrid/>
          <w:sz w:val="22"/>
          <w:szCs w:val="22"/>
          <w:lang w:val="nl-NL"/>
        </w:rPr>
        <w:t>NAf</w:t>
      </w:r>
      <w:proofErr w:type="spellEnd"/>
      <w:r w:rsidRPr="00507065">
        <w:rPr>
          <w:rFonts w:ascii="Palatino Linotype" w:hAnsi="Palatino Linotype"/>
          <w:snapToGrid/>
          <w:sz w:val="22"/>
          <w:szCs w:val="22"/>
          <w:lang w:val="nl-NL"/>
        </w:rPr>
        <w:t xml:space="preserve"> 100.000,- bij een niet-grote vennootschap. </w:t>
      </w: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center"/>
        <w:rPr>
          <w:rFonts w:ascii="Palatino Linotype" w:hAnsi="Palatino Linotype"/>
          <w:snapToGrid/>
          <w:sz w:val="22"/>
          <w:szCs w:val="22"/>
          <w:lang w:val="nl-NL"/>
        </w:rPr>
      </w:pPr>
      <w:r w:rsidRPr="00507065">
        <w:rPr>
          <w:rFonts w:ascii="Palatino Linotype" w:hAnsi="Palatino Linotype"/>
          <w:snapToGrid/>
          <w:sz w:val="22"/>
          <w:szCs w:val="22"/>
          <w:lang w:val="nl-NL"/>
        </w:rPr>
        <w:t>Artikel 4</w:t>
      </w: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both"/>
        <w:rPr>
          <w:rFonts w:ascii="Palatino Linotype" w:hAnsi="Palatino Linotype"/>
          <w:snapToGrid/>
          <w:sz w:val="22"/>
          <w:szCs w:val="22"/>
          <w:lang w:val="nl-NL"/>
        </w:rPr>
      </w:pPr>
      <w:r w:rsidRPr="00507065">
        <w:rPr>
          <w:rFonts w:ascii="Palatino Linotype" w:hAnsi="Palatino Linotype"/>
          <w:snapToGrid/>
          <w:sz w:val="22"/>
          <w:szCs w:val="22"/>
          <w:lang w:val="nl-NL"/>
        </w:rPr>
        <w:t xml:space="preserve">Deze regeling treedt in werking met ingang van </w:t>
      </w:r>
      <w:r w:rsidRPr="00507065">
        <w:rPr>
          <w:rFonts w:ascii="Palatino Linotype" w:hAnsi="Palatino Linotype"/>
          <w:snapToGrid/>
          <w:sz w:val="22"/>
          <w:lang w:val="nl-NL"/>
        </w:rPr>
        <w:t>30 juni 2023.</w:t>
      </w: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center"/>
        <w:rPr>
          <w:rFonts w:ascii="Palatino Linotype" w:hAnsi="Palatino Linotype"/>
          <w:snapToGrid/>
          <w:sz w:val="22"/>
          <w:szCs w:val="22"/>
          <w:lang w:val="nl-NL"/>
        </w:rPr>
      </w:pPr>
      <w:r w:rsidRPr="00507065">
        <w:rPr>
          <w:rFonts w:ascii="Palatino Linotype" w:hAnsi="Palatino Linotype"/>
          <w:snapToGrid/>
          <w:sz w:val="22"/>
          <w:szCs w:val="22"/>
          <w:lang w:val="nl-NL"/>
        </w:rPr>
        <w:t>Artikel 5</w:t>
      </w:r>
    </w:p>
    <w:p w:rsidR="00507065" w:rsidRPr="00507065" w:rsidRDefault="00507065" w:rsidP="00507065">
      <w:pPr>
        <w:widowControl/>
        <w:tabs>
          <w:tab w:val="left" w:pos="284"/>
        </w:tabs>
        <w:ind w:left="284" w:hanging="284"/>
        <w:rPr>
          <w:rFonts w:ascii="Palatino Linotype" w:hAnsi="Palatino Linotype"/>
          <w:snapToGrid/>
          <w:sz w:val="22"/>
          <w:szCs w:val="22"/>
          <w:lang w:val="nl-NL"/>
        </w:rPr>
      </w:pPr>
    </w:p>
    <w:p w:rsidR="00507065" w:rsidRPr="00507065" w:rsidRDefault="00507065" w:rsidP="00507065">
      <w:pPr>
        <w:widowControl/>
        <w:tabs>
          <w:tab w:val="left" w:pos="0"/>
        </w:tabs>
        <w:jc w:val="both"/>
        <w:rPr>
          <w:rFonts w:ascii="Palatino Linotype" w:hAnsi="Palatino Linotype"/>
          <w:snapToGrid/>
          <w:sz w:val="22"/>
          <w:szCs w:val="22"/>
          <w:lang w:val="nl-NL"/>
        </w:rPr>
      </w:pPr>
      <w:r w:rsidRPr="00507065">
        <w:rPr>
          <w:rFonts w:ascii="Palatino Linotype" w:hAnsi="Palatino Linotype"/>
          <w:snapToGrid/>
          <w:sz w:val="22"/>
          <w:szCs w:val="22"/>
          <w:lang w:val="nl-NL"/>
        </w:rPr>
        <w:t>Deze regeling wordt aangehaald als: Regeling nieuwe bedragen normering topinkomens.</w:t>
      </w: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jc w:val="both"/>
        <w:rPr>
          <w:rFonts w:ascii="Palatino Linotype" w:hAnsi="Palatino Linotype"/>
          <w:snapToGrid/>
          <w:sz w:val="22"/>
          <w:szCs w:val="22"/>
          <w:lang w:val="nl-NL"/>
        </w:rPr>
      </w:pPr>
    </w:p>
    <w:p w:rsidR="00507065" w:rsidRPr="00507065" w:rsidRDefault="00507065" w:rsidP="00507065">
      <w:pPr>
        <w:widowControl/>
        <w:autoSpaceDE w:val="0"/>
        <w:autoSpaceDN w:val="0"/>
        <w:adjustRightInd w:val="0"/>
        <w:ind w:left="5040" w:firstLine="63"/>
        <w:rPr>
          <w:rFonts w:ascii="Palatino Linotype" w:hAnsi="Palatino Linotype" w:cs="Palatino Linotype"/>
          <w:snapToGrid/>
          <w:color w:val="000000"/>
          <w:sz w:val="22"/>
          <w:szCs w:val="22"/>
          <w:lang w:val="nl-NL"/>
        </w:rPr>
      </w:pPr>
      <w:r w:rsidRPr="00507065">
        <w:rPr>
          <w:rFonts w:ascii="Palatino Linotype" w:hAnsi="Palatino Linotype" w:cs="Palatino Linotype"/>
          <w:snapToGrid/>
          <w:color w:val="000000"/>
          <w:sz w:val="22"/>
          <w:szCs w:val="22"/>
          <w:lang w:val="nl-NL"/>
        </w:rPr>
        <w:t>De Minister van Financiën,</w:t>
      </w:r>
    </w:p>
    <w:p w:rsidR="00A23576" w:rsidRPr="009C210F" w:rsidRDefault="00A23576" w:rsidP="001453BA">
      <w:pPr>
        <w:pStyle w:val="BodyText"/>
        <w:spacing w:line="296" w:lineRule="exact"/>
        <w:ind w:left="5130" w:right="1660"/>
        <w:jc w:val="center"/>
        <w:rPr>
          <w:lang w:val="nl-NL"/>
        </w:rPr>
      </w:pPr>
      <w:r w:rsidRPr="009C210F">
        <w:rPr>
          <w:lang w:val="nl-NL"/>
        </w:rPr>
        <w:t>J.F.A. SILVANIA</w:t>
      </w:r>
    </w:p>
    <w:p w:rsidR="00E1592D" w:rsidRDefault="00E1592D" w:rsidP="00507065">
      <w:pPr>
        <w:widowControl/>
        <w:autoSpaceDE w:val="0"/>
        <w:autoSpaceDN w:val="0"/>
        <w:adjustRightInd w:val="0"/>
        <w:ind w:left="5040" w:firstLine="63"/>
        <w:rPr>
          <w:rFonts w:ascii="Palatino Linotype" w:hAnsi="Palatino Linotype" w:cs="Palatino Linotype"/>
          <w:snapToGrid/>
          <w:color w:val="000000"/>
          <w:sz w:val="22"/>
          <w:szCs w:val="22"/>
          <w:lang w:val="nl-NL"/>
        </w:rPr>
      </w:pPr>
    </w:p>
    <w:p w:rsidR="00E1592D" w:rsidRDefault="00E1592D" w:rsidP="00507065">
      <w:pPr>
        <w:widowControl/>
        <w:autoSpaceDE w:val="0"/>
        <w:autoSpaceDN w:val="0"/>
        <w:adjustRightInd w:val="0"/>
        <w:ind w:left="5040" w:firstLine="63"/>
        <w:rPr>
          <w:rFonts w:ascii="Palatino Linotype" w:hAnsi="Palatino Linotype" w:cs="Palatino Linotype"/>
          <w:snapToGrid/>
          <w:color w:val="000000"/>
          <w:sz w:val="22"/>
          <w:szCs w:val="22"/>
          <w:lang w:val="nl-NL"/>
        </w:rPr>
      </w:pPr>
    </w:p>
    <w:p w:rsidR="00507065" w:rsidRPr="00507065" w:rsidRDefault="00507065" w:rsidP="00507065">
      <w:pPr>
        <w:widowControl/>
        <w:autoSpaceDE w:val="0"/>
        <w:autoSpaceDN w:val="0"/>
        <w:adjustRightInd w:val="0"/>
        <w:ind w:left="5040" w:firstLine="63"/>
        <w:rPr>
          <w:rFonts w:ascii="Palatino Linotype" w:hAnsi="Palatino Linotype" w:cs="Palatino Linotype"/>
          <w:snapToGrid/>
          <w:color w:val="000000"/>
          <w:sz w:val="22"/>
          <w:szCs w:val="22"/>
          <w:lang w:val="nl-NL"/>
        </w:rPr>
      </w:pPr>
      <w:r w:rsidRPr="00507065">
        <w:rPr>
          <w:rFonts w:ascii="Palatino Linotype" w:hAnsi="Palatino Linotype" w:cs="Palatino Linotype"/>
          <w:snapToGrid/>
          <w:color w:val="000000"/>
          <w:sz w:val="22"/>
          <w:szCs w:val="22"/>
          <w:lang w:val="nl-NL"/>
        </w:rPr>
        <w:t xml:space="preserve">De Minister van Algemene Zaken, </w:t>
      </w:r>
    </w:p>
    <w:p w:rsidR="00507065" w:rsidRPr="00507065" w:rsidRDefault="00A23576" w:rsidP="00A23576">
      <w:pPr>
        <w:widowControl/>
        <w:ind w:left="5103" w:right="850"/>
        <w:jc w:val="center"/>
        <w:rPr>
          <w:rFonts w:ascii="Palatino Linotype" w:hAnsi="Palatino Linotype"/>
          <w:snapToGrid/>
          <w:sz w:val="22"/>
          <w:szCs w:val="22"/>
          <w:lang w:val="nl-NL"/>
        </w:rPr>
      </w:pPr>
      <w:r w:rsidRPr="00E1592D">
        <w:rPr>
          <w:rFonts w:ascii="Palatino Linotype" w:eastAsia="Palatino Linotype" w:hAnsi="Palatino Linotype" w:cs="Palatino Linotype"/>
          <w:snapToGrid/>
          <w:sz w:val="22"/>
          <w:szCs w:val="22"/>
          <w:lang w:val="nl-NL"/>
        </w:rPr>
        <w:t>G.S. PISAS</w:t>
      </w:r>
    </w:p>
    <w:p w:rsidR="00507065" w:rsidRPr="00507065" w:rsidRDefault="00507065" w:rsidP="00507065">
      <w:pPr>
        <w:widowControl/>
        <w:ind w:left="5103"/>
        <w:rPr>
          <w:rFonts w:ascii="Palatino Linotype" w:hAnsi="Palatino Linotype"/>
          <w:snapToGrid/>
          <w:sz w:val="22"/>
          <w:szCs w:val="22"/>
          <w:lang w:val="nl-NL"/>
        </w:rPr>
      </w:pPr>
    </w:p>
    <w:p w:rsidR="00507065" w:rsidRPr="00507065" w:rsidRDefault="00507065" w:rsidP="00507065">
      <w:pPr>
        <w:widowControl/>
        <w:ind w:left="5103"/>
        <w:rPr>
          <w:rFonts w:ascii="Palatino Linotype" w:hAnsi="Palatino Linotype"/>
          <w:snapToGrid/>
          <w:sz w:val="22"/>
          <w:szCs w:val="22"/>
          <w:lang w:val="nl-NL"/>
        </w:rPr>
      </w:pPr>
    </w:p>
    <w:p w:rsidR="00507065" w:rsidRPr="00507065" w:rsidRDefault="00507065" w:rsidP="00507065">
      <w:pPr>
        <w:widowControl/>
        <w:ind w:left="5103"/>
        <w:rPr>
          <w:rFonts w:ascii="Palatino Linotype" w:hAnsi="Palatino Linotype"/>
          <w:snapToGrid/>
          <w:sz w:val="22"/>
          <w:szCs w:val="22"/>
          <w:lang w:val="nl-NL"/>
        </w:rPr>
      </w:pPr>
      <w:r w:rsidRPr="00507065">
        <w:rPr>
          <w:rFonts w:ascii="Palatino Linotype" w:hAnsi="Palatino Linotype"/>
          <w:snapToGrid/>
          <w:sz w:val="22"/>
          <w:szCs w:val="22"/>
          <w:lang w:val="nl-NL"/>
        </w:rPr>
        <w:t>Uitgegeven</w:t>
      </w:r>
      <w:r w:rsidRPr="00507065">
        <w:rPr>
          <w:rFonts w:ascii="Palatino Linotype" w:hAnsi="Palatino Linotype"/>
          <w:snapToGrid/>
          <w:sz w:val="22"/>
          <w:lang w:val="nl-NL"/>
        </w:rPr>
        <w:t xml:space="preserve"> </w:t>
      </w:r>
      <w:r w:rsidR="00E1592D">
        <w:rPr>
          <w:rFonts w:ascii="Palatino Linotype" w:hAnsi="Palatino Linotype"/>
          <w:snapToGrid/>
          <w:sz w:val="22"/>
          <w:lang w:val="nl-NL"/>
        </w:rPr>
        <w:t>de 9</w:t>
      </w:r>
      <w:r w:rsidR="00E1592D" w:rsidRPr="00E1592D">
        <w:rPr>
          <w:rFonts w:ascii="Palatino Linotype" w:hAnsi="Palatino Linotype"/>
          <w:snapToGrid/>
          <w:sz w:val="22"/>
          <w:vertAlign w:val="superscript"/>
          <w:lang w:val="nl-NL"/>
        </w:rPr>
        <w:t>de</w:t>
      </w:r>
      <w:r w:rsidR="00E1592D">
        <w:rPr>
          <w:rFonts w:ascii="Palatino Linotype" w:hAnsi="Palatino Linotype"/>
          <w:snapToGrid/>
          <w:sz w:val="22"/>
          <w:lang w:val="nl-NL"/>
        </w:rPr>
        <w:t xml:space="preserve"> juni</w:t>
      </w:r>
      <w:r w:rsidR="00A23576">
        <w:rPr>
          <w:rFonts w:ascii="Palatino Linotype" w:hAnsi="Palatino Linotype"/>
          <w:snapToGrid/>
          <w:sz w:val="22"/>
          <w:lang w:val="nl-NL"/>
        </w:rPr>
        <w:t xml:space="preserve"> </w:t>
      </w:r>
      <w:r w:rsidR="00E1592D">
        <w:rPr>
          <w:rFonts w:ascii="Palatino Linotype" w:hAnsi="Palatino Linotype"/>
          <w:snapToGrid/>
          <w:sz w:val="22"/>
          <w:lang w:val="nl-NL"/>
        </w:rPr>
        <w:t>2023</w:t>
      </w:r>
    </w:p>
    <w:p w:rsidR="00507065" w:rsidRPr="00507065" w:rsidRDefault="00507065" w:rsidP="00507065">
      <w:pPr>
        <w:widowControl/>
        <w:ind w:left="5103"/>
        <w:rPr>
          <w:rFonts w:ascii="Palatino Linotype" w:hAnsi="Palatino Linotype"/>
          <w:snapToGrid/>
          <w:sz w:val="22"/>
          <w:szCs w:val="22"/>
          <w:lang w:val="nl-NL"/>
        </w:rPr>
      </w:pPr>
      <w:r w:rsidRPr="00507065">
        <w:rPr>
          <w:rFonts w:ascii="Palatino Linotype" w:hAnsi="Palatino Linotype"/>
          <w:snapToGrid/>
          <w:sz w:val="22"/>
          <w:szCs w:val="22"/>
          <w:lang w:val="nl-NL"/>
        </w:rPr>
        <w:t xml:space="preserve">De Minister van Algemene Zaken, </w:t>
      </w:r>
    </w:p>
    <w:p w:rsidR="00E1592D" w:rsidRPr="00E1592D" w:rsidRDefault="00E1592D" w:rsidP="00A23576">
      <w:pPr>
        <w:autoSpaceDE w:val="0"/>
        <w:autoSpaceDN w:val="0"/>
        <w:ind w:left="5130" w:right="850"/>
        <w:jc w:val="center"/>
        <w:rPr>
          <w:rFonts w:ascii="Palatino Linotype" w:eastAsia="Palatino Linotype" w:hAnsi="Palatino Linotype" w:cs="Palatino Linotype"/>
          <w:snapToGrid/>
          <w:sz w:val="22"/>
          <w:szCs w:val="22"/>
          <w:lang w:val="nl-NL"/>
        </w:rPr>
      </w:pPr>
      <w:r w:rsidRPr="00E1592D">
        <w:rPr>
          <w:rFonts w:ascii="Palatino Linotype" w:eastAsia="Palatino Linotype" w:hAnsi="Palatino Linotype" w:cs="Palatino Linotype"/>
          <w:snapToGrid/>
          <w:sz w:val="22"/>
          <w:szCs w:val="22"/>
          <w:lang w:val="nl-NL"/>
        </w:rPr>
        <w:t>G.S. PISAS</w:t>
      </w:r>
    </w:p>
    <w:p w:rsidR="00E1592D" w:rsidRDefault="00E1592D" w:rsidP="00E1592D">
      <w:pPr>
        <w:jc w:val="center"/>
        <w:rPr>
          <w:rFonts w:ascii="Palatino Linotype" w:hAnsi="Palatino Linotype"/>
          <w:snapToGrid/>
          <w:sz w:val="22"/>
          <w:szCs w:val="22"/>
          <w:lang w:val="nl-NL"/>
        </w:rPr>
      </w:pPr>
    </w:p>
    <w:p w:rsidR="00C83870" w:rsidRPr="00F842BA" w:rsidRDefault="00C83870"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p w:rsidR="001453BA" w:rsidRDefault="001453BA">
      <w:pPr>
        <w:widowControl/>
        <w:rPr>
          <w:rFonts w:ascii="Palatino Linotype" w:hAnsi="Palatino Linotype"/>
          <w:b/>
          <w:bCs/>
          <w:sz w:val="22"/>
          <w:szCs w:val="22"/>
          <w:lang w:val="nl-NL"/>
        </w:rPr>
      </w:pPr>
      <w:r>
        <w:rPr>
          <w:rFonts w:ascii="Palatino Linotype" w:hAnsi="Palatino Linotype"/>
          <w:b/>
          <w:bCs/>
          <w:sz w:val="22"/>
          <w:szCs w:val="22"/>
          <w:lang w:val="nl-NL"/>
        </w:rPr>
        <w:br w:type="page"/>
      </w:r>
    </w:p>
    <w:p w:rsidR="00E50EA4" w:rsidRDefault="00E50EA4" w:rsidP="002C23B4">
      <w:pPr>
        <w:rPr>
          <w:rFonts w:ascii="Palatino Linotype" w:hAnsi="Palatino Linotype"/>
          <w:b/>
          <w:bCs/>
          <w:sz w:val="22"/>
          <w:szCs w:val="22"/>
          <w:lang w:val="nl-NL"/>
        </w:rPr>
      </w:pPr>
    </w:p>
    <w:p w:rsidR="00E50EA4" w:rsidRDefault="00E50EA4" w:rsidP="002C23B4">
      <w:pPr>
        <w:rPr>
          <w:rFonts w:ascii="Palatino Linotype" w:hAnsi="Palatino Linotype"/>
          <w:b/>
          <w:bCs/>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b/>
          <w:bCs/>
          <w:sz w:val="22"/>
          <w:szCs w:val="22"/>
          <w:lang w:val="nl-NL"/>
        </w:rPr>
        <w:t>Toelichting behorende bij de Regeling nieuwe bedragen normering topinkomens</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i/>
          <w:sz w:val="22"/>
          <w:szCs w:val="22"/>
          <w:lang w:val="nl-NL"/>
        </w:rPr>
      </w:pPr>
      <w:r w:rsidRPr="002C23B4">
        <w:rPr>
          <w:rFonts w:ascii="Palatino Linotype" w:hAnsi="Palatino Linotype"/>
          <w:i/>
          <w:sz w:val="22"/>
          <w:szCs w:val="22"/>
          <w:lang w:val="nl-NL"/>
        </w:rPr>
        <w:t>§ 1. Algemeen</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In artikel 4, zesde lid, van de Landsverordening normering topinkomens Curaçao</w:t>
      </w:r>
      <w:r w:rsidRPr="002C23B4">
        <w:rPr>
          <w:rFonts w:ascii="Palatino Linotype" w:hAnsi="Palatino Linotype"/>
          <w:sz w:val="22"/>
          <w:szCs w:val="22"/>
          <w:vertAlign w:val="superscript"/>
          <w:lang w:val="nl-NL"/>
        </w:rPr>
        <w:footnoteReference w:id="3"/>
      </w:r>
      <w:r w:rsidRPr="002C23B4">
        <w:rPr>
          <w:rFonts w:ascii="Palatino Linotype" w:hAnsi="Palatino Linotype"/>
          <w:sz w:val="22"/>
          <w:szCs w:val="22"/>
          <w:lang w:val="nl-NL"/>
        </w:rPr>
        <w:t>, wordt voorgeschreven dat bij ministeriële regeling met algemene werking de  bedragen, genoemd in de artikelen 1, onderdeel i, 4, eerste lid, en 5, eerste lid, van de Landsverordening normering topinkomens Curaçao, vanwege onder meer de totstandkoming van een landsbesluit als bedoeld in artikel 55, eerste lid, van de Landsverordening geldelijke voorzieningen ministers</w:t>
      </w:r>
      <w:r w:rsidRPr="002C23B4">
        <w:rPr>
          <w:rFonts w:ascii="Palatino Linotype" w:hAnsi="Palatino Linotype"/>
          <w:sz w:val="22"/>
          <w:szCs w:val="22"/>
          <w:vertAlign w:val="superscript"/>
          <w:lang w:val="nl-NL"/>
        </w:rPr>
        <w:footnoteReference w:id="4"/>
      </w:r>
      <w:r w:rsidRPr="002C23B4">
        <w:rPr>
          <w:rFonts w:ascii="Palatino Linotype" w:hAnsi="Palatino Linotype"/>
          <w:sz w:val="22"/>
          <w:szCs w:val="22"/>
          <w:lang w:val="nl-NL"/>
        </w:rPr>
        <w:t xml:space="preserve">, opnieuw worden vastgesteld. </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Het Landsbesluit van de 28</w:t>
      </w:r>
      <w:r w:rsidRPr="002C23B4">
        <w:rPr>
          <w:rFonts w:ascii="Palatino Linotype" w:hAnsi="Palatino Linotype"/>
          <w:sz w:val="22"/>
          <w:szCs w:val="22"/>
          <w:vertAlign w:val="superscript"/>
          <w:lang w:val="nl-NL"/>
        </w:rPr>
        <w:t xml:space="preserve">ste </w:t>
      </w:r>
      <w:r w:rsidRPr="002C23B4">
        <w:rPr>
          <w:rFonts w:ascii="Palatino Linotype" w:hAnsi="Palatino Linotype"/>
          <w:sz w:val="22"/>
          <w:szCs w:val="22"/>
          <w:lang w:val="nl-NL"/>
        </w:rPr>
        <w:t>december 2022, no. 22/2377, houdende vervallenverklaring van artikel 54 van de Landsverordening geldelijke voorzieningen ministers</w:t>
      </w:r>
      <w:r w:rsidRPr="002C23B4">
        <w:rPr>
          <w:rFonts w:ascii="Palatino Linotype" w:hAnsi="Palatino Linotype"/>
          <w:sz w:val="22"/>
          <w:szCs w:val="22"/>
          <w:vertAlign w:val="superscript"/>
          <w:lang w:val="nl-NL"/>
        </w:rPr>
        <w:footnoteReference w:id="5"/>
      </w:r>
      <w:r w:rsidRPr="002C23B4">
        <w:rPr>
          <w:rFonts w:ascii="Palatino Linotype" w:hAnsi="Palatino Linotype"/>
          <w:sz w:val="22"/>
          <w:szCs w:val="22"/>
          <w:lang w:val="nl-NL"/>
        </w:rPr>
        <w:t>, is een landsbesluit als bedoeld in artikel 55, eerste lid, van de Landsverordening geldelijke voorzieningen ministers. In dat landsbesluit is bepaald dat artikel 54 van de Landsverordening geldelijke voorzieningen ministers met ingang van 30 juni 2023 vervalt. Met het vervallen van genoemd artikel komt de inkorting van 25% op basis van de solidariteitsprincipe op de bezoldiging van de ministers met ingang van 30 juni 2023 te vervallen.</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 xml:space="preserve">Met deze ministeriële regeling met algemene werking wordt uitvoering gegeven aan de delegatiebepaling in de Landsverordening normering topinkomens Curaçao waarin is bepaald dat bij ministeriële regeling met algemene werking de volgende bedragen opnieuw worden vastgesteld: </w:t>
      </w: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a. de beloning betaalbaar op termijn genoemd in artikel 1, onderdeel i, van de Landsverordening normering topinkomens Curaçao;</w:t>
      </w: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 xml:space="preserve">b. de maximale bezoldiging van de topfunctionaris, genoemd in artikel 4, eerste lid, van de Landsverordening normering topinkomens Curaçao, en </w:t>
      </w: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c. de maximale uitkering wegens beëindiging van het dienstverband, genoemd in artikel 5, eerste lid, van de Landsverordening normering topinkomens Curaçao.</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i/>
          <w:sz w:val="22"/>
          <w:szCs w:val="22"/>
          <w:lang w:val="nl-NL"/>
        </w:rPr>
      </w:pPr>
      <w:r w:rsidRPr="002C23B4">
        <w:rPr>
          <w:rFonts w:ascii="Palatino Linotype" w:hAnsi="Palatino Linotype"/>
          <w:i/>
          <w:sz w:val="22"/>
          <w:szCs w:val="22"/>
          <w:lang w:val="nl-NL"/>
        </w:rPr>
        <w:t>§ 2. Financiële paragraaf</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 xml:space="preserve">De aanpassing van de bedragen, zoals bepaald in deze regeling heeft geen directe gevolgen voor de Landsbegroting; eventuele risico’s van een verhoging van de bedragen voor de landsbegroting moeten tot een minimum beperkt worden. Voor een eventuele toename in de beloning van een topfunctionaris van bijvoorbeeld een </w:t>
      </w:r>
      <w:proofErr w:type="spellStart"/>
      <w:r w:rsidRPr="002C23B4">
        <w:rPr>
          <w:rFonts w:ascii="Palatino Linotype" w:hAnsi="Palatino Linotype"/>
          <w:sz w:val="22"/>
          <w:szCs w:val="22"/>
          <w:lang w:val="nl-NL"/>
        </w:rPr>
        <w:t>overheidsgelieerde</w:t>
      </w:r>
      <w:proofErr w:type="spellEnd"/>
      <w:r w:rsidRPr="002C23B4">
        <w:rPr>
          <w:rFonts w:ascii="Palatino Linotype" w:hAnsi="Palatino Linotype"/>
          <w:sz w:val="22"/>
          <w:szCs w:val="22"/>
          <w:lang w:val="nl-NL"/>
        </w:rPr>
        <w:t xml:space="preserve"> entiteit die voor meer dan 50% door het Land wordt gesubsidieerd, zal eerst in de financiële dekking voorzien moeten worden. </w:t>
      </w:r>
    </w:p>
    <w:p w:rsidR="000848A4" w:rsidRDefault="000848A4" w:rsidP="002C23B4">
      <w:pPr>
        <w:rPr>
          <w:rFonts w:ascii="Palatino Linotype" w:hAnsi="Palatino Linotype"/>
          <w:i/>
          <w:sz w:val="22"/>
          <w:szCs w:val="22"/>
          <w:lang w:val="nl-NL"/>
        </w:rPr>
      </w:pPr>
    </w:p>
    <w:p w:rsidR="00E50EA4" w:rsidRDefault="00E50EA4" w:rsidP="002C23B4">
      <w:pPr>
        <w:rPr>
          <w:rFonts w:ascii="Palatino Linotype" w:hAnsi="Palatino Linotype"/>
          <w:i/>
          <w:sz w:val="22"/>
          <w:szCs w:val="22"/>
          <w:lang w:val="nl-NL"/>
        </w:rPr>
      </w:pPr>
    </w:p>
    <w:p w:rsidR="00E50EA4" w:rsidRDefault="00E50EA4" w:rsidP="002C23B4">
      <w:pPr>
        <w:rPr>
          <w:rFonts w:ascii="Palatino Linotype" w:hAnsi="Palatino Linotype"/>
          <w:i/>
          <w:sz w:val="22"/>
          <w:szCs w:val="22"/>
          <w:lang w:val="nl-NL"/>
        </w:rPr>
      </w:pPr>
    </w:p>
    <w:p w:rsidR="00E50EA4" w:rsidRDefault="00E50EA4" w:rsidP="002C23B4">
      <w:pPr>
        <w:rPr>
          <w:rFonts w:ascii="Palatino Linotype" w:hAnsi="Palatino Linotype"/>
          <w:i/>
          <w:sz w:val="22"/>
          <w:szCs w:val="22"/>
          <w:lang w:val="nl-NL"/>
        </w:rPr>
      </w:pPr>
    </w:p>
    <w:p w:rsidR="002C23B4" w:rsidRPr="002C23B4" w:rsidRDefault="002C23B4" w:rsidP="002C23B4">
      <w:pPr>
        <w:rPr>
          <w:rFonts w:ascii="Palatino Linotype" w:hAnsi="Palatino Linotype"/>
          <w:i/>
          <w:sz w:val="22"/>
          <w:szCs w:val="22"/>
          <w:lang w:val="nl-NL"/>
        </w:rPr>
      </w:pPr>
      <w:r w:rsidRPr="002C23B4">
        <w:rPr>
          <w:rFonts w:ascii="Palatino Linotype" w:hAnsi="Palatino Linotype"/>
          <w:i/>
          <w:sz w:val="22"/>
          <w:szCs w:val="22"/>
          <w:lang w:val="nl-NL"/>
        </w:rPr>
        <w:t>§ 3. Artikelsgewijze toelichting</w:t>
      </w:r>
      <w:r w:rsidRPr="002C23B4">
        <w:rPr>
          <w:rFonts w:ascii="Palatino Linotype" w:hAnsi="Palatino Linotype"/>
          <w:i/>
          <w:sz w:val="22"/>
          <w:szCs w:val="22"/>
          <w:lang w:val="nl-NL"/>
        </w:rPr>
        <w:tab/>
      </w:r>
    </w:p>
    <w:p w:rsidR="002C23B4" w:rsidRPr="002C23B4" w:rsidRDefault="002C23B4" w:rsidP="002C23B4">
      <w:pPr>
        <w:rPr>
          <w:rFonts w:ascii="Palatino Linotype" w:hAnsi="Palatino Linotype"/>
          <w:i/>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Artikel 1</w:t>
      </w: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 xml:space="preserve">Het bedrag van de beloning betaalbaar op termijn, genoemd in artikel 1, onderdeel i, van de Landsverordening normering topinkomens Curaçao, wordt niet opnieuw vastgesteld, met andere worden dit bedrag blijft ongewijzigd en bedraagt </w:t>
      </w:r>
      <w:proofErr w:type="spellStart"/>
      <w:r w:rsidRPr="002C23B4">
        <w:rPr>
          <w:rFonts w:ascii="Palatino Linotype" w:hAnsi="Palatino Linotype"/>
          <w:sz w:val="22"/>
          <w:szCs w:val="22"/>
          <w:lang w:val="nl-NL"/>
        </w:rPr>
        <w:t>NAf</w:t>
      </w:r>
      <w:proofErr w:type="spellEnd"/>
      <w:r w:rsidRPr="002C23B4">
        <w:rPr>
          <w:rFonts w:ascii="Palatino Linotype" w:hAnsi="Palatino Linotype"/>
          <w:sz w:val="22"/>
          <w:szCs w:val="22"/>
          <w:lang w:val="nl-NL"/>
        </w:rPr>
        <w:t xml:space="preserve"> 30.000,-. </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Artikel 2</w:t>
      </w: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 xml:space="preserve">De nieuwe bedragen voor de maximale bezoldiging van een topfunctionaris is als volgt vastgesteld: </w:t>
      </w:r>
    </w:p>
    <w:p w:rsidR="002C23B4" w:rsidRPr="002C23B4" w:rsidRDefault="002C23B4" w:rsidP="002C23B4">
      <w:pPr>
        <w:rPr>
          <w:rFonts w:ascii="Palatino Linotype" w:hAnsi="Palatino Linotype"/>
          <w:sz w:val="22"/>
          <w:szCs w:val="22"/>
          <w:lang w:val="nl-NL"/>
        </w:rPr>
      </w:pPr>
      <w:bookmarkStart w:id="1" w:name="_Hlk136958315"/>
    </w:p>
    <w:tbl>
      <w:tblPr>
        <w:tblStyle w:val="TableGrid"/>
        <w:tblW w:w="7281" w:type="dxa"/>
        <w:tblInd w:w="-5" w:type="dxa"/>
        <w:tblLook w:val="04A0" w:firstRow="1" w:lastRow="0" w:firstColumn="1" w:lastColumn="0" w:noHBand="0" w:noVBand="1"/>
      </w:tblPr>
      <w:tblGrid>
        <w:gridCol w:w="5554"/>
        <w:gridCol w:w="1727"/>
      </w:tblGrid>
      <w:tr w:rsidR="002C23B4" w:rsidRPr="002C23B4" w:rsidTr="00816736">
        <w:trPr>
          <w:trHeight w:val="224"/>
        </w:trPr>
        <w:tc>
          <w:tcPr>
            <w:tcW w:w="5554"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Component</w:t>
            </w:r>
          </w:p>
        </w:tc>
        <w:tc>
          <w:tcPr>
            <w:tcW w:w="1727"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 xml:space="preserve">Bedrag in </w:t>
            </w:r>
            <w:proofErr w:type="spellStart"/>
            <w:r w:rsidRPr="002C23B4">
              <w:rPr>
                <w:rFonts w:ascii="Palatino Linotype" w:hAnsi="Palatino Linotype"/>
                <w:b/>
                <w:sz w:val="22"/>
                <w:lang w:val="nl-NL"/>
              </w:rPr>
              <w:t>NAf</w:t>
            </w:r>
            <w:proofErr w:type="spellEnd"/>
          </w:p>
        </w:tc>
      </w:tr>
      <w:tr w:rsidR="002C23B4" w:rsidRPr="002C23B4" w:rsidTr="00816736">
        <w:trPr>
          <w:trHeight w:val="232"/>
        </w:trPr>
        <w:tc>
          <w:tcPr>
            <w:tcW w:w="5554"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Salaris conform schaal 18 trede 9</w:t>
            </w:r>
          </w:p>
        </w:tc>
        <w:tc>
          <w:tcPr>
            <w:tcW w:w="1727"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 xml:space="preserve">     14.563,00</w:t>
            </w:r>
          </w:p>
        </w:tc>
      </w:tr>
      <w:tr w:rsidR="002C23B4" w:rsidRPr="002C23B4" w:rsidTr="00816736">
        <w:trPr>
          <w:trHeight w:val="224"/>
        </w:trPr>
        <w:tc>
          <w:tcPr>
            <w:tcW w:w="5554"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 xml:space="preserve">25% toelage </w:t>
            </w:r>
          </w:p>
        </w:tc>
        <w:tc>
          <w:tcPr>
            <w:tcW w:w="1727"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3.640,75</w:t>
            </w:r>
          </w:p>
        </w:tc>
      </w:tr>
      <w:tr w:rsidR="002C23B4" w:rsidRPr="002C23B4" w:rsidTr="00816736">
        <w:trPr>
          <w:trHeight w:val="224"/>
        </w:trPr>
        <w:tc>
          <w:tcPr>
            <w:tcW w:w="5554"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Totaal</w:t>
            </w:r>
          </w:p>
        </w:tc>
        <w:tc>
          <w:tcPr>
            <w:tcW w:w="1727"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18.203,75</w:t>
            </w:r>
          </w:p>
        </w:tc>
      </w:tr>
      <w:tr w:rsidR="002C23B4" w:rsidRPr="002C23B4" w:rsidTr="00816736">
        <w:trPr>
          <w:trHeight w:val="456"/>
        </w:trPr>
        <w:tc>
          <w:tcPr>
            <w:tcW w:w="5554"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 xml:space="preserve">Representatiekosten </w:t>
            </w:r>
          </w:p>
        </w:tc>
        <w:tc>
          <w:tcPr>
            <w:tcW w:w="1727"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 xml:space="preserve">           2.750,00</w:t>
            </w:r>
          </w:p>
        </w:tc>
      </w:tr>
      <w:tr w:rsidR="002C23B4" w:rsidRPr="002C23B4" w:rsidTr="00816736">
        <w:trPr>
          <w:trHeight w:val="448"/>
        </w:trPr>
        <w:tc>
          <w:tcPr>
            <w:tcW w:w="5554"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 xml:space="preserve">Vakantietoelage 6% </w:t>
            </w:r>
          </w:p>
        </w:tc>
        <w:tc>
          <w:tcPr>
            <w:tcW w:w="1727"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 xml:space="preserve">              1.257,23</w:t>
            </w:r>
          </w:p>
        </w:tc>
      </w:tr>
      <w:tr w:rsidR="002C23B4" w:rsidRPr="002C23B4" w:rsidTr="00816736">
        <w:trPr>
          <w:trHeight w:val="232"/>
        </w:trPr>
        <w:tc>
          <w:tcPr>
            <w:tcW w:w="5554" w:type="dxa"/>
          </w:tcPr>
          <w:p w:rsidR="002C23B4" w:rsidRPr="002C23B4" w:rsidRDefault="002C23B4" w:rsidP="002C23B4">
            <w:pPr>
              <w:rPr>
                <w:rFonts w:ascii="Palatino Linotype" w:hAnsi="Palatino Linotype"/>
                <w:sz w:val="22"/>
                <w:lang w:val="nl-NL"/>
              </w:rPr>
            </w:pPr>
            <w:r w:rsidRPr="002C23B4">
              <w:rPr>
                <w:rFonts w:ascii="Palatino Linotype" w:hAnsi="Palatino Linotype"/>
                <w:b/>
                <w:sz w:val="22"/>
                <w:lang w:val="nl-NL"/>
              </w:rPr>
              <w:t>Totaal</w:t>
            </w:r>
          </w:p>
        </w:tc>
        <w:tc>
          <w:tcPr>
            <w:tcW w:w="1727"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22.210,98</w:t>
            </w:r>
          </w:p>
        </w:tc>
      </w:tr>
      <w:tr w:rsidR="002C23B4" w:rsidRPr="002C23B4" w:rsidTr="00816736">
        <w:trPr>
          <w:trHeight w:val="448"/>
        </w:trPr>
        <w:tc>
          <w:tcPr>
            <w:tcW w:w="5554"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Lumpsum pensioenpremie p/m (</w:t>
            </w:r>
            <w:proofErr w:type="spellStart"/>
            <w:r w:rsidRPr="002C23B4">
              <w:rPr>
                <w:rFonts w:ascii="Palatino Linotype" w:hAnsi="Palatino Linotype"/>
                <w:sz w:val="22"/>
                <w:lang w:val="nl-NL"/>
              </w:rPr>
              <w:t>NAf</w:t>
            </w:r>
            <w:proofErr w:type="spellEnd"/>
            <w:r w:rsidRPr="002C23B4">
              <w:rPr>
                <w:rFonts w:ascii="Palatino Linotype" w:hAnsi="Palatino Linotype"/>
                <w:sz w:val="22"/>
                <w:lang w:val="nl-NL"/>
              </w:rPr>
              <w:t xml:space="preserve"> 30.000,00/12)</w:t>
            </w:r>
          </w:p>
        </w:tc>
        <w:tc>
          <w:tcPr>
            <w:tcW w:w="1727" w:type="dxa"/>
          </w:tcPr>
          <w:p w:rsidR="002C23B4" w:rsidRPr="002C23B4" w:rsidRDefault="002C23B4" w:rsidP="002C23B4">
            <w:pPr>
              <w:rPr>
                <w:rFonts w:ascii="Palatino Linotype" w:hAnsi="Palatino Linotype"/>
                <w:sz w:val="22"/>
                <w:lang w:val="nl-NL"/>
              </w:rPr>
            </w:pPr>
            <w:r w:rsidRPr="002C23B4">
              <w:rPr>
                <w:rFonts w:ascii="Palatino Linotype" w:hAnsi="Palatino Linotype"/>
                <w:sz w:val="22"/>
                <w:lang w:val="nl-NL"/>
              </w:rPr>
              <w:t xml:space="preserve">         2.500,00</w:t>
            </w:r>
          </w:p>
        </w:tc>
      </w:tr>
      <w:tr w:rsidR="002C23B4" w:rsidRPr="002C23B4" w:rsidTr="00816736">
        <w:trPr>
          <w:trHeight w:val="232"/>
        </w:trPr>
        <w:tc>
          <w:tcPr>
            <w:tcW w:w="5554"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Totaal incl. pensioenpremie</w:t>
            </w:r>
          </w:p>
        </w:tc>
        <w:tc>
          <w:tcPr>
            <w:tcW w:w="1727"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24.710,98</w:t>
            </w:r>
          </w:p>
        </w:tc>
      </w:tr>
      <w:tr w:rsidR="002C23B4" w:rsidRPr="002C23B4" w:rsidTr="00816736">
        <w:trPr>
          <w:trHeight w:val="232"/>
        </w:trPr>
        <w:tc>
          <w:tcPr>
            <w:tcW w:w="5554" w:type="dxa"/>
          </w:tcPr>
          <w:p w:rsidR="002C23B4" w:rsidRPr="002C23B4" w:rsidRDefault="002C23B4" w:rsidP="002C23B4">
            <w:pPr>
              <w:rPr>
                <w:rFonts w:ascii="Palatino Linotype" w:hAnsi="Palatino Linotype"/>
                <w:b/>
                <w:sz w:val="22"/>
                <w:lang w:val="nl-NL"/>
              </w:rPr>
            </w:pPr>
          </w:p>
        </w:tc>
        <w:tc>
          <w:tcPr>
            <w:tcW w:w="1727" w:type="dxa"/>
          </w:tcPr>
          <w:p w:rsidR="002C23B4" w:rsidRPr="002C23B4" w:rsidRDefault="002C23B4" w:rsidP="002C23B4">
            <w:pPr>
              <w:rPr>
                <w:rFonts w:ascii="Palatino Linotype" w:hAnsi="Palatino Linotype"/>
                <w:b/>
                <w:sz w:val="22"/>
                <w:lang w:val="nl-NL"/>
              </w:rPr>
            </w:pPr>
          </w:p>
        </w:tc>
      </w:tr>
      <w:tr w:rsidR="002C23B4" w:rsidRPr="002C23B4" w:rsidTr="00816736">
        <w:trPr>
          <w:trHeight w:val="672"/>
        </w:trPr>
        <w:tc>
          <w:tcPr>
            <w:tcW w:w="5554"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 xml:space="preserve">Maximum niet-grote bedrijven (12 x 24.710,98  x 100%) </w:t>
            </w:r>
            <w:r w:rsidRPr="002C23B4">
              <w:rPr>
                <w:rFonts w:ascii="Palatino Linotype" w:hAnsi="Palatino Linotype"/>
                <w:sz w:val="22"/>
                <w:lang w:val="nl-NL"/>
              </w:rPr>
              <w:t>(naar boven afgerond)</w:t>
            </w:r>
          </w:p>
        </w:tc>
        <w:tc>
          <w:tcPr>
            <w:tcW w:w="1727"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297.000,00</w:t>
            </w:r>
          </w:p>
        </w:tc>
      </w:tr>
      <w:tr w:rsidR="002C23B4" w:rsidRPr="002C23B4" w:rsidTr="00816736">
        <w:trPr>
          <w:trHeight w:val="456"/>
        </w:trPr>
        <w:tc>
          <w:tcPr>
            <w:tcW w:w="5554"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 xml:space="preserve">Maximum grote bedrijven (12 x 24.710,98 x 130%) </w:t>
            </w:r>
            <w:r w:rsidRPr="002C23B4">
              <w:rPr>
                <w:rFonts w:ascii="Palatino Linotype" w:hAnsi="Palatino Linotype"/>
                <w:sz w:val="22"/>
                <w:lang w:val="nl-NL"/>
              </w:rPr>
              <w:t>(naar boven afgerond)</w:t>
            </w:r>
          </w:p>
        </w:tc>
        <w:tc>
          <w:tcPr>
            <w:tcW w:w="1727" w:type="dxa"/>
          </w:tcPr>
          <w:p w:rsidR="002C23B4" w:rsidRPr="002C23B4" w:rsidRDefault="002C23B4" w:rsidP="002C23B4">
            <w:pPr>
              <w:rPr>
                <w:rFonts w:ascii="Palatino Linotype" w:hAnsi="Palatino Linotype"/>
                <w:b/>
                <w:sz w:val="22"/>
                <w:lang w:val="nl-NL"/>
              </w:rPr>
            </w:pPr>
            <w:r w:rsidRPr="002C23B4">
              <w:rPr>
                <w:rFonts w:ascii="Palatino Linotype" w:hAnsi="Palatino Linotype"/>
                <w:b/>
                <w:sz w:val="22"/>
                <w:lang w:val="nl-NL"/>
              </w:rPr>
              <w:t>386.000,00</w:t>
            </w:r>
          </w:p>
        </w:tc>
      </w:tr>
      <w:bookmarkEnd w:id="1"/>
    </w:tbl>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Artikel 3</w:t>
      </w: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Het bedrag dat de uitkeringen wegens beëindiging van het dienstverband ten hoogste kan zijn, is afgeleid van de nieuwe maximale bezoldiging, namelijk 1/3 deel daarvan.</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r w:rsidRPr="002C23B4">
        <w:rPr>
          <w:rFonts w:ascii="Palatino Linotype" w:hAnsi="Palatino Linotype"/>
          <w:sz w:val="22"/>
          <w:szCs w:val="22"/>
          <w:lang w:val="nl-NL"/>
        </w:rPr>
        <w:tab/>
      </w:r>
      <w:r w:rsidRPr="002C23B4">
        <w:rPr>
          <w:rFonts w:ascii="Palatino Linotype" w:hAnsi="Palatino Linotype"/>
          <w:sz w:val="22"/>
          <w:szCs w:val="22"/>
          <w:lang w:val="nl-NL"/>
        </w:rPr>
        <w:tab/>
      </w:r>
      <w:r w:rsidRPr="002C23B4">
        <w:rPr>
          <w:rFonts w:ascii="Palatino Linotype" w:hAnsi="Palatino Linotype"/>
          <w:sz w:val="22"/>
          <w:szCs w:val="22"/>
          <w:lang w:val="nl-NL"/>
        </w:rPr>
        <w:tab/>
      </w:r>
      <w:r w:rsidRPr="002C23B4">
        <w:rPr>
          <w:rFonts w:ascii="Palatino Linotype" w:hAnsi="Palatino Linotype"/>
          <w:sz w:val="22"/>
          <w:szCs w:val="22"/>
          <w:lang w:val="nl-NL"/>
        </w:rPr>
        <w:tab/>
      </w:r>
      <w:r w:rsidRPr="002C23B4">
        <w:rPr>
          <w:rFonts w:ascii="Palatino Linotype" w:hAnsi="Palatino Linotype"/>
          <w:sz w:val="22"/>
          <w:szCs w:val="22"/>
          <w:lang w:val="nl-NL"/>
        </w:rPr>
        <w:tab/>
      </w:r>
      <w:r w:rsidRPr="002C23B4">
        <w:rPr>
          <w:rFonts w:ascii="Palatino Linotype" w:hAnsi="Palatino Linotype"/>
          <w:sz w:val="22"/>
          <w:szCs w:val="22"/>
          <w:lang w:val="nl-NL"/>
        </w:rPr>
        <w:tab/>
        <w:t xml:space="preserve">             De Minister van Financiën,</w:t>
      </w:r>
    </w:p>
    <w:p w:rsidR="00980BF1" w:rsidRPr="009C210F" w:rsidRDefault="00980BF1" w:rsidP="00980BF1">
      <w:pPr>
        <w:pStyle w:val="BodyText"/>
        <w:spacing w:line="296" w:lineRule="exact"/>
        <w:ind w:left="5130" w:right="1660"/>
        <w:jc w:val="center"/>
        <w:rPr>
          <w:lang w:val="nl-NL"/>
        </w:rPr>
      </w:pPr>
      <w:r w:rsidRPr="009C210F">
        <w:rPr>
          <w:lang w:val="nl-NL"/>
        </w:rPr>
        <w:t>J.F.A. SILVANIA</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p>
    <w:p w:rsidR="002C23B4" w:rsidRDefault="002C23B4" w:rsidP="000848A4">
      <w:pPr>
        <w:ind w:left="4320" w:firstLine="720"/>
        <w:rPr>
          <w:rFonts w:ascii="Palatino Linotype" w:hAnsi="Palatino Linotype"/>
          <w:sz w:val="22"/>
          <w:szCs w:val="22"/>
          <w:lang w:val="nl-NL"/>
        </w:rPr>
      </w:pPr>
      <w:r w:rsidRPr="002C23B4">
        <w:rPr>
          <w:rFonts w:ascii="Palatino Linotype" w:hAnsi="Palatino Linotype"/>
          <w:sz w:val="22"/>
          <w:szCs w:val="22"/>
          <w:lang w:val="nl-NL"/>
        </w:rPr>
        <w:t xml:space="preserve">De Minister van Algemene Zaken, </w:t>
      </w:r>
    </w:p>
    <w:p w:rsidR="002C23B4" w:rsidRPr="002C23B4" w:rsidRDefault="00801C7D" w:rsidP="00801C7D">
      <w:pPr>
        <w:ind w:left="5040" w:right="940"/>
        <w:jc w:val="center"/>
        <w:rPr>
          <w:rFonts w:ascii="Palatino Linotype" w:hAnsi="Palatino Linotype"/>
          <w:sz w:val="22"/>
          <w:szCs w:val="22"/>
          <w:lang w:val="nl-NL"/>
        </w:rPr>
      </w:pPr>
      <w:r w:rsidRPr="00E1592D">
        <w:rPr>
          <w:rFonts w:ascii="Palatino Linotype" w:eastAsia="Palatino Linotype" w:hAnsi="Palatino Linotype" w:cs="Palatino Linotype"/>
          <w:snapToGrid/>
          <w:sz w:val="22"/>
          <w:szCs w:val="22"/>
          <w:lang w:val="nl-NL"/>
        </w:rPr>
        <w:t>G.S. PISAS</w:t>
      </w: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p>
    <w:p w:rsidR="002C23B4" w:rsidRPr="002C23B4" w:rsidRDefault="002C23B4" w:rsidP="002C23B4">
      <w:pPr>
        <w:rPr>
          <w:rFonts w:ascii="Palatino Linotype" w:hAnsi="Palatino Linotype"/>
          <w:sz w:val="22"/>
          <w:szCs w:val="22"/>
          <w:lang w:val="nl-NL"/>
        </w:rPr>
      </w:pPr>
    </w:p>
    <w:p w:rsidR="002C23B4" w:rsidRPr="00F842BA" w:rsidRDefault="002C23B4" w:rsidP="00E1592D">
      <w:pPr>
        <w:rPr>
          <w:rFonts w:ascii="Palatino Linotype" w:hAnsi="Palatino Linotype"/>
          <w:sz w:val="22"/>
          <w:szCs w:val="22"/>
          <w:lang w:val="nl-NL"/>
        </w:rPr>
      </w:pPr>
    </w:p>
    <w:sectPr w:rsidR="002C23B4" w:rsidRPr="00F842BA" w:rsidSect="0022623B">
      <w:headerReference w:type="even" r:id="rId7"/>
      <w:headerReference w:type="default" r:id="rId8"/>
      <w:endnotePr>
        <w:numFmt w:val="decimal"/>
      </w:endnotePr>
      <w:type w:val="continuous"/>
      <w:pgSz w:w="11906" w:h="16838"/>
      <w:pgMar w:top="1530"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507065" w:rsidRPr="00220F87" w:rsidRDefault="00507065" w:rsidP="00507065">
      <w:pPr>
        <w:pStyle w:val="FootnoteText"/>
        <w:rPr>
          <w:rFonts w:ascii="Palatino Linotype" w:hAnsi="Palatino Linotype"/>
          <w:sz w:val="18"/>
          <w:szCs w:val="18"/>
          <w:lang w:val="es-ES"/>
        </w:rPr>
      </w:pPr>
      <w:r w:rsidRPr="00220F87">
        <w:rPr>
          <w:rStyle w:val="FootnoteReference"/>
          <w:rFonts w:ascii="Palatino Linotype" w:hAnsi="Palatino Linotype"/>
          <w:sz w:val="18"/>
          <w:szCs w:val="18"/>
        </w:rPr>
        <w:footnoteRef/>
      </w:r>
      <w:r w:rsidRPr="00220F87">
        <w:rPr>
          <w:rFonts w:ascii="Palatino Linotype" w:hAnsi="Palatino Linotype"/>
          <w:sz w:val="18"/>
          <w:szCs w:val="18"/>
          <w:lang w:val="es-ES"/>
        </w:rPr>
        <w:t xml:space="preserve"> P.B. 2022, no. 133.</w:t>
      </w:r>
    </w:p>
  </w:footnote>
  <w:footnote w:id="2">
    <w:p w:rsidR="00507065" w:rsidRPr="00220F87" w:rsidRDefault="00507065" w:rsidP="00507065">
      <w:pPr>
        <w:pStyle w:val="FootnoteText"/>
        <w:rPr>
          <w:sz w:val="18"/>
          <w:szCs w:val="18"/>
          <w:lang w:val="es-ES"/>
        </w:rPr>
      </w:pPr>
      <w:r w:rsidRPr="00220F87">
        <w:rPr>
          <w:rStyle w:val="FootnoteReference"/>
          <w:rFonts w:ascii="Palatino Linotype" w:hAnsi="Palatino Linotype"/>
          <w:sz w:val="18"/>
          <w:szCs w:val="18"/>
        </w:rPr>
        <w:footnoteRef/>
      </w:r>
      <w:r w:rsidRPr="00220F87">
        <w:rPr>
          <w:rFonts w:ascii="Palatino Linotype" w:hAnsi="Palatino Linotype"/>
          <w:sz w:val="18"/>
          <w:szCs w:val="18"/>
          <w:lang w:val="es-ES"/>
        </w:rPr>
        <w:t xml:space="preserve"> P.B. 2023, no. 35.</w:t>
      </w:r>
    </w:p>
  </w:footnote>
  <w:footnote w:id="3">
    <w:p w:rsidR="002C23B4" w:rsidRPr="00220F87" w:rsidRDefault="002C23B4" w:rsidP="002C23B4">
      <w:pPr>
        <w:pStyle w:val="FootnoteText"/>
        <w:rPr>
          <w:rFonts w:ascii="Palatino Linotype" w:hAnsi="Palatino Linotype"/>
          <w:sz w:val="18"/>
          <w:szCs w:val="18"/>
          <w:lang w:val="es-ES"/>
        </w:rPr>
      </w:pPr>
      <w:r w:rsidRPr="00220F87">
        <w:rPr>
          <w:rStyle w:val="FootnoteReference"/>
          <w:rFonts w:ascii="Palatino Linotype" w:hAnsi="Palatino Linotype"/>
          <w:sz w:val="18"/>
          <w:szCs w:val="18"/>
        </w:rPr>
        <w:footnoteRef/>
      </w:r>
      <w:r w:rsidRPr="00220F87">
        <w:rPr>
          <w:rFonts w:ascii="Palatino Linotype" w:hAnsi="Palatino Linotype"/>
          <w:sz w:val="18"/>
          <w:szCs w:val="18"/>
          <w:lang w:val="es-ES"/>
        </w:rPr>
        <w:t xml:space="preserve"> P.B. 2022, no. 133.</w:t>
      </w:r>
    </w:p>
  </w:footnote>
  <w:footnote w:id="4">
    <w:p w:rsidR="002C23B4" w:rsidRPr="00220F87" w:rsidRDefault="002C23B4" w:rsidP="002C23B4">
      <w:pPr>
        <w:pStyle w:val="FootnoteText"/>
        <w:rPr>
          <w:sz w:val="18"/>
          <w:szCs w:val="18"/>
          <w:lang w:val="es-ES"/>
        </w:rPr>
      </w:pPr>
      <w:r w:rsidRPr="00220F87">
        <w:rPr>
          <w:rStyle w:val="FootnoteReference"/>
          <w:rFonts w:ascii="Palatino Linotype" w:hAnsi="Palatino Linotype"/>
          <w:sz w:val="18"/>
          <w:szCs w:val="18"/>
        </w:rPr>
        <w:footnoteRef/>
      </w:r>
      <w:r w:rsidRPr="00220F87">
        <w:rPr>
          <w:rFonts w:ascii="Palatino Linotype" w:hAnsi="Palatino Linotype"/>
          <w:sz w:val="18"/>
          <w:szCs w:val="18"/>
          <w:lang w:val="es-ES"/>
        </w:rPr>
        <w:t xml:space="preserve"> P.B. 2021, no. 71.</w:t>
      </w:r>
    </w:p>
  </w:footnote>
  <w:footnote w:id="5">
    <w:p w:rsidR="002C23B4" w:rsidRPr="00220F87" w:rsidRDefault="002C23B4" w:rsidP="002C23B4">
      <w:pPr>
        <w:pStyle w:val="FootnoteText"/>
        <w:rPr>
          <w:rFonts w:ascii="Palatino Linotype" w:hAnsi="Palatino Linotype"/>
          <w:sz w:val="18"/>
          <w:szCs w:val="18"/>
          <w:lang w:val="es-ES"/>
        </w:rPr>
      </w:pPr>
      <w:r w:rsidRPr="00220F87">
        <w:rPr>
          <w:rStyle w:val="FootnoteReference"/>
          <w:rFonts w:ascii="Palatino Linotype" w:hAnsi="Palatino Linotype"/>
          <w:sz w:val="18"/>
          <w:szCs w:val="18"/>
        </w:rPr>
        <w:footnoteRef/>
      </w:r>
      <w:r w:rsidRPr="00220F87">
        <w:rPr>
          <w:rFonts w:ascii="Palatino Linotype" w:hAnsi="Palatino Linotype"/>
          <w:sz w:val="18"/>
          <w:szCs w:val="18"/>
          <w:lang w:val="es-ES"/>
        </w:rPr>
        <w:t xml:space="preserve"> P.B. 2023, no.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507065">
      <w:rPr>
        <w:rFonts w:ascii="Times New Roman" w:hAnsi="Times New Roman"/>
        <w:b/>
        <w:spacing w:val="-4"/>
        <w:sz w:val="36"/>
      </w:rPr>
      <w:t>55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2C23B4">
      <w:rPr>
        <w:rFonts w:ascii="Times New Roman" w:hAnsi="Times New Roman"/>
        <w:b/>
        <w:spacing w:val="-4"/>
        <w:sz w:val="36"/>
      </w:rPr>
      <w:t>55</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848A4"/>
    <w:rsid w:val="000A0DBD"/>
    <w:rsid w:val="0014186C"/>
    <w:rsid w:val="001453BA"/>
    <w:rsid w:val="00173FBA"/>
    <w:rsid w:val="001A7D22"/>
    <w:rsid w:val="001C27B0"/>
    <w:rsid w:val="001C384D"/>
    <w:rsid w:val="00213227"/>
    <w:rsid w:val="00216E3C"/>
    <w:rsid w:val="0022623B"/>
    <w:rsid w:val="00282C3F"/>
    <w:rsid w:val="002B27B9"/>
    <w:rsid w:val="002C23B4"/>
    <w:rsid w:val="002F0CFE"/>
    <w:rsid w:val="00331A7B"/>
    <w:rsid w:val="00334EF0"/>
    <w:rsid w:val="00390EC1"/>
    <w:rsid w:val="003B694F"/>
    <w:rsid w:val="003C30EB"/>
    <w:rsid w:val="003D1497"/>
    <w:rsid w:val="003D25AC"/>
    <w:rsid w:val="003E6FF3"/>
    <w:rsid w:val="0043209F"/>
    <w:rsid w:val="004E29EE"/>
    <w:rsid w:val="004E2C9C"/>
    <w:rsid w:val="004E799B"/>
    <w:rsid w:val="00507065"/>
    <w:rsid w:val="00593143"/>
    <w:rsid w:val="005B7EA9"/>
    <w:rsid w:val="005D0989"/>
    <w:rsid w:val="005D39A3"/>
    <w:rsid w:val="005E2A20"/>
    <w:rsid w:val="006147F1"/>
    <w:rsid w:val="006169E6"/>
    <w:rsid w:val="006725E6"/>
    <w:rsid w:val="006C19FE"/>
    <w:rsid w:val="00772672"/>
    <w:rsid w:val="00781AD6"/>
    <w:rsid w:val="007A6572"/>
    <w:rsid w:val="007C18B0"/>
    <w:rsid w:val="007C4DCC"/>
    <w:rsid w:val="007C7D7D"/>
    <w:rsid w:val="007D4D73"/>
    <w:rsid w:val="007F37E8"/>
    <w:rsid w:val="00801C7D"/>
    <w:rsid w:val="00803F56"/>
    <w:rsid w:val="00831996"/>
    <w:rsid w:val="00853D6F"/>
    <w:rsid w:val="00862E7C"/>
    <w:rsid w:val="00864BBA"/>
    <w:rsid w:val="00870E7E"/>
    <w:rsid w:val="008A1329"/>
    <w:rsid w:val="008B0FBF"/>
    <w:rsid w:val="008C60C3"/>
    <w:rsid w:val="008D67E9"/>
    <w:rsid w:val="008F676F"/>
    <w:rsid w:val="00910EBB"/>
    <w:rsid w:val="00957572"/>
    <w:rsid w:val="00980BF1"/>
    <w:rsid w:val="009E45FD"/>
    <w:rsid w:val="00A0173D"/>
    <w:rsid w:val="00A23576"/>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83870"/>
    <w:rsid w:val="00C907F2"/>
    <w:rsid w:val="00CC6CA3"/>
    <w:rsid w:val="00CE18CE"/>
    <w:rsid w:val="00CE5C4F"/>
    <w:rsid w:val="00D03575"/>
    <w:rsid w:val="00D03A15"/>
    <w:rsid w:val="00D50DA5"/>
    <w:rsid w:val="00D67282"/>
    <w:rsid w:val="00D95F17"/>
    <w:rsid w:val="00DC4B4C"/>
    <w:rsid w:val="00E1592D"/>
    <w:rsid w:val="00E2436B"/>
    <w:rsid w:val="00E42D6B"/>
    <w:rsid w:val="00E44991"/>
    <w:rsid w:val="00E50EA4"/>
    <w:rsid w:val="00EB1834"/>
    <w:rsid w:val="00ED69A7"/>
    <w:rsid w:val="00EE4FD2"/>
    <w:rsid w:val="00F81906"/>
    <w:rsid w:val="00F842BA"/>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C05818"/>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44991"/>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E44991"/>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2023-06-09T19:56:00Z</dcterms:created>
  <dcterms:modified xsi:type="dcterms:W3CDTF">2023-06-09T19:56:00Z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20230609152909006</vt:lpwstr>
  </property>
</Properties>
</file>