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A17D08">
        <w:rPr>
          <w:b/>
          <w:sz w:val="36"/>
          <w:szCs w:val="36"/>
        </w:rPr>
        <w:fldChar w:fldCharType="begin">
          <w:ffData>
            <w:name w:val="Text2"/>
            <w:enabled/>
            <w:calcOnExit w:val="0"/>
            <w:textInput>
              <w:default w:val="119"/>
            </w:textInput>
          </w:ffData>
        </w:fldChar>
      </w:r>
      <w:bookmarkStart w:id="0" w:name="Text2"/>
      <w:r w:rsidR="00A17D08">
        <w:rPr>
          <w:b/>
          <w:sz w:val="36"/>
          <w:szCs w:val="36"/>
        </w:rPr>
        <w:instrText xml:space="preserve"> FORMTEXT </w:instrText>
      </w:r>
      <w:r w:rsidR="00A17D08">
        <w:rPr>
          <w:b/>
          <w:sz w:val="36"/>
          <w:szCs w:val="36"/>
        </w:rPr>
      </w:r>
      <w:r w:rsidR="00A17D08">
        <w:rPr>
          <w:b/>
          <w:sz w:val="36"/>
          <w:szCs w:val="36"/>
        </w:rPr>
        <w:fldChar w:fldCharType="separate"/>
      </w:r>
      <w:r w:rsidR="00A17D08">
        <w:rPr>
          <w:b/>
          <w:noProof/>
          <w:sz w:val="36"/>
          <w:szCs w:val="36"/>
        </w:rPr>
        <w:t>119</w:t>
      </w:r>
      <w:r w:rsidR="00A17D08">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17D08" w:rsidRPr="00A17D08" w:rsidRDefault="00A17D08" w:rsidP="00A17D08">
      <w:pPr>
        <w:widowControl/>
        <w:spacing w:after="240"/>
        <w:jc w:val="both"/>
        <w:rPr>
          <w:rFonts w:ascii="Palatino Linotype" w:hAnsi="Palatino Linotype"/>
          <w:b/>
          <w:snapToGrid/>
          <w:sz w:val="22"/>
          <w:szCs w:val="22"/>
          <w:lang w:val="nl-NL"/>
        </w:rPr>
      </w:pPr>
      <w:r w:rsidRPr="00A17D08">
        <w:rPr>
          <w:rFonts w:ascii="Palatino Linotype" w:hAnsi="Palatino Linotype"/>
          <w:b/>
          <w:snapToGrid/>
          <w:sz w:val="22"/>
          <w:szCs w:val="22"/>
          <w:lang w:val="nl-NL"/>
        </w:rPr>
        <w:t>LANDSBESLUIT, HOUDENDE ALGEMENE MAATREGELEN, van de 13</w:t>
      </w:r>
      <w:r w:rsidRPr="00A17D08">
        <w:rPr>
          <w:rFonts w:ascii="Palatino Linotype" w:hAnsi="Palatino Linotype"/>
          <w:b/>
          <w:snapToGrid/>
          <w:sz w:val="22"/>
          <w:szCs w:val="22"/>
          <w:vertAlign w:val="superscript"/>
          <w:lang w:val="nl-NL"/>
        </w:rPr>
        <w:t>de</w:t>
      </w:r>
      <w:r w:rsidRPr="00A17D08">
        <w:rPr>
          <w:rFonts w:ascii="Palatino Linotype" w:hAnsi="Palatino Linotype"/>
          <w:b/>
          <w:snapToGrid/>
          <w:sz w:val="22"/>
          <w:szCs w:val="22"/>
          <w:lang w:val="nl-NL"/>
        </w:rPr>
        <w:t xml:space="preserve"> september 2024, strekkende tot wijziging van de Gevangenismaatregel 1999</w:t>
      </w:r>
      <w:r w:rsidRPr="00A17D08">
        <w:rPr>
          <w:rFonts w:ascii="Palatino Linotype" w:hAnsi="Palatino Linotype"/>
          <w:b/>
          <w:snapToGrid/>
          <w:sz w:val="22"/>
          <w:szCs w:val="22"/>
          <w:vertAlign w:val="superscript"/>
          <w:lang w:val="nl-NL"/>
        </w:rPr>
        <w:footnoteReference w:id="1"/>
      </w:r>
      <w:r w:rsidRPr="00A17D08">
        <w:rPr>
          <w:rFonts w:ascii="Palatino Linotype" w:hAnsi="Palatino Linotype"/>
          <w:b/>
          <w:snapToGrid/>
          <w:sz w:val="22"/>
          <w:szCs w:val="22"/>
          <w:lang w:val="nl-NL"/>
        </w:rPr>
        <w:t xml:space="preserve"> </w:t>
      </w:r>
    </w:p>
    <w:p w:rsidR="00A17D08" w:rsidRDefault="00A17D08" w:rsidP="00A17D08">
      <w:pPr>
        <w:widowControl/>
        <w:suppressAutoHyphens/>
        <w:spacing w:after="40"/>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____________</w:t>
      </w:r>
    </w:p>
    <w:p w:rsidR="00A17D08" w:rsidRPr="00A17D08" w:rsidRDefault="00A17D08" w:rsidP="00A17D08">
      <w:pPr>
        <w:widowControl/>
        <w:suppressAutoHyphens/>
        <w:spacing w:line="200" w:lineRule="exact"/>
        <w:jc w:val="center"/>
        <w:rPr>
          <w:rFonts w:ascii="Palatino Linotype" w:hAnsi="Palatino Linotype"/>
          <w:snapToGrid/>
          <w:spacing w:val="-3"/>
          <w:sz w:val="22"/>
          <w:szCs w:val="22"/>
          <w:lang w:val="nl-NL"/>
        </w:rPr>
      </w:pPr>
    </w:p>
    <w:p w:rsidR="00A17D08" w:rsidRDefault="00A17D08" w:rsidP="00A17D08">
      <w:pPr>
        <w:widowControl/>
        <w:suppressAutoHyphens/>
        <w:spacing w:after="60"/>
        <w:jc w:val="center"/>
        <w:rPr>
          <w:rFonts w:ascii="Palatino Linotype" w:hAnsi="Palatino Linotype"/>
          <w:snapToGrid/>
          <w:spacing w:val="-3"/>
          <w:sz w:val="22"/>
          <w:szCs w:val="22"/>
          <w:lang w:val="nl-NL"/>
        </w:rPr>
      </w:pPr>
      <w:r w:rsidRPr="00A17D08">
        <w:rPr>
          <w:rFonts w:ascii="Palatino Linotype" w:hAnsi="Palatino Linotype"/>
          <w:snapToGrid/>
          <w:spacing w:val="-3"/>
          <w:sz w:val="22"/>
          <w:szCs w:val="22"/>
          <w:lang w:val="nl-NL"/>
        </w:rPr>
        <w:t>IN NAAM VAN DE KONING!</w:t>
      </w:r>
    </w:p>
    <w:p w:rsidR="00A17D08" w:rsidRPr="00A17D08" w:rsidRDefault="00A17D08" w:rsidP="00A17D08">
      <w:pPr>
        <w:widowControl/>
        <w:suppressAutoHyphens/>
        <w:spacing w:after="120"/>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A17D08" w:rsidRPr="00A17D08" w:rsidRDefault="00A17D08" w:rsidP="00A17D08">
      <w:pPr>
        <w:widowControl/>
        <w:spacing w:line="60" w:lineRule="exact"/>
        <w:jc w:val="center"/>
        <w:rPr>
          <w:rFonts w:ascii="Palatino Linotype" w:hAnsi="Palatino Linotype"/>
          <w:snapToGrid/>
          <w:sz w:val="22"/>
          <w:szCs w:val="22"/>
          <w:lang w:val="nl-NL"/>
        </w:rPr>
      </w:pPr>
    </w:p>
    <w:p w:rsidR="00A17D08" w:rsidRPr="00A17D08" w:rsidRDefault="00A17D08" w:rsidP="00A17D08">
      <w:pPr>
        <w:widowControl/>
        <w:spacing w:line="60" w:lineRule="exact"/>
        <w:jc w:val="center"/>
        <w:rPr>
          <w:rFonts w:ascii="Palatino Linotype" w:hAnsi="Palatino Linotype"/>
          <w:snapToGrid/>
          <w:sz w:val="22"/>
          <w:szCs w:val="22"/>
          <w:lang w:val="nl-NL"/>
        </w:rPr>
      </w:pPr>
    </w:p>
    <w:p w:rsidR="00A17D08" w:rsidRPr="00A17D08" w:rsidRDefault="00A17D08" w:rsidP="00A17D08">
      <w:pPr>
        <w:widowControl/>
        <w:suppressAutoHyphens/>
        <w:jc w:val="center"/>
        <w:rPr>
          <w:rFonts w:ascii="Palatino Linotype" w:hAnsi="Palatino Linotype"/>
          <w:snapToGrid/>
          <w:spacing w:val="-3"/>
          <w:sz w:val="22"/>
          <w:szCs w:val="22"/>
          <w:lang w:val="nl-NL"/>
        </w:rPr>
      </w:pPr>
      <w:r w:rsidRPr="00A17D08">
        <w:rPr>
          <w:rFonts w:ascii="Palatino Linotype" w:hAnsi="Palatino Linotype"/>
          <w:snapToGrid/>
          <w:spacing w:val="-3"/>
          <w:sz w:val="22"/>
          <w:szCs w:val="22"/>
          <w:lang w:val="nl-NL"/>
        </w:rPr>
        <w:t xml:space="preserve">De </w:t>
      </w:r>
      <w:r>
        <w:rPr>
          <w:rFonts w:ascii="Palatino Linotype" w:hAnsi="Palatino Linotype"/>
          <w:snapToGrid/>
          <w:spacing w:val="-3"/>
          <w:sz w:val="22"/>
          <w:szCs w:val="22"/>
          <w:lang w:val="nl-NL"/>
        </w:rPr>
        <w:t xml:space="preserve">waarnemende </w:t>
      </w:r>
      <w:r w:rsidRPr="00A17D08">
        <w:rPr>
          <w:rFonts w:ascii="Palatino Linotype" w:hAnsi="Palatino Linotype"/>
          <w:snapToGrid/>
          <w:spacing w:val="-3"/>
          <w:sz w:val="22"/>
          <w:szCs w:val="22"/>
          <w:lang w:val="nl-NL"/>
        </w:rPr>
        <w:t>Gouverneur van Curaçao,</w:t>
      </w:r>
    </w:p>
    <w:p w:rsidR="00A17D08" w:rsidRPr="00A17D08" w:rsidRDefault="00A17D08" w:rsidP="00A17D08">
      <w:pPr>
        <w:widowControl/>
        <w:jc w:val="center"/>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In overweging genomen hebbende:</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dat het gezien de stijging van het prijsindexcijfer van goederen wenselijk is een nieuw maximum per kalendermaand vast te stellen voor de bedragen die gedetineerden van derden mogen ontvangen;</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dat het voorts nodig is bepalingen van de Gevangenismaatregel 1999 die de verdeling in financiële posten van het arbeidsloon dat aan gedetineerden toekomt regelen in overeenstemming te brengen met de Landsverordening beginselen gevangeniswezen;</w:t>
      </w:r>
    </w:p>
    <w:p w:rsid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Heeft, de Raad van Advies gehoord, besloten:</w:t>
      </w:r>
    </w:p>
    <w:p w:rsidR="00A17D08" w:rsidRDefault="00A17D08" w:rsidP="00A17D08">
      <w:pPr>
        <w:widowControl/>
        <w:jc w:val="both"/>
        <w:rPr>
          <w:rFonts w:ascii="Palatino Linotype" w:hAnsi="Palatino Linotype"/>
          <w:snapToGrid/>
          <w:sz w:val="22"/>
          <w:szCs w:val="22"/>
          <w:lang w:val="nl-NL"/>
        </w:rPr>
      </w:pPr>
    </w:p>
    <w:p w:rsidR="008A4558" w:rsidRPr="00A17D08" w:rsidRDefault="008A4558" w:rsidP="00A17D08">
      <w:pPr>
        <w:widowControl/>
        <w:jc w:val="both"/>
        <w:rPr>
          <w:rFonts w:ascii="Palatino Linotype" w:hAnsi="Palatino Linotype"/>
          <w:snapToGrid/>
          <w:sz w:val="22"/>
          <w:szCs w:val="22"/>
          <w:lang w:val="nl-NL"/>
        </w:rPr>
      </w:pPr>
    </w:p>
    <w:p w:rsidR="00A17D08" w:rsidRPr="00A17D08" w:rsidRDefault="00A17D08" w:rsidP="00A17D08">
      <w:pPr>
        <w:widowControl/>
        <w:rPr>
          <w:rFonts w:ascii="Palatino Linotype" w:hAnsi="Palatino Linotype"/>
          <w:snapToGrid/>
          <w:sz w:val="22"/>
          <w:szCs w:val="22"/>
          <w:lang w:val="nl-NL"/>
        </w:rPr>
      </w:pPr>
      <w:r w:rsidRPr="00A17D08">
        <w:rPr>
          <w:rFonts w:ascii="Palatino Linotype" w:hAnsi="Palatino Linotype"/>
          <w:snapToGrid/>
          <w:sz w:val="22"/>
          <w:szCs w:val="22"/>
          <w:lang w:val="nl-NL"/>
        </w:rPr>
        <w:t>Artikel I</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De Gevangenismaatregel 1999 wordt als volgt gewijzigd: </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A</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Artikel 19 wordt als volgt gewijzigd:</w:t>
      </w:r>
      <w:r w:rsidRPr="00A17D08">
        <w:rPr>
          <w:rFonts w:ascii="Palatino Linotype" w:hAnsi="Palatino Linotype"/>
          <w:sz w:val="22"/>
          <w:szCs w:val="22"/>
          <w:lang w:val="nl-NL"/>
        </w:rPr>
        <w:t xml:space="preserve"> </w:t>
      </w:r>
    </w:p>
    <w:p w:rsidR="00A17D08" w:rsidRPr="00A17D08" w:rsidRDefault="00A17D08" w:rsidP="00A17D08">
      <w:pPr>
        <w:widowControl/>
        <w:numPr>
          <w:ilvl w:val="0"/>
          <w:numId w:val="7"/>
        </w:numPr>
        <w:contextualSpacing/>
        <w:jc w:val="both"/>
        <w:rPr>
          <w:rFonts w:ascii="Palatino Linotype" w:hAnsi="Palatino Linotype"/>
          <w:snapToGrid/>
          <w:sz w:val="22"/>
          <w:szCs w:val="22"/>
          <w:lang w:val="nl-NL"/>
        </w:rPr>
      </w:pPr>
      <w:r w:rsidRPr="00A17D08">
        <w:rPr>
          <w:rFonts w:ascii="Palatino Linotype" w:hAnsi="Palatino Linotype"/>
          <w:snapToGrid/>
          <w:sz w:val="22"/>
          <w:szCs w:val="22"/>
          <w:lang w:val="nl-NL"/>
        </w:rPr>
        <w:t>In het derde lid wordt “in de artikelen 6 en 23“ vervangen door: in artikel 6.</w:t>
      </w:r>
    </w:p>
    <w:p w:rsidR="00A17D08" w:rsidRPr="00A17D08" w:rsidRDefault="00A17D08" w:rsidP="00A17D08">
      <w:pPr>
        <w:widowControl/>
        <w:numPr>
          <w:ilvl w:val="0"/>
          <w:numId w:val="7"/>
        </w:numPr>
        <w:contextualSpacing/>
        <w:jc w:val="both"/>
        <w:rPr>
          <w:rFonts w:ascii="Palatino Linotype" w:hAnsi="Palatino Linotype"/>
          <w:snapToGrid/>
          <w:sz w:val="22"/>
          <w:szCs w:val="22"/>
          <w:lang w:val="nl-NL"/>
        </w:rPr>
      </w:pPr>
      <w:r w:rsidRPr="00A17D08">
        <w:rPr>
          <w:rFonts w:ascii="Palatino Linotype" w:hAnsi="Palatino Linotype"/>
          <w:snapToGrid/>
          <w:sz w:val="22"/>
          <w:szCs w:val="22"/>
          <w:lang w:val="nl-NL"/>
        </w:rPr>
        <w:t>In het vierde lid wordt “in de artikelen 21 en 22” vervangen door: in de artikelen 21, 22 en 23.</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B</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In artikel 21, derde lid, vervalt “en tot levenslange gevangenisstraf veroordeelde”.</w:t>
      </w:r>
    </w:p>
    <w:p w:rsidR="00A17D08" w:rsidRPr="00A17D08" w:rsidRDefault="00A17D08" w:rsidP="00A17D08">
      <w:pPr>
        <w:widowControl/>
        <w:jc w:val="both"/>
        <w:rPr>
          <w:rFonts w:ascii="Palatino Linotype" w:hAnsi="Palatino Linotype"/>
          <w:snapToGrid/>
          <w:sz w:val="22"/>
          <w:szCs w:val="22"/>
          <w:lang w:val="nl-NL"/>
        </w:rPr>
      </w:pPr>
    </w:p>
    <w:p w:rsidR="008A4558" w:rsidRDefault="008A4558" w:rsidP="00A17D08">
      <w:pPr>
        <w:widowControl/>
        <w:jc w:val="both"/>
        <w:rPr>
          <w:rFonts w:ascii="Palatino Linotype" w:hAnsi="Palatino Linotype"/>
          <w:snapToGrid/>
          <w:sz w:val="22"/>
          <w:szCs w:val="22"/>
          <w:lang w:val="nl-NL"/>
        </w:rPr>
      </w:pPr>
    </w:p>
    <w:p w:rsidR="008A4558" w:rsidRDefault="008A455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C</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In artikel 22, tweede lid, vervalt “en tot levenslange gevangenisstraf veroordeelde”.</w:t>
      </w:r>
    </w:p>
    <w:p w:rsid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D</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In artikel 23, tweede lid, wordt “vijfhonderd</w:t>
      </w:r>
      <w:r w:rsidRPr="00A17D08">
        <w:rPr>
          <w:rFonts w:ascii="Palatino Linotype" w:hAnsi="Palatino Linotype"/>
          <w:sz w:val="22"/>
          <w:szCs w:val="22"/>
          <w:lang w:val="nl-NL"/>
        </w:rPr>
        <w:t xml:space="preserve"> </w:t>
      </w:r>
      <w:proofErr w:type="spellStart"/>
      <w:r w:rsidRPr="00A17D08">
        <w:rPr>
          <w:rFonts w:ascii="Palatino Linotype" w:hAnsi="Palatino Linotype"/>
          <w:snapToGrid/>
          <w:sz w:val="22"/>
          <w:szCs w:val="22"/>
          <w:lang w:val="nl-NL"/>
        </w:rPr>
        <w:t>nederlands</w:t>
      </w:r>
      <w:proofErr w:type="spellEnd"/>
      <w:r w:rsidRPr="00A17D08">
        <w:rPr>
          <w:rFonts w:ascii="Palatino Linotype" w:hAnsi="Palatino Linotype"/>
          <w:snapToGrid/>
          <w:sz w:val="22"/>
          <w:szCs w:val="22"/>
          <w:lang w:val="nl-NL"/>
        </w:rPr>
        <w:t xml:space="preserve"> </w:t>
      </w:r>
      <w:proofErr w:type="spellStart"/>
      <w:r w:rsidRPr="00A17D08">
        <w:rPr>
          <w:rFonts w:ascii="Palatino Linotype" w:hAnsi="Palatino Linotype"/>
          <w:snapToGrid/>
          <w:sz w:val="22"/>
          <w:szCs w:val="22"/>
          <w:lang w:val="nl-NL"/>
        </w:rPr>
        <w:t>antilliaanse</w:t>
      </w:r>
      <w:proofErr w:type="spellEnd"/>
      <w:r w:rsidRPr="00A17D08">
        <w:rPr>
          <w:rFonts w:ascii="Palatino Linotype" w:hAnsi="Palatino Linotype"/>
          <w:snapToGrid/>
          <w:sz w:val="22"/>
          <w:szCs w:val="22"/>
          <w:lang w:val="nl-NL"/>
        </w:rPr>
        <w:t xml:space="preserve"> guldens” vervangen door: achthonderdvijfentwintig</w:t>
      </w:r>
      <w:r w:rsidRPr="00A17D08">
        <w:rPr>
          <w:lang w:val="nl-NL"/>
        </w:rPr>
        <w:t xml:space="preserve"> </w:t>
      </w:r>
      <w:r w:rsidRPr="00A17D08">
        <w:rPr>
          <w:rFonts w:ascii="Palatino Linotype" w:hAnsi="Palatino Linotype"/>
          <w:snapToGrid/>
          <w:sz w:val="22"/>
          <w:szCs w:val="22"/>
          <w:lang w:val="nl-NL"/>
        </w:rPr>
        <w:t>Nederlands-Antilliaanse guldens.</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E</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In artikel 26, eerste lid, wordt “Koningin” vervangen door: Koning.</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tabs>
          <w:tab w:val="left" w:pos="270"/>
        </w:tabs>
        <w:ind w:left="270" w:hanging="270"/>
        <w:jc w:val="both"/>
        <w:rPr>
          <w:rFonts w:ascii="Palatino Linotype" w:hAnsi="Palatino Linotype"/>
          <w:snapToGrid/>
          <w:sz w:val="22"/>
          <w:szCs w:val="22"/>
          <w:lang w:val="nl-NL"/>
        </w:rPr>
      </w:pPr>
    </w:p>
    <w:p w:rsidR="00A17D08" w:rsidRPr="00A17D08" w:rsidRDefault="00A17D08" w:rsidP="00A17D08">
      <w:pPr>
        <w:widowControl/>
        <w:rPr>
          <w:rFonts w:ascii="Palatino Linotype" w:hAnsi="Palatino Linotype"/>
          <w:snapToGrid/>
          <w:sz w:val="22"/>
          <w:szCs w:val="22"/>
          <w:lang w:val="nl-NL"/>
        </w:rPr>
      </w:pPr>
      <w:r w:rsidRPr="00A17D08">
        <w:rPr>
          <w:rFonts w:ascii="Palatino Linotype" w:hAnsi="Palatino Linotype"/>
          <w:snapToGrid/>
          <w:sz w:val="22"/>
          <w:szCs w:val="22"/>
          <w:lang w:val="nl-NL"/>
        </w:rPr>
        <w:t>Artikel II</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Dit landsbesluit treedt in werking met ingang van de dag na de datum van bekendmaking.</w:t>
      </w:r>
      <w:r w:rsidRPr="00A17D08">
        <w:rPr>
          <w:rFonts w:ascii="Palatino Linotype" w:hAnsi="Palatino Linotype"/>
          <w:snapToGrid/>
          <w:sz w:val="22"/>
          <w:szCs w:val="22"/>
          <w:lang w:val="nl-NL"/>
        </w:rPr>
        <w:tab/>
      </w:r>
      <w:r w:rsidRPr="00A17D08">
        <w:rPr>
          <w:rFonts w:ascii="Palatino Linotype" w:hAnsi="Palatino Linotype"/>
          <w:snapToGrid/>
          <w:sz w:val="22"/>
          <w:szCs w:val="22"/>
          <w:lang w:val="nl-NL"/>
        </w:rPr>
        <w:tab/>
        <w:t xml:space="preserve">     </w:t>
      </w:r>
      <w:r w:rsidRPr="00A17D08">
        <w:rPr>
          <w:rFonts w:ascii="Palatino Linotype" w:hAnsi="Palatino Linotype"/>
          <w:snapToGrid/>
          <w:sz w:val="22"/>
          <w:szCs w:val="22"/>
          <w:lang w:val="nl-NL"/>
        </w:rPr>
        <w:tab/>
      </w:r>
      <w:r w:rsidRPr="00A17D08">
        <w:rPr>
          <w:rFonts w:ascii="Palatino Linotype" w:hAnsi="Palatino Linotype"/>
          <w:snapToGrid/>
          <w:sz w:val="22"/>
          <w:szCs w:val="22"/>
          <w:lang w:val="nl-NL"/>
        </w:rPr>
        <w:tab/>
      </w:r>
      <w:r w:rsidRPr="00A17D08">
        <w:rPr>
          <w:rFonts w:ascii="Palatino Linotype" w:hAnsi="Palatino Linotype"/>
          <w:snapToGrid/>
          <w:sz w:val="22"/>
          <w:szCs w:val="22"/>
          <w:lang w:val="nl-NL"/>
        </w:rPr>
        <w:tab/>
      </w:r>
      <w:r w:rsidRPr="00A17D08">
        <w:rPr>
          <w:rFonts w:ascii="Palatino Linotype" w:hAnsi="Palatino Linotype"/>
          <w:snapToGrid/>
          <w:sz w:val="22"/>
          <w:szCs w:val="22"/>
          <w:lang w:val="nl-NL"/>
        </w:rPr>
        <w:tab/>
      </w:r>
      <w:r w:rsidRPr="00A17D08">
        <w:rPr>
          <w:rFonts w:ascii="Palatino Linotype" w:hAnsi="Palatino Linotype"/>
          <w:snapToGrid/>
          <w:sz w:val="22"/>
          <w:szCs w:val="22"/>
          <w:lang w:val="nl-NL"/>
        </w:rPr>
        <w:tab/>
      </w:r>
      <w:r w:rsidRPr="00A17D08">
        <w:rPr>
          <w:rFonts w:ascii="Palatino Linotype" w:hAnsi="Palatino Linotype"/>
          <w:snapToGrid/>
          <w:sz w:val="22"/>
          <w:szCs w:val="22"/>
          <w:lang w:val="nl-NL"/>
        </w:rPr>
        <w:tab/>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Default="00A17D08" w:rsidP="00A17D08">
      <w:pPr>
        <w:tabs>
          <w:tab w:val="left" w:pos="360"/>
        </w:tabs>
        <w:suppressAutoHyphens/>
        <w:ind w:left="4320" w:right="805" w:hanging="1"/>
        <w:jc w:val="center"/>
        <w:rPr>
          <w:rFonts w:ascii="Palatino Linotype" w:hAnsi="Palatino Linotype"/>
          <w:snapToGrid/>
          <w:sz w:val="22"/>
          <w:szCs w:val="22"/>
          <w:lang w:val="nl-NL"/>
        </w:rPr>
      </w:pPr>
      <w:r w:rsidRPr="00A17D08">
        <w:rPr>
          <w:rFonts w:ascii="Palatino Linotype" w:hAnsi="Palatino Linotype"/>
          <w:snapToGrid/>
          <w:sz w:val="22"/>
          <w:szCs w:val="22"/>
          <w:lang w:val="nl-NL"/>
        </w:rPr>
        <w:t xml:space="preserve">Gegeven te Willemstad, </w:t>
      </w:r>
      <w:r>
        <w:rPr>
          <w:rFonts w:ascii="Palatino Linotype" w:hAnsi="Palatino Linotype"/>
          <w:snapToGrid/>
          <w:sz w:val="22"/>
          <w:szCs w:val="22"/>
          <w:lang w:val="nl-NL"/>
        </w:rPr>
        <w:t>13 september 2024</w:t>
      </w:r>
    </w:p>
    <w:p w:rsidR="00A17D08" w:rsidRPr="00A17D08" w:rsidRDefault="00A17D08" w:rsidP="00A17D08">
      <w:pPr>
        <w:autoSpaceDE w:val="0"/>
        <w:autoSpaceDN w:val="0"/>
        <w:ind w:left="4320" w:right="760"/>
        <w:jc w:val="center"/>
        <w:rPr>
          <w:rFonts w:ascii="Palatino Linotype" w:eastAsia="Palatino Linotype" w:hAnsi="Palatino Linotype" w:cs="Palatino Linotype"/>
          <w:snapToGrid/>
          <w:sz w:val="22"/>
          <w:szCs w:val="22"/>
          <w:lang w:val="nl-NL"/>
        </w:rPr>
      </w:pPr>
      <w:r w:rsidRPr="00A17D08">
        <w:rPr>
          <w:rFonts w:ascii="Palatino Linotype" w:eastAsia="Palatino Linotype" w:hAnsi="Palatino Linotype" w:cs="Palatino Linotype"/>
          <w:snapToGrid/>
          <w:sz w:val="22"/>
          <w:szCs w:val="22"/>
          <w:lang w:val="nl-NL"/>
        </w:rPr>
        <w:t>M. RUSSEL - CAPRILES</w:t>
      </w:r>
    </w:p>
    <w:p w:rsidR="00A17D08" w:rsidRDefault="00A17D08" w:rsidP="00A17D08">
      <w:pPr>
        <w:tabs>
          <w:tab w:val="left" w:pos="360"/>
        </w:tabs>
        <w:suppressAutoHyphens/>
        <w:ind w:left="4320" w:right="805" w:hanging="1"/>
        <w:rPr>
          <w:rFonts w:ascii="Palatino Linotype" w:hAnsi="Palatino Linotype"/>
          <w:snapToGrid/>
          <w:sz w:val="22"/>
          <w:szCs w:val="22"/>
          <w:lang w:val="nl-NL"/>
        </w:rPr>
      </w:pPr>
    </w:p>
    <w:p w:rsidR="00A17D08" w:rsidRPr="00A17D08" w:rsidRDefault="00A17D08" w:rsidP="00A17D08">
      <w:pPr>
        <w:widowControl/>
        <w:ind w:left="3600" w:firstLine="720"/>
        <w:jc w:val="both"/>
        <w:rPr>
          <w:rFonts w:ascii="Palatino Linotype" w:hAnsi="Palatino Linotype"/>
          <w:snapToGrid/>
          <w:sz w:val="22"/>
          <w:szCs w:val="22"/>
          <w:lang w:val="nl-NL"/>
        </w:rPr>
      </w:pPr>
    </w:p>
    <w:p w:rsid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De Minister van Justitie,</w:t>
      </w:r>
    </w:p>
    <w:p w:rsidR="00A17D08" w:rsidRPr="00A17D08" w:rsidRDefault="00A17D08" w:rsidP="00A17D08">
      <w:pPr>
        <w:widowControl/>
        <w:ind w:right="6970"/>
        <w:jc w:val="center"/>
        <w:rPr>
          <w:rFonts w:ascii="Palatino Linotype" w:hAnsi="Palatino Linotype"/>
          <w:snapToGrid/>
          <w:sz w:val="22"/>
          <w:szCs w:val="22"/>
          <w:lang w:val="nl-NL"/>
        </w:rPr>
      </w:pPr>
      <w:r w:rsidRPr="00A17D08">
        <w:rPr>
          <w:rFonts w:ascii="Palatino Linotype" w:eastAsia="Palatino Linotype" w:hAnsi="Palatino Linotype" w:cs="Palatino Linotype"/>
          <w:snapToGrid/>
          <w:sz w:val="22"/>
          <w:szCs w:val="22"/>
          <w:lang w:val="nl-NL"/>
        </w:rPr>
        <w:t>S.X.T. HATO</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ind w:left="4320"/>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Uitgegeven de </w:t>
      </w:r>
      <w:r>
        <w:rPr>
          <w:rFonts w:ascii="Palatino Linotype" w:hAnsi="Palatino Linotype"/>
          <w:snapToGrid/>
          <w:sz w:val="22"/>
          <w:szCs w:val="22"/>
          <w:lang w:val="nl-NL"/>
        </w:rPr>
        <w:t>25</w:t>
      </w:r>
      <w:r w:rsidRPr="00A17D08">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w:t>
      </w:r>
      <w:r w:rsidR="00B870FB">
        <w:rPr>
          <w:rFonts w:ascii="Palatino Linotype" w:hAnsi="Palatino Linotype"/>
          <w:snapToGrid/>
          <w:sz w:val="22"/>
          <w:szCs w:val="22"/>
          <w:lang w:val="nl-NL"/>
        </w:rPr>
        <w:t>oktober</w:t>
      </w:r>
      <w:r>
        <w:rPr>
          <w:rFonts w:ascii="Palatino Linotype" w:hAnsi="Palatino Linotype"/>
          <w:snapToGrid/>
          <w:sz w:val="22"/>
          <w:szCs w:val="22"/>
          <w:lang w:val="nl-NL"/>
        </w:rPr>
        <w:t xml:space="preserve"> 2024</w:t>
      </w:r>
    </w:p>
    <w:p w:rsidR="00A17D08" w:rsidRDefault="00A17D08" w:rsidP="00A17D08">
      <w:pPr>
        <w:widowControl/>
        <w:ind w:left="4320"/>
        <w:jc w:val="both"/>
        <w:rPr>
          <w:rFonts w:ascii="Palatino Linotype" w:hAnsi="Palatino Linotype"/>
          <w:snapToGrid/>
          <w:sz w:val="22"/>
          <w:szCs w:val="22"/>
          <w:lang w:val="nl-NL"/>
        </w:rPr>
      </w:pPr>
      <w:r w:rsidRPr="00A17D08">
        <w:rPr>
          <w:rFonts w:ascii="Palatino Linotype" w:hAnsi="Palatino Linotype"/>
          <w:snapToGrid/>
          <w:sz w:val="22"/>
          <w:szCs w:val="22"/>
          <w:lang w:val="nl-NL"/>
        </w:rPr>
        <w:t>De Minister van Algemene Zaken,</w:t>
      </w:r>
    </w:p>
    <w:p w:rsidR="00A17D08" w:rsidRPr="00A17D08" w:rsidRDefault="00A17D08" w:rsidP="00A17D08">
      <w:pPr>
        <w:autoSpaceDE w:val="0"/>
        <w:autoSpaceDN w:val="0"/>
        <w:ind w:left="4320" w:right="1570"/>
        <w:jc w:val="center"/>
        <w:rPr>
          <w:rFonts w:ascii="Palatino Linotype" w:eastAsia="Palatino Linotype" w:hAnsi="Palatino Linotype" w:cs="Palatino Linotype"/>
          <w:snapToGrid/>
          <w:sz w:val="22"/>
          <w:szCs w:val="22"/>
          <w:lang w:val="nl-NL"/>
        </w:rPr>
      </w:pPr>
      <w:r w:rsidRPr="00A17D08">
        <w:rPr>
          <w:rFonts w:ascii="Palatino Linotype" w:eastAsia="Palatino Linotype" w:hAnsi="Palatino Linotype" w:cs="Palatino Linotype"/>
          <w:snapToGrid/>
          <w:sz w:val="22"/>
          <w:szCs w:val="22"/>
          <w:lang w:val="nl-NL"/>
        </w:rPr>
        <w:t>G.S. PISAS</w:t>
      </w:r>
    </w:p>
    <w:p w:rsidR="00A17D08" w:rsidRPr="00A17D08" w:rsidRDefault="00A17D08" w:rsidP="00A17D08">
      <w:pPr>
        <w:widowControl/>
        <w:ind w:left="4230"/>
        <w:jc w:val="both"/>
        <w:rPr>
          <w:rFonts w:ascii="Palatino Linotype" w:hAnsi="Palatino Linotype"/>
          <w:snapToGrid/>
          <w:sz w:val="22"/>
          <w:szCs w:val="22"/>
          <w:lang w:val="nl-NL"/>
        </w:rPr>
      </w:pPr>
    </w:p>
    <w:p w:rsidR="00A17D08" w:rsidRPr="00A17D08" w:rsidRDefault="00A17D08" w:rsidP="00A17D08">
      <w:pPr>
        <w:widowControl/>
        <w:ind w:left="4590"/>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 </w:t>
      </w:r>
    </w:p>
    <w:p w:rsidR="00A17D08" w:rsidRPr="00A17D08" w:rsidRDefault="00A17D08" w:rsidP="00A17D08">
      <w:pPr>
        <w:widowControl/>
        <w:rPr>
          <w:rFonts w:ascii="Palatino Linotype" w:hAnsi="Palatino Linotype"/>
          <w:snapToGrid/>
          <w:sz w:val="22"/>
          <w:szCs w:val="22"/>
          <w:lang w:val="nl-NL"/>
        </w:rPr>
      </w:pPr>
      <w:r w:rsidRPr="00A17D08">
        <w:rPr>
          <w:rFonts w:ascii="Palatino Linotype" w:hAnsi="Palatino Linotype"/>
          <w:snapToGrid/>
          <w:sz w:val="22"/>
          <w:szCs w:val="22"/>
          <w:lang w:val="nl-NL"/>
        </w:rPr>
        <w:br w:type="page"/>
      </w:r>
    </w:p>
    <w:p w:rsidR="00A17D08" w:rsidRPr="00A17D08" w:rsidRDefault="00A17D08" w:rsidP="00A17D08">
      <w:pPr>
        <w:widowControl/>
        <w:jc w:val="both"/>
        <w:rPr>
          <w:rFonts w:ascii="Palatino Linotype" w:hAnsi="Palatino Linotype"/>
          <w:snapToGrid/>
          <w:sz w:val="22"/>
          <w:szCs w:val="22"/>
          <w:lang w:val="nl-NL"/>
        </w:rPr>
      </w:pPr>
      <w:bookmarkStart w:id="1" w:name="_Hlk174008921"/>
      <w:r w:rsidRPr="00A17D08">
        <w:rPr>
          <w:rFonts w:ascii="Palatino Linotype" w:hAnsi="Palatino Linotype"/>
          <w:snapToGrid/>
          <w:sz w:val="22"/>
          <w:szCs w:val="22"/>
          <w:lang w:val="nl-NL"/>
        </w:rPr>
        <w:lastRenderedPageBreak/>
        <w:t>NOTA VAN TOELICHTING bij het Landsbesluit van de 13</w:t>
      </w:r>
      <w:r w:rsidRPr="00A17D08">
        <w:rPr>
          <w:rFonts w:ascii="Palatino Linotype" w:hAnsi="Palatino Linotype"/>
          <w:snapToGrid/>
          <w:sz w:val="22"/>
          <w:szCs w:val="22"/>
          <w:vertAlign w:val="superscript"/>
          <w:lang w:val="nl-NL"/>
        </w:rPr>
        <w:t>de</w:t>
      </w:r>
      <w:r w:rsidRPr="00A17D08">
        <w:rPr>
          <w:rFonts w:ascii="Palatino Linotype" w:hAnsi="Palatino Linotype"/>
          <w:snapToGrid/>
          <w:sz w:val="22"/>
          <w:szCs w:val="22"/>
          <w:lang w:val="nl-NL"/>
        </w:rPr>
        <w:t xml:space="preserve"> september 2024, houdende wijziging van de Gevangenismaatregel 1999</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b/>
          <w:snapToGrid/>
          <w:sz w:val="22"/>
          <w:szCs w:val="22"/>
          <w:lang w:val="nl-NL"/>
        </w:rPr>
      </w:pPr>
      <w:r w:rsidRPr="00A17D08">
        <w:rPr>
          <w:rFonts w:ascii="Palatino Linotype" w:hAnsi="Palatino Linotype"/>
          <w:b/>
          <w:snapToGrid/>
          <w:sz w:val="22"/>
          <w:szCs w:val="22"/>
          <w:lang w:val="nl-NL"/>
        </w:rPr>
        <w:t xml:space="preserve">Algemeen deel </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Met dit besluit wordt onderscheidenlijk de discrepantie tussen de artikelen 21 en 22 van de Gevangenismaatregel 1999 (hierna: Gevangenismaatregel) en artikel 26 van de Landsverordening beginselen gevangeniswezen opgeheven, de allocatie van de geldelijke middelen van gedetineerden op hun rekening in het rekeningenregister op de posten ‘Eigen geld’ en ‘Zakgeld’ veranderd en het bedrag dat gedetineerden per maand van derden mogen ontvangen van vijfhonderd Nederlands-Antilliaanse guldens naar achthonderdvijfentwintig Nederlands-Antilliaanse guldens verhoogd.</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 xml:space="preserve">Opheffen discrepantie </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Ingevolge artikel 1:30 van het Wetboek van Strafrecht van Curaçao wordt de gevangenhouding van levenslanggestraften, herzien. Concreet houdt dit in dat de eerste evaluatie na twintig jaar plaatsvindt, gevolgd door een herziening om de vijf jaar. Deze wet creëert mogelijkheid tot voorwaardelijke vrijlating, wat een belangrijke verandering betekende in het nationale recht.</w:t>
      </w: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snapToGrid/>
          <w:sz w:val="22"/>
          <w:szCs w:val="22"/>
          <w:lang w:val="nl-NL"/>
        </w:rPr>
        <w:t>Voor d</w:t>
      </w:r>
      <w:r w:rsidRPr="00A17D08">
        <w:rPr>
          <w:rFonts w:ascii="Palatino Linotype" w:hAnsi="Palatino Linotype"/>
          <w:i/>
          <w:snapToGrid/>
          <w:sz w:val="22"/>
          <w:szCs w:val="22"/>
          <w:lang w:val="nl-NL"/>
        </w:rPr>
        <w:t xml:space="preserve">e </w:t>
      </w:r>
      <w:r w:rsidRPr="00A17D08">
        <w:rPr>
          <w:rFonts w:ascii="Palatino Linotype" w:hAnsi="Palatino Linotype"/>
          <w:snapToGrid/>
          <w:sz w:val="22"/>
          <w:szCs w:val="22"/>
          <w:lang w:val="nl-NL"/>
        </w:rPr>
        <w:t>gedetineerden met lange straffen wordt hetzelfde systeem als bij andere gedetineerden toegepast. Het is bewezen dat dit systeem werkt voor de groep gedetineerden met lange straffen die vergelijkbaar is met de groep levenslanggestraften. Gedetineerden die een gevangenisstraf van dertig jaar opgelegd hebben gekregen, komen in aanmerking voor voorwaardelijke invrijheidstelling (VI) na twintig jaar, afhankelijk van goed gedrag en andere factoren. De regering opteert om hetzelfde systeem voor levenslanggestraften te hanteren.</w:t>
      </w:r>
      <w:r w:rsidRPr="00A17D08">
        <w:rPr>
          <w:rFonts w:ascii="Palatino Linotype" w:hAnsi="Palatino Linotype"/>
          <w:i/>
          <w:snapToGrid/>
          <w:sz w:val="22"/>
          <w:szCs w:val="22"/>
          <w:lang w:val="nl-NL"/>
        </w:rPr>
        <w:t xml:space="preserve"> </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Het Europese Hof voor de Rechten van de Mens heeft voorts in 2016 in de </w:t>
      </w:r>
      <w:r w:rsidRPr="00A17D08">
        <w:rPr>
          <w:rFonts w:ascii="Palatino Linotype" w:hAnsi="Palatino Linotype"/>
          <w:bCs/>
          <w:snapToGrid/>
          <w:sz w:val="22"/>
          <w:szCs w:val="22"/>
          <w:lang w:val="nl-NL"/>
        </w:rPr>
        <w:t>Murray</w:t>
      </w:r>
      <w:r w:rsidRPr="00A17D08">
        <w:rPr>
          <w:rFonts w:ascii="Palatino Linotype" w:hAnsi="Palatino Linotype"/>
          <w:snapToGrid/>
          <w:sz w:val="22"/>
          <w:szCs w:val="22"/>
          <w:lang w:val="nl-NL"/>
        </w:rPr>
        <w:t>-zaak</w:t>
      </w:r>
      <w:r w:rsidRPr="00A17D08">
        <w:rPr>
          <w:rFonts w:ascii="Palatino Linotype" w:hAnsi="Palatino Linotype"/>
          <w:snapToGrid/>
          <w:sz w:val="22"/>
          <w:szCs w:val="22"/>
          <w:vertAlign w:val="superscript"/>
          <w:lang w:val="nl-NL"/>
        </w:rPr>
        <w:footnoteReference w:id="2"/>
      </w:r>
      <w:r w:rsidRPr="00A17D08">
        <w:rPr>
          <w:rFonts w:ascii="Palatino Linotype" w:hAnsi="Palatino Linotype"/>
          <w:snapToGrid/>
          <w:sz w:val="22"/>
          <w:szCs w:val="22"/>
          <w:lang w:val="nl-NL"/>
        </w:rPr>
        <w:t xml:space="preserve"> duidelijk gemaakt, dat een levenslange gevangenisstraf zonder enig perspectief op vrijlating niet langer houdbaar is onder het huidige juridische kader. Deze zaak benadrukte het belang van herziening en re-integratie van gedetineerden in de samenleving.</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Allocatie geldelijke middelen.</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Om de werkprocessen te synchroniseren met de regelgeving wordt de term financiële post ‘Eigen geld’ zoals vermeld in het oude artikel 19, derde lid, van de Gevangenismaatregel 1999, gewijzigd in ‘Zakgeld’.</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Verhogen van het bedrag dat gedetineerden ontvangen van derden</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De Gevangenismaatregel 1999 regelde in artikel 23, tweede lid, dat gedetineerden per kalendermaand maximaal </w:t>
      </w:r>
      <w:bookmarkStart w:id="2" w:name="_Hlk176430188"/>
      <w:r w:rsidRPr="00A17D08">
        <w:rPr>
          <w:rFonts w:ascii="Palatino Linotype" w:hAnsi="Palatino Linotype"/>
          <w:snapToGrid/>
          <w:sz w:val="22"/>
          <w:szCs w:val="22"/>
          <w:lang w:val="nl-NL"/>
        </w:rPr>
        <w:t>vijfhonderd Nederlands-Antilliaanse guldens</w:t>
      </w:r>
      <w:bookmarkEnd w:id="2"/>
      <w:r w:rsidRPr="00A17D08">
        <w:rPr>
          <w:rFonts w:ascii="Palatino Linotype" w:hAnsi="Palatino Linotype"/>
          <w:snapToGrid/>
          <w:sz w:val="22"/>
          <w:szCs w:val="22"/>
          <w:lang w:val="nl-NL"/>
        </w:rPr>
        <w:t xml:space="preserve"> of het equivalent daarvan konden ontvangen van derden. Dit bedrag was sinds 1999 niet meer geïndexeerd, terwijl de kosten van levensonderhoud (</w:t>
      </w:r>
      <w:proofErr w:type="spellStart"/>
      <w:r w:rsidRPr="00A17D08">
        <w:rPr>
          <w:rFonts w:ascii="Palatino Linotype" w:hAnsi="Palatino Linotype"/>
          <w:snapToGrid/>
          <w:sz w:val="22"/>
          <w:szCs w:val="22"/>
          <w:lang w:val="nl-NL"/>
        </w:rPr>
        <w:t>cost</w:t>
      </w:r>
      <w:proofErr w:type="spellEnd"/>
      <w:r w:rsidRPr="00A17D08">
        <w:rPr>
          <w:rFonts w:ascii="Palatino Linotype" w:hAnsi="Palatino Linotype"/>
          <w:snapToGrid/>
          <w:sz w:val="22"/>
          <w:szCs w:val="22"/>
          <w:lang w:val="nl-NL"/>
        </w:rPr>
        <w:t xml:space="preserve"> of living) sinds de inwerkingtreding van de Gevangenismaatregel enorm zijn toegenomen. Blijkens de statistieken van het Centraal Bureau voor de Statistiek heeft vanaf de inwerkingtreding van de Gevangenismaatregel tot aan 2023 een inflatie plaatsgevonden van in totaal 64.6</w:t>
      </w:r>
      <w:r w:rsidRPr="00A17D08">
        <w:rPr>
          <w:rFonts w:ascii="Palatino Linotype" w:hAnsi="Palatino Linotype"/>
          <w:snapToGrid/>
          <w:sz w:val="22"/>
          <w:szCs w:val="22"/>
          <w:vertAlign w:val="superscript"/>
          <w:lang w:val="nl-NL"/>
        </w:rPr>
        <w:footnoteReference w:id="3"/>
      </w:r>
      <w:r w:rsidRPr="00A17D08">
        <w:rPr>
          <w:rFonts w:ascii="Palatino Linotype" w:hAnsi="Palatino Linotype"/>
          <w:snapToGrid/>
          <w:sz w:val="22"/>
          <w:szCs w:val="22"/>
          <w:lang w:val="nl-NL"/>
        </w:rPr>
        <w:t xml:space="preserve">. Gedetineerden betalen daarnaast zelf voor sommige etenswaren, goederen alsook voedingssupplementen en bepaalde diensten die door het telecommunicatiebedrijf worden aangeboden en constant onderhevig zijn aan prijsstijging. De </w:t>
      </w:r>
      <w:r w:rsidRPr="00A17D08">
        <w:rPr>
          <w:rFonts w:ascii="Palatino Linotype" w:hAnsi="Palatino Linotype"/>
          <w:snapToGrid/>
          <w:sz w:val="22"/>
          <w:szCs w:val="22"/>
          <w:lang w:val="nl-NL"/>
        </w:rPr>
        <w:lastRenderedPageBreak/>
        <w:t xml:space="preserve">regering verhoogt met onderhavig landsbesluit het bedrag van vijfhonderd </w:t>
      </w:r>
      <w:r w:rsidRPr="00A17D08">
        <w:rPr>
          <w:rFonts w:ascii="Palatino Linotype" w:hAnsi="Palatino Linotype"/>
          <w:snapToGrid/>
          <w:sz w:val="22"/>
          <w:szCs w:val="22"/>
          <w:lang w:val="nl-NL"/>
        </w:rPr>
        <w:br/>
        <w:t xml:space="preserve">Nederlands-Antilliaanse guldens naar achthonderdvijfentwintig Nederlands-Antilliaanse guldens. </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b/>
          <w:snapToGrid/>
          <w:sz w:val="22"/>
          <w:szCs w:val="22"/>
          <w:lang w:val="nl-NL"/>
        </w:rPr>
      </w:pPr>
      <w:r w:rsidRPr="00A17D08">
        <w:rPr>
          <w:rFonts w:ascii="Palatino Linotype" w:hAnsi="Palatino Linotype"/>
          <w:b/>
          <w:snapToGrid/>
          <w:sz w:val="22"/>
          <w:szCs w:val="22"/>
          <w:lang w:val="nl-NL"/>
        </w:rPr>
        <w:t>Financiële gevolgen</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Deze wijziging van de Gevangenismaatregel 1999 betreft de verhoging per kalendermaand voor bedragen die gedetineerden van derden mogen ontvangen. Het betreft administratieve werkzaamheden die reeds onderdeel vormen van de taken van de </w:t>
      </w:r>
      <w:proofErr w:type="spellStart"/>
      <w:r w:rsidRPr="00A17D08">
        <w:rPr>
          <w:rFonts w:ascii="Palatino Linotype" w:hAnsi="Palatino Linotype"/>
          <w:snapToGrid/>
          <w:sz w:val="22"/>
          <w:szCs w:val="22"/>
          <w:lang w:val="nl-NL"/>
        </w:rPr>
        <w:t>Sentro</w:t>
      </w:r>
      <w:proofErr w:type="spellEnd"/>
      <w:r w:rsidRPr="00A17D08">
        <w:rPr>
          <w:rFonts w:ascii="Palatino Linotype" w:hAnsi="Palatino Linotype"/>
          <w:snapToGrid/>
          <w:sz w:val="22"/>
          <w:szCs w:val="22"/>
          <w:lang w:val="nl-NL"/>
        </w:rPr>
        <w:t xml:space="preserve"> di </w:t>
      </w:r>
      <w:proofErr w:type="spellStart"/>
      <w:r w:rsidRPr="00A17D08">
        <w:rPr>
          <w:rFonts w:ascii="Palatino Linotype" w:hAnsi="Palatino Linotype"/>
          <w:snapToGrid/>
          <w:sz w:val="22"/>
          <w:szCs w:val="22"/>
          <w:lang w:val="nl-NL"/>
        </w:rPr>
        <w:t>Detenshon</w:t>
      </w:r>
      <w:proofErr w:type="spellEnd"/>
      <w:r w:rsidRPr="00A17D08">
        <w:rPr>
          <w:rFonts w:ascii="Palatino Linotype" w:hAnsi="Palatino Linotype"/>
          <w:snapToGrid/>
          <w:sz w:val="22"/>
          <w:szCs w:val="22"/>
          <w:lang w:val="nl-NL"/>
        </w:rPr>
        <w:t xml:space="preserve"> i </w:t>
      </w:r>
      <w:proofErr w:type="spellStart"/>
      <w:r w:rsidRPr="00A17D08">
        <w:rPr>
          <w:rFonts w:ascii="Palatino Linotype" w:hAnsi="Palatino Linotype"/>
          <w:snapToGrid/>
          <w:sz w:val="22"/>
          <w:szCs w:val="22"/>
          <w:lang w:val="nl-NL"/>
        </w:rPr>
        <w:t>Korekshon</w:t>
      </w:r>
      <w:proofErr w:type="spellEnd"/>
      <w:r w:rsidRPr="00A17D08">
        <w:rPr>
          <w:rFonts w:ascii="Palatino Linotype" w:hAnsi="Palatino Linotype"/>
          <w:snapToGrid/>
          <w:sz w:val="22"/>
          <w:szCs w:val="22"/>
          <w:lang w:val="nl-NL"/>
        </w:rPr>
        <w:t xml:space="preserve"> </w:t>
      </w:r>
      <w:proofErr w:type="spellStart"/>
      <w:r w:rsidRPr="00A17D08">
        <w:rPr>
          <w:rFonts w:ascii="Palatino Linotype" w:hAnsi="Palatino Linotype"/>
          <w:snapToGrid/>
          <w:sz w:val="22"/>
          <w:szCs w:val="22"/>
          <w:lang w:val="nl-NL"/>
        </w:rPr>
        <w:t>Korsou</w:t>
      </w:r>
      <w:proofErr w:type="spellEnd"/>
      <w:r w:rsidRPr="00A17D08">
        <w:rPr>
          <w:rFonts w:ascii="Palatino Linotype" w:hAnsi="Palatino Linotype"/>
          <w:snapToGrid/>
          <w:sz w:val="22"/>
          <w:szCs w:val="22"/>
          <w:lang w:val="nl-NL"/>
        </w:rPr>
        <w:t xml:space="preserve"> en heeft dus geen additionele financiële gevolgen voor de begroting van het Land. </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b/>
          <w:snapToGrid/>
          <w:sz w:val="22"/>
          <w:szCs w:val="22"/>
          <w:lang w:val="nl-NL"/>
        </w:rPr>
      </w:pPr>
      <w:r w:rsidRPr="00A17D08">
        <w:rPr>
          <w:rFonts w:ascii="Palatino Linotype" w:hAnsi="Palatino Linotype"/>
          <w:b/>
          <w:snapToGrid/>
          <w:sz w:val="22"/>
          <w:szCs w:val="22"/>
          <w:lang w:val="nl-NL"/>
        </w:rPr>
        <w:t>Advies Raad van Advies</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De Raad van Advies heeft op 19 maart 2024 advies uitgebracht (RvA no. RA/04-24-LB). De door de Raad van Advies gemaakte inhoudelijke opmerkingen en opmerkingen van wetstechnische en redactionele aard zijn verwerkt. </w:t>
      </w:r>
    </w:p>
    <w:p w:rsidR="00A17D08" w:rsidRPr="00A17D08" w:rsidRDefault="00A17D08" w:rsidP="00A17D08">
      <w:pPr>
        <w:tabs>
          <w:tab w:val="left" w:pos="6262"/>
        </w:tabs>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Hieronder volgt een uiteenzetting over de adviespunten van de Raad, deze zijn cursief gedrukt. Na de tekst van het advies van de Raad is de reactie van de regering op het betreffende adviespunt opgenomen. </w:t>
      </w:r>
    </w:p>
    <w:p w:rsidR="00A17D08" w:rsidRPr="00A17D08" w:rsidRDefault="00A17D08" w:rsidP="00A17D08">
      <w:pPr>
        <w:tabs>
          <w:tab w:val="left" w:pos="6262"/>
        </w:tabs>
        <w:jc w:val="both"/>
        <w:rPr>
          <w:rFonts w:ascii="Palatino Linotype" w:hAnsi="Palatino Linotype"/>
          <w:i/>
          <w:snapToGrid/>
          <w:sz w:val="22"/>
          <w:szCs w:val="22"/>
          <w:lang w:val="nl-NL"/>
        </w:rPr>
      </w:pP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De Raad merkt op dat in de nota van toelichting geen aandacht is besteed aan de beslissing van het Europees Hof voor de Rechten van de Mens in de Murray-Zaak. Door deze beslissing kunnen alle levenslanggestraften in aanmerking komen voor een voorwaardelijke invrijheidstelling. Hierdoor heeft het sparen op de ‘Uitgangskas’ ook relevantie voor langgestraften. De Raad adviseert de regering de nota van toelichting op dit punt aan te vullen.</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De regering neemt dit advies over alsook wordt een toelichting op de herzieningsmaatregel zoals geregeld in artikel 1:30 van het Wetboek van Strafrecht hierin belicht.</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De Raad adviseert de regering om te onderzoeken of er redenen zijn om een andere regeling voor het sparen op de “Uitgangskas” te gebruiken voor levenslanggestraften dan de tijdelijk gestraften. Hiervoor moeten er redelijke en objectieve gronden aangevoerd worden, die in de nota van toelichting dienen te worden opgenomen.  Alsook zal in de nota van toelichting de verschillende alternatieven waaruit er een keuze is gemaakt met onderbouwing, vermeld moeten worden.</w:t>
      </w:r>
    </w:p>
    <w:p w:rsidR="00A17D08" w:rsidRPr="00A17D08" w:rsidRDefault="00A17D08" w:rsidP="00A17D08">
      <w:pPr>
        <w:widowControl/>
        <w:jc w:val="both"/>
        <w:rPr>
          <w:rFonts w:ascii="Palatino Linotype" w:hAnsi="Palatino Linotype"/>
          <w:snapToGrid/>
          <w:sz w:val="22"/>
          <w:szCs w:val="22"/>
          <w:lang w:val="nl-NL"/>
        </w:rPr>
      </w:pPr>
      <w:bookmarkStart w:id="3" w:name="_Hlk174693437"/>
      <w:r w:rsidRPr="00A17D08">
        <w:rPr>
          <w:rFonts w:ascii="Palatino Linotype" w:hAnsi="Palatino Linotype"/>
          <w:snapToGrid/>
          <w:sz w:val="22"/>
          <w:szCs w:val="22"/>
          <w:lang w:val="nl-NL"/>
        </w:rPr>
        <w:t>Hierop informeert de regering dat er voor de gedetineerden met lange straffen hetzelfde systeem als bij andere gedetineerden toegepast wordt. Het is bewezen dat dit systeem voor de groep gedetineerden met lange straffen werkt die vergelijkbaar is met de groep levenslanggestraften. Gedetineerden die een gevangenisstraf van dertig jaar opgelegd hebben gekregen, komen in aanmerking voor voorwaardelijke invrijheidstelling (VI) na twintig jaar, afhankelijk van goed gedrag en andere factoren.</w:t>
      </w:r>
    </w:p>
    <w:p w:rsidR="00A17D08" w:rsidRPr="00A17D08" w:rsidRDefault="00A17D08" w:rsidP="00A17D08">
      <w:pPr>
        <w:widowControl/>
        <w:jc w:val="both"/>
        <w:rPr>
          <w:rFonts w:ascii="Palatino Linotype" w:hAnsi="Palatino Linotype"/>
          <w:snapToGrid/>
          <w:sz w:val="22"/>
          <w:szCs w:val="22"/>
          <w:lang w:val="nl-NL"/>
        </w:rPr>
      </w:pPr>
    </w:p>
    <w:bookmarkEnd w:id="3"/>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 xml:space="preserve">2.   Geld ontvangen van derden direct boeken als ‘Zakgeld’       </w:t>
      </w:r>
    </w:p>
    <w:p w:rsidR="00A17D08" w:rsidRPr="00A17D08" w:rsidRDefault="00A17D08" w:rsidP="00A17D08">
      <w:pPr>
        <w:rPr>
          <w:rFonts w:ascii="Palatino Linotype" w:hAnsi="Palatino Linotype"/>
          <w:i/>
          <w:snapToGrid/>
          <w:sz w:val="22"/>
          <w:szCs w:val="22"/>
          <w:lang w:val="nl-NL"/>
        </w:rPr>
      </w:pPr>
      <w:r w:rsidRPr="00A17D08">
        <w:rPr>
          <w:rFonts w:ascii="Palatino Linotype" w:hAnsi="Palatino Linotype"/>
          <w:i/>
          <w:snapToGrid/>
          <w:sz w:val="22"/>
          <w:szCs w:val="22"/>
          <w:lang w:val="nl-NL"/>
        </w:rPr>
        <w:t>De Raad adviseert de regering om in de nota van toelichting te motiveren waarom de wijziging in de posten waarop de gelden ontvangen door derden worden geboekt, wordt voorgesteld.</w:t>
      </w:r>
    </w:p>
    <w:p w:rsidR="00A17D08" w:rsidRPr="00A17D08" w:rsidRDefault="00A17D08" w:rsidP="00A17D08">
      <w:pPr>
        <w:rPr>
          <w:rFonts w:ascii="Palatino Linotype" w:hAnsi="Palatino Linotype"/>
          <w:snapToGrid/>
          <w:sz w:val="22"/>
          <w:szCs w:val="22"/>
          <w:lang w:val="nl-NL"/>
        </w:rPr>
      </w:pPr>
      <w:r w:rsidRPr="00A17D08">
        <w:rPr>
          <w:rFonts w:ascii="Palatino Linotype" w:hAnsi="Palatino Linotype"/>
          <w:snapToGrid/>
          <w:sz w:val="22"/>
          <w:szCs w:val="22"/>
          <w:lang w:val="nl-NL"/>
        </w:rPr>
        <w:t>De regering heeft het voorstel van de Raad in de nota van toelichting verwerkt.</w:t>
      </w:r>
    </w:p>
    <w:p w:rsidR="00A17D08" w:rsidRDefault="00A17D08" w:rsidP="00A17D08">
      <w:pPr>
        <w:rPr>
          <w:snapToGrid/>
          <w:lang w:val="nl-NL"/>
        </w:rPr>
      </w:pPr>
    </w:p>
    <w:p w:rsidR="00A17D08" w:rsidRDefault="00A17D08" w:rsidP="00A17D08">
      <w:pPr>
        <w:rPr>
          <w:snapToGrid/>
          <w:lang w:val="nl-NL"/>
        </w:rPr>
      </w:pPr>
    </w:p>
    <w:p w:rsidR="008A4558" w:rsidRPr="00A17D08" w:rsidRDefault="008A4558" w:rsidP="00A17D08">
      <w:pPr>
        <w:rPr>
          <w:snapToGrid/>
          <w:lang w:val="nl-NL"/>
        </w:rPr>
      </w:pPr>
      <w:bookmarkStart w:id="4" w:name="_GoBack"/>
      <w:bookmarkEnd w:id="4"/>
    </w:p>
    <w:p w:rsidR="00A17D08" w:rsidRPr="00A17D08" w:rsidRDefault="00A17D08" w:rsidP="00A17D08">
      <w:pPr>
        <w:rPr>
          <w:rFonts w:ascii="Palatino Linotype" w:hAnsi="Palatino Linotype"/>
          <w:i/>
          <w:snapToGrid/>
          <w:sz w:val="22"/>
          <w:szCs w:val="22"/>
          <w:lang w:val="nl-NL"/>
        </w:rPr>
      </w:pPr>
      <w:r w:rsidRPr="00A17D08">
        <w:rPr>
          <w:rFonts w:ascii="Palatino Linotype" w:hAnsi="Palatino Linotype"/>
          <w:i/>
          <w:snapToGrid/>
          <w:sz w:val="22"/>
          <w:szCs w:val="22"/>
          <w:lang w:val="nl-NL"/>
        </w:rPr>
        <w:lastRenderedPageBreak/>
        <w:t xml:space="preserve"> 3.   H</w:t>
      </w:r>
      <w:r w:rsidRPr="00A17D08">
        <w:rPr>
          <w:rFonts w:ascii="Palatino Linotype" w:hAnsi="Palatino Linotype"/>
          <w:i/>
          <w:snapToGrid/>
          <w:sz w:val="22"/>
          <w:szCs w:val="22"/>
          <w:u w:val="single"/>
          <w:lang w:val="nl-NL"/>
        </w:rPr>
        <w:t>et verhogen van het bedrag dat gedetineerden van derden mogen ontvangen</w:t>
      </w: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De Raad suggereert dat niet het algemene inflatiecijfer maar de werkelijke prijsstijging waarmee de gedetineerden te maken hebben te gebruiken als maatstaf voor het verhogen van het bedrag van derdengelden.</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De regering kan zich niet vinden in de argumenten van de Raad en zal de algemene inflatiecijfer als maatstaf blijven hanteren.</w:t>
      </w:r>
    </w:p>
    <w:p w:rsidR="00A17D08" w:rsidRPr="00A17D08" w:rsidRDefault="00A17D08" w:rsidP="00A17D08">
      <w:pPr>
        <w:widowControl/>
        <w:jc w:val="both"/>
        <w:rPr>
          <w:rFonts w:ascii="Palatino Linotype" w:hAnsi="Palatino Linotype"/>
          <w:i/>
          <w:snapToGrid/>
          <w:sz w:val="22"/>
          <w:szCs w:val="22"/>
          <w:lang w:val="nl-NL"/>
        </w:rPr>
      </w:pP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 xml:space="preserve">Verder adviseert de Raad de regering in de nota van toelichting in te gaan op de reden waarom er 50 % in plaats van het inflatiecijfer van 61.1 % in de periode van 1999 tot 2023, als maatstaf voor de verhoging wordt gebruikt. </w:t>
      </w:r>
      <w:r w:rsidRPr="00A17D08">
        <w:rPr>
          <w:rFonts w:ascii="Palatino Linotype" w:hAnsi="Palatino Linotype"/>
          <w:snapToGrid/>
          <w:sz w:val="22"/>
          <w:szCs w:val="22"/>
          <w:lang w:val="nl-NL"/>
        </w:rPr>
        <w:t xml:space="preserve">De regering gaat mee met het advies van de Raad en hanteert het werkelijke inflatiecijfer van het jaar 2023. Het percentage van 50% die toentertijd gehanteerd werd was het geldige percentage van het jaartal waarin het voorstel door de directeur van de </w:t>
      </w:r>
      <w:proofErr w:type="spellStart"/>
      <w:r w:rsidRPr="00A17D08">
        <w:rPr>
          <w:rFonts w:ascii="Palatino Linotype" w:hAnsi="Palatino Linotype"/>
          <w:snapToGrid/>
          <w:sz w:val="22"/>
          <w:szCs w:val="22"/>
          <w:lang w:val="nl-NL"/>
        </w:rPr>
        <w:t>Sentro</w:t>
      </w:r>
      <w:proofErr w:type="spellEnd"/>
      <w:r w:rsidRPr="00A17D08">
        <w:rPr>
          <w:rFonts w:ascii="Palatino Linotype" w:hAnsi="Palatino Linotype"/>
          <w:snapToGrid/>
          <w:sz w:val="22"/>
          <w:szCs w:val="22"/>
          <w:lang w:val="nl-NL"/>
        </w:rPr>
        <w:t xml:space="preserve"> di </w:t>
      </w:r>
      <w:proofErr w:type="spellStart"/>
      <w:r w:rsidRPr="00A17D08">
        <w:rPr>
          <w:rFonts w:ascii="Palatino Linotype" w:hAnsi="Palatino Linotype"/>
          <w:snapToGrid/>
          <w:sz w:val="22"/>
          <w:szCs w:val="22"/>
          <w:lang w:val="nl-NL"/>
        </w:rPr>
        <w:t>Detenshon</w:t>
      </w:r>
      <w:proofErr w:type="spellEnd"/>
      <w:r w:rsidRPr="00A17D08">
        <w:rPr>
          <w:rFonts w:ascii="Palatino Linotype" w:hAnsi="Palatino Linotype"/>
          <w:snapToGrid/>
          <w:sz w:val="22"/>
          <w:szCs w:val="22"/>
          <w:lang w:val="nl-NL"/>
        </w:rPr>
        <w:t xml:space="preserve"> i </w:t>
      </w:r>
      <w:proofErr w:type="spellStart"/>
      <w:r w:rsidRPr="00A17D08">
        <w:rPr>
          <w:rFonts w:ascii="Palatino Linotype" w:hAnsi="Palatino Linotype"/>
          <w:snapToGrid/>
          <w:sz w:val="22"/>
          <w:szCs w:val="22"/>
          <w:lang w:val="nl-NL"/>
        </w:rPr>
        <w:t>Korekshon</w:t>
      </w:r>
      <w:proofErr w:type="spellEnd"/>
      <w:r w:rsidRPr="00A17D08">
        <w:rPr>
          <w:rFonts w:ascii="Palatino Linotype" w:hAnsi="Palatino Linotype"/>
          <w:snapToGrid/>
          <w:sz w:val="22"/>
          <w:szCs w:val="22"/>
          <w:lang w:val="nl-NL"/>
        </w:rPr>
        <w:t xml:space="preserve"> </w:t>
      </w:r>
      <w:proofErr w:type="spellStart"/>
      <w:r w:rsidRPr="00A17D08">
        <w:rPr>
          <w:rFonts w:ascii="Palatino Linotype" w:hAnsi="Palatino Linotype"/>
          <w:snapToGrid/>
          <w:sz w:val="22"/>
          <w:szCs w:val="22"/>
          <w:lang w:val="nl-NL"/>
        </w:rPr>
        <w:t>Korsou</w:t>
      </w:r>
      <w:proofErr w:type="spellEnd"/>
      <w:r w:rsidRPr="00A17D08">
        <w:rPr>
          <w:rFonts w:ascii="Palatino Linotype" w:hAnsi="Palatino Linotype"/>
          <w:snapToGrid/>
          <w:sz w:val="22"/>
          <w:szCs w:val="22"/>
          <w:lang w:val="nl-NL"/>
        </w:rPr>
        <w:t xml:space="preserve"> ingediend was. Inmiddels zijn de inflatiepercentages gestegen. Het percentagecijfer is dan ook gesteld op 64.6% voor het jaar 2023. Conform de berekening zou het nieuwe bedrag achthonderddrieëntwintig Nederlands-Antilliaanse guldens worden, maar door financieel administratieve redenen wordt deze afgerond naar achthonderdvijfentwintig Nederlands-Antilliaanse guldens. </w:t>
      </w:r>
    </w:p>
    <w:p w:rsidR="00A17D08" w:rsidRPr="00A17D08" w:rsidRDefault="00A17D08" w:rsidP="00A17D08">
      <w:pPr>
        <w:widowControl/>
        <w:jc w:val="both"/>
        <w:rPr>
          <w:rFonts w:ascii="Palatino Linotype" w:hAnsi="Palatino Linotype"/>
          <w:i/>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i/>
          <w:snapToGrid/>
          <w:sz w:val="22"/>
          <w:szCs w:val="22"/>
          <w:lang w:val="nl-NL"/>
        </w:rPr>
        <w:t>De Raad adviseert om een onderzoek te doen naar de werkelijke behoefte aan geld van gedetineerden.</w:t>
      </w:r>
      <w:r w:rsidRPr="00A17D08">
        <w:rPr>
          <w:rFonts w:ascii="Palatino Linotype" w:hAnsi="Palatino Linotype"/>
          <w:snapToGrid/>
          <w:sz w:val="22"/>
          <w:szCs w:val="22"/>
          <w:lang w:val="nl-NL"/>
        </w:rPr>
        <w:t xml:space="preserve"> </w:t>
      </w:r>
      <w:r w:rsidRPr="00A17D08">
        <w:rPr>
          <w:rFonts w:ascii="Palatino Linotype" w:hAnsi="Palatino Linotype"/>
          <w:i/>
          <w:snapToGrid/>
          <w:sz w:val="22"/>
          <w:szCs w:val="22"/>
          <w:lang w:val="nl-NL"/>
        </w:rPr>
        <w:br/>
      </w:r>
      <w:r w:rsidRPr="00A17D08">
        <w:rPr>
          <w:rFonts w:ascii="Palatino Linotype" w:hAnsi="Palatino Linotype"/>
          <w:snapToGrid/>
          <w:sz w:val="22"/>
          <w:szCs w:val="22"/>
          <w:lang w:val="nl-NL"/>
        </w:rPr>
        <w:t xml:space="preserve">Hierop reageert de regering dat er in 2015 een uitgebreid onderzoek plaats heeft gevonden naar de producten die toentertijd op de kantinelijst geplaatst werden. Ingeval er behoefte is aan het uitbreiden van deze lijst wordt er een onderzoek verricht op grond van veiligheids- en gezondheidsaspecten van het nieuw gewenst product door de gedetineerden of de leiding op aanbeveling van de diëtiste.   </w:t>
      </w:r>
    </w:p>
    <w:p w:rsidR="00A17D08" w:rsidRPr="00A17D08" w:rsidRDefault="00A17D08" w:rsidP="00A17D08">
      <w:pPr>
        <w:widowControl/>
        <w:jc w:val="both"/>
        <w:rPr>
          <w:rFonts w:ascii="Palatino Linotype" w:hAnsi="Palatino Linotype"/>
          <w:i/>
          <w:snapToGrid/>
          <w:sz w:val="22"/>
          <w:szCs w:val="22"/>
          <w:lang w:val="nl-NL"/>
        </w:rPr>
      </w:pP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II.    De nota van toelichting</w:t>
      </w:r>
    </w:p>
    <w:p w:rsidR="00A17D08" w:rsidRPr="00A17D08" w:rsidRDefault="00A17D08" w:rsidP="00A17D08">
      <w:pPr>
        <w:widowControl/>
        <w:jc w:val="both"/>
        <w:rPr>
          <w:rFonts w:ascii="Palatino Linotype" w:hAnsi="Palatino Linotype"/>
          <w:i/>
          <w:snapToGrid/>
          <w:sz w:val="22"/>
          <w:szCs w:val="22"/>
          <w:lang w:val="nl-NL"/>
        </w:rPr>
      </w:pPr>
      <w:bookmarkStart w:id="5" w:name="_Hlk167351964"/>
      <w:r w:rsidRPr="00A17D08">
        <w:rPr>
          <w:rFonts w:ascii="Palatino Linotype" w:hAnsi="Palatino Linotype"/>
          <w:i/>
          <w:snapToGrid/>
          <w:sz w:val="22"/>
          <w:szCs w:val="22"/>
          <w:lang w:val="nl-NL"/>
        </w:rPr>
        <w:t xml:space="preserve">De Raad geeft aan dat de nota van toelichting zeer summier is en adviseert de regering om de adviespunten te substantiëren en hiermee meer inhoud aan te geven.   </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De regering neemt dit advies over en heeft de nota van toelichting met de betreffende adviespunten nader onderbouwd. </w:t>
      </w:r>
    </w:p>
    <w:p w:rsidR="00A17D08" w:rsidRPr="00A17D08" w:rsidRDefault="00A17D08" w:rsidP="00A17D08">
      <w:pPr>
        <w:widowControl/>
        <w:jc w:val="both"/>
        <w:rPr>
          <w:rFonts w:ascii="Palatino Linotype" w:hAnsi="Palatino Linotype"/>
          <w:i/>
          <w:snapToGrid/>
          <w:sz w:val="22"/>
          <w:szCs w:val="22"/>
          <w:lang w:val="nl-NL"/>
        </w:rPr>
      </w:pPr>
    </w:p>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III.    De gekozen systematiek</w:t>
      </w:r>
    </w:p>
    <w:bookmarkEnd w:id="5"/>
    <w:p w:rsidR="00A17D08" w:rsidRPr="00A17D08" w:rsidRDefault="00A17D08" w:rsidP="00A17D08">
      <w:pPr>
        <w:widowControl/>
        <w:jc w:val="both"/>
        <w:rPr>
          <w:rFonts w:ascii="Palatino Linotype" w:hAnsi="Palatino Linotype"/>
          <w:i/>
          <w:snapToGrid/>
          <w:sz w:val="22"/>
          <w:szCs w:val="22"/>
          <w:lang w:val="nl-NL"/>
        </w:rPr>
      </w:pPr>
      <w:r w:rsidRPr="00A17D08">
        <w:rPr>
          <w:rFonts w:ascii="Palatino Linotype" w:hAnsi="Palatino Linotype"/>
          <w:i/>
          <w:snapToGrid/>
          <w:sz w:val="22"/>
          <w:szCs w:val="22"/>
          <w:lang w:val="nl-NL"/>
        </w:rPr>
        <w:t>De Raad adviseert de regering om de regels over onderwerpen die onterecht zijn opgenomen op een bepaald wetgevingsniveau, alsnog op het juiste niveau te regelen.</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 xml:space="preserve">De regering kan zich bevinden in de opmerking van de Raad en zal in een later stadium de voorgestelde exercitie laten uitvoeren. </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b/>
          <w:snapToGrid/>
          <w:sz w:val="22"/>
          <w:szCs w:val="22"/>
          <w:lang w:val="nl-NL"/>
        </w:rPr>
      </w:pPr>
      <w:r w:rsidRPr="00A17D08">
        <w:rPr>
          <w:rFonts w:ascii="Palatino Linotype" w:hAnsi="Palatino Linotype"/>
          <w:b/>
          <w:snapToGrid/>
          <w:sz w:val="22"/>
          <w:szCs w:val="22"/>
          <w:lang w:val="nl-NL"/>
        </w:rPr>
        <w:t>Artikelsgewijze toelichting</w:t>
      </w: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Artikel I, onder A en B, betreft een wijziging van de financiële post waarop bedragen ontvangen van derden bestemd voor de gedetineerden worden geboekt.</w:t>
      </w:r>
    </w:p>
    <w:p w:rsidR="00A17D08" w:rsidRPr="00A17D08" w:rsidRDefault="00A17D08" w:rsidP="00A17D08">
      <w:pPr>
        <w:widowControl/>
        <w:jc w:val="both"/>
        <w:rPr>
          <w:rFonts w:ascii="Palatino Linotype" w:hAnsi="Palatino Linotype"/>
          <w:b/>
          <w:snapToGrid/>
          <w:sz w:val="22"/>
          <w:szCs w:val="22"/>
          <w:lang w:val="nl-NL"/>
        </w:rPr>
      </w:pPr>
    </w:p>
    <w:p w:rsidR="00A17D08" w:rsidRPr="00A17D08" w:rsidRDefault="00A17D08" w:rsidP="00A17D08">
      <w:pPr>
        <w:rPr>
          <w:rFonts w:ascii="Calibri" w:eastAsia="Calibri" w:hAnsi="Calibri" w:cs="Calibri"/>
          <w:snapToGrid/>
          <w:sz w:val="22"/>
          <w:szCs w:val="22"/>
          <w:lang w:val="nl-NL"/>
        </w:rPr>
      </w:pPr>
      <w:r w:rsidRPr="00A17D08">
        <w:rPr>
          <w:rFonts w:ascii="Palatino Linotype" w:hAnsi="Palatino Linotype"/>
          <w:snapToGrid/>
          <w:sz w:val="22"/>
          <w:szCs w:val="22"/>
          <w:lang w:val="nl-NL"/>
        </w:rPr>
        <w:t xml:space="preserve">Artikel I, onder C en D, betreft de wijziging waarbij dezelfde regels worden toegepast voor de tot een levenslange gevangenisstraf veroordeelde gedetineerde als alle andere gedetineerden waarbij met arbeid verdiende loon voor de ene helft als zakgeld wordt geboekt en voor de andere helft als uitgaanskas. </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lastRenderedPageBreak/>
        <w:t>Artikel I, onder E, regelt de verhoging van het bedrag dat gedetineerden ontvangen van derden.</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r w:rsidRPr="00A17D08">
        <w:rPr>
          <w:rFonts w:ascii="Palatino Linotype" w:hAnsi="Palatino Linotype"/>
          <w:snapToGrid/>
          <w:sz w:val="22"/>
          <w:szCs w:val="22"/>
          <w:lang w:val="nl-NL"/>
        </w:rPr>
        <w:t>In artikel I, onder F, wordt voorts een omissie gecorrigeerd vanwege de troonopvolging per 30 april 2013 door Koning Willem-Alexander.</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Default="00A17D08" w:rsidP="00A17D08">
      <w:pPr>
        <w:widowControl/>
        <w:ind w:left="6120"/>
        <w:jc w:val="both"/>
        <w:rPr>
          <w:rFonts w:ascii="Palatino Linotype" w:hAnsi="Palatino Linotype"/>
          <w:snapToGrid/>
          <w:sz w:val="22"/>
          <w:szCs w:val="22"/>
          <w:lang w:val="nl-NL"/>
        </w:rPr>
      </w:pPr>
      <w:r w:rsidRPr="00A17D08">
        <w:rPr>
          <w:rFonts w:ascii="Palatino Linotype" w:hAnsi="Palatino Linotype"/>
          <w:snapToGrid/>
          <w:sz w:val="22"/>
          <w:szCs w:val="22"/>
          <w:lang w:val="nl-NL"/>
        </w:rPr>
        <w:t>De Minister van Justitie,</w:t>
      </w:r>
    </w:p>
    <w:p w:rsidR="00A17D08" w:rsidRPr="00A17D08" w:rsidRDefault="00A17D08" w:rsidP="00A17D08">
      <w:pPr>
        <w:widowControl/>
        <w:ind w:left="6120" w:right="850"/>
        <w:jc w:val="center"/>
        <w:rPr>
          <w:rFonts w:ascii="Palatino Linotype" w:hAnsi="Palatino Linotype"/>
          <w:snapToGrid/>
          <w:sz w:val="22"/>
          <w:szCs w:val="22"/>
          <w:lang w:val="nl-NL"/>
        </w:rPr>
      </w:pPr>
      <w:r w:rsidRPr="00A17D08">
        <w:rPr>
          <w:rFonts w:ascii="Palatino Linotype" w:hAnsi="Palatino Linotype"/>
          <w:snapToGrid/>
          <w:sz w:val="22"/>
          <w:szCs w:val="22"/>
          <w:lang w:val="nl-NL"/>
        </w:rPr>
        <w:t>S.X.T. HATO</w:t>
      </w: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widowControl/>
        <w:jc w:val="both"/>
        <w:rPr>
          <w:rFonts w:ascii="Palatino Linotype" w:hAnsi="Palatino Linotype"/>
          <w:snapToGrid/>
          <w:sz w:val="22"/>
          <w:szCs w:val="22"/>
          <w:lang w:val="nl-NL"/>
        </w:rPr>
      </w:pPr>
    </w:p>
    <w:p w:rsidR="00A17D08" w:rsidRPr="00A17D08" w:rsidRDefault="00A17D08" w:rsidP="00A17D08">
      <w:pPr>
        <w:autoSpaceDE w:val="0"/>
        <w:autoSpaceDN w:val="0"/>
        <w:adjustRightInd w:val="0"/>
        <w:rPr>
          <w:rFonts w:ascii="Palatino Linotype" w:hAnsi="Palatino Linotype" w:cs="Arial"/>
          <w:b/>
          <w:sz w:val="22"/>
          <w:szCs w:val="22"/>
          <w:lang w:val="nl-NL"/>
        </w:rPr>
      </w:pPr>
    </w:p>
    <w:p w:rsidR="00A17D08" w:rsidRPr="00A17D08" w:rsidRDefault="00A17D08" w:rsidP="00A17D08">
      <w:pPr>
        <w:autoSpaceDE w:val="0"/>
        <w:autoSpaceDN w:val="0"/>
        <w:adjustRightInd w:val="0"/>
        <w:rPr>
          <w:rFonts w:ascii="Palatino Linotype" w:hAnsi="Palatino Linotype" w:cs="Arial"/>
          <w:b/>
          <w:sz w:val="20"/>
          <w:lang w:val="nl-NL"/>
        </w:rPr>
      </w:pPr>
    </w:p>
    <w:p w:rsidR="00A17D08" w:rsidRPr="00A17D08" w:rsidRDefault="00A17D08" w:rsidP="00A17D08">
      <w:pPr>
        <w:autoSpaceDE w:val="0"/>
        <w:autoSpaceDN w:val="0"/>
        <w:adjustRightInd w:val="0"/>
        <w:rPr>
          <w:rFonts w:ascii="Palatino Linotype" w:hAnsi="Palatino Linotype" w:cs="Arial"/>
          <w:b/>
          <w:sz w:val="20"/>
          <w:lang w:val="nl-NL"/>
        </w:rPr>
      </w:pPr>
    </w:p>
    <w:p w:rsidR="00A17D08" w:rsidRPr="00A17D08" w:rsidRDefault="00A17D08" w:rsidP="00A17D08">
      <w:pPr>
        <w:tabs>
          <w:tab w:val="left" w:pos="-720"/>
        </w:tabs>
        <w:suppressAutoHyphens/>
        <w:jc w:val="both"/>
        <w:rPr>
          <w:rFonts w:ascii="Palatino Linotype" w:hAnsi="Palatino Linotype"/>
          <w:bCs/>
          <w:spacing w:val="-3"/>
          <w:sz w:val="22"/>
          <w:szCs w:val="22"/>
          <w:lang w:val="nl-NL"/>
        </w:rPr>
      </w:pPr>
    </w:p>
    <w:p w:rsidR="00A17D08" w:rsidRPr="00A17D08" w:rsidRDefault="00A17D08" w:rsidP="00A17D08">
      <w:pPr>
        <w:tabs>
          <w:tab w:val="left" w:pos="-720"/>
        </w:tabs>
        <w:suppressAutoHyphens/>
        <w:jc w:val="both"/>
        <w:rPr>
          <w:rFonts w:ascii="Palatino Linotype" w:hAnsi="Palatino Linotype"/>
          <w:bCs/>
          <w:spacing w:val="-3"/>
          <w:sz w:val="22"/>
          <w:szCs w:val="22"/>
          <w:lang w:val="nl-NL"/>
        </w:rPr>
      </w:pPr>
    </w:p>
    <w:bookmarkEnd w:id="1"/>
    <w:p w:rsidR="00A17D08" w:rsidRPr="00A17D08" w:rsidRDefault="00A17D08" w:rsidP="00A17D08">
      <w:pPr>
        <w:tabs>
          <w:tab w:val="left" w:pos="-720"/>
        </w:tabs>
        <w:suppressAutoHyphens/>
        <w:jc w:val="both"/>
        <w:rPr>
          <w:rFonts w:ascii="Palatino Linotype" w:hAnsi="Palatino Linotype"/>
          <w:bCs/>
          <w:spacing w:val="-3"/>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17D08" w:rsidRPr="004C311F" w:rsidRDefault="00A17D08" w:rsidP="00A17D08">
      <w:pPr>
        <w:pStyle w:val="FootnoteText"/>
        <w:rPr>
          <w:rFonts w:ascii="Palatino Linotype" w:hAnsi="Palatino Linotype"/>
          <w:sz w:val="18"/>
          <w:szCs w:val="18"/>
          <w:lang w:val="nl-NL"/>
        </w:rPr>
      </w:pPr>
      <w:r w:rsidRPr="000F2C5D">
        <w:rPr>
          <w:rStyle w:val="FootnoteReference"/>
          <w:rFonts w:ascii="Palatino Linotype" w:hAnsi="Palatino Linotype"/>
          <w:sz w:val="18"/>
          <w:szCs w:val="18"/>
        </w:rPr>
        <w:footnoteRef/>
      </w:r>
      <w:r w:rsidRPr="004C311F">
        <w:rPr>
          <w:rFonts w:ascii="Palatino Linotype" w:hAnsi="Palatino Linotype"/>
          <w:sz w:val="18"/>
          <w:szCs w:val="18"/>
          <w:lang w:val="nl-NL"/>
        </w:rPr>
        <w:t xml:space="preserve"> P.B 2023, no. 42 (GT).</w:t>
      </w:r>
    </w:p>
  </w:footnote>
  <w:footnote w:id="2">
    <w:p w:rsidR="00A17D08" w:rsidRPr="004C311F" w:rsidRDefault="00A17D08" w:rsidP="00A17D08">
      <w:pPr>
        <w:pStyle w:val="FootnoteText"/>
        <w:rPr>
          <w:rFonts w:ascii="Palatino Linotype" w:hAnsi="Palatino Linotype"/>
          <w:sz w:val="20"/>
          <w:lang w:val="nl-NL"/>
        </w:rPr>
      </w:pPr>
      <w:r w:rsidRPr="00856B44">
        <w:rPr>
          <w:rStyle w:val="FootnoteReference"/>
          <w:rFonts w:ascii="Palatino Linotype" w:hAnsi="Palatino Linotype"/>
          <w:sz w:val="20"/>
        </w:rPr>
        <w:footnoteRef/>
      </w:r>
      <w:r w:rsidRPr="004C311F">
        <w:rPr>
          <w:rFonts w:ascii="Palatino Linotype" w:hAnsi="Palatino Linotype"/>
          <w:sz w:val="20"/>
          <w:lang w:val="nl-NL"/>
        </w:rPr>
        <w:t xml:space="preserve"> EHRM </w:t>
      </w:r>
      <w:r w:rsidRPr="00530634">
        <w:rPr>
          <w:rFonts w:ascii="Palatino Linotype" w:hAnsi="Palatino Linotype"/>
          <w:sz w:val="20"/>
          <w:lang w:val="nl-NL"/>
        </w:rPr>
        <w:t>26 april 2016, nr. 10511/10 (Murray/Koninkrijk der Nederlanden</w:t>
      </w:r>
      <w:r>
        <w:rPr>
          <w:rFonts w:ascii="Palatino Linotype" w:hAnsi="Palatino Linotype"/>
          <w:sz w:val="20"/>
          <w:lang w:val="nl-NL"/>
        </w:rPr>
        <w:t>)</w:t>
      </w:r>
    </w:p>
  </w:footnote>
  <w:footnote w:id="3">
    <w:p w:rsidR="00A17D08" w:rsidRPr="00E113AC" w:rsidRDefault="00A17D08" w:rsidP="00A17D08">
      <w:pPr>
        <w:pStyle w:val="FootnoteText"/>
        <w:rPr>
          <w:lang w:val="nl-NL"/>
        </w:rPr>
      </w:pPr>
      <w:r w:rsidRPr="00E113AC">
        <w:rPr>
          <w:rStyle w:val="FootnoteReference"/>
          <w:rFonts w:ascii="Palatino Linotype" w:hAnsi="Palatino Linotype"/>
          <w:sz w:val="20"/>
        </w:rPr>
        <w:footnoteRef/>
      </w:r>
      <w:r w:rsidRPr="00E113AC">
        <w:rPr>
          <w:rFonts w:ascii="Palatino Linotype" w:hAnsi="Palatino Linotype"/>
          <w:sz w:val="20"/>
          <w:lang w:val="nl-NL"/>
        </w:rPr>
        <w:t xml:space="preserve"> Centraal Bureau Statistiek: https://www.cbs.cw/inflationprices</w:t>
      </w:r>
      <w:r w:rsidRPr="00E113AC">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A4558">
      <w:rPr>
        <w:rFonts w:ascii="Times New Roman" w:hAnsi="Times New Roman"/>
        <w:b/>
        <w:spacing w:val="-4"/>
        <w:sz w:val="36"/>
      </w:rPr>
      <w:t>119</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A4558">
      <w:rPr>
        <w:rFonts w:ascii="Times New Roman" w:hAnsi="Times New Roman"/>
        <w:b/>
        <w:spacing w:val="-4"/>
        <w:sz w:val="36"/>
      </w:rPr>
      <w:t>119</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E660F4"/>
    <w:multiLevelType w:val="hybridMultilevel"/>
    <w:tmpl w:val="DBD65ABE"/>
    <w:lvl w:ilvl="0" w:tplc="0479000F">
      <w:start w:val="1"/>
      <w:numFmt w:val="decimal"/>
      <w:lvlText w:val="%1."/>
      <w:lvlJc w:val="left"/>
      <w:pPr>
        <w:ind w:left="360" w:hanging="360"/>
      </w:pPr>
      <w:rPr>
        <w:rFonts w:hint="default"/>
      </w:rPr>
    </w:lvl>
    <w:lvl w:ilvl="1" w:tplc="04790019" w:tentative="1">
      <w:start w:val="1"/>
      <w:numFmt w:val="lowerLetter"/>
      <w:lvlText w:val="%2."/>
      <w:lvlJc w:val="left"/>
      <w:pPr>
        <w:ind w:left="1080" w:hanging="360"/>
      </w:pPr>
    </w:lvl>
    <w:lvl w:ilvl="2" w:tplc="0479001B" w:tentative="1">
      <w:start w:val="1"/>
      <w:numFmt w:val="lowerRoman"/>
      <w:lvlText w:val="%3."/>
      <w:lvlJc w:val="right"/>
      <w:pPr>
        <w:ind w:left="1800" w:hanging="180"/>
      </w:pPr>
    </w:lvl>
    <w:lvl w:ilvl="3" w:tplc="0479000F" w:tentative="1">
      <w:start w:val="1"/>
      <w:numFmt w:val="decimal"/>
      <w:lvlText w:val="%4."/>
      <w:lvlJc w:val="left"/>
      <w:pPr>
        <w:ind w:left="2520" w:hanging="360"/>
      </w:pPr>
    </w:lvl>
    <w:lvl w:ilvl="4" w:tplc="04790019" w:tentative="1">
      <w:start w:val="1"/>
      <w:numFmt w:val="lowerLetter"/>
      <w:lvlText w:val="%5."/>
      <w:lvlJc w:val="left"/>
      <w:pPr>
        <w:ind w:left="3240" w:hanging="360"/>
      </w:pPr>
    </w:lvl>
    <w:lvl w:ilvl="5" w:tplc="0479001B" w:tentative="1">
      <w:start w:val="1"/>
      <w:numFmt w:val="lowerRoman"/>
      <w:lvlText w:val="%6."/>
      <w:lvlJc w:val="right"/>
      <w:pPr>
        <w:ind w:left="3960" w:hanging="180"/>
      </w:pPr>
    </w:lvl>
    <w:lvl w:ilvl="6" w:tplc="0479000F" w:tentative="1">
      <w:start w:val="1"/>
      <w:numFmt w:val="decimal"/>
      <w:lvlText w:val="%7."/>
      <w:lvlJc w:val="left"/>
      <w:pPr>
        <w:ind w:left="4680" w:hanging="360"/>
      </w:pPr>
    </w:lvl>
    <w:lvl w:ilvl="7" w:tplc="04790019" w:tentative="1">
      <w:start w:val="1"/>
      <w:numFmt w:val="lowerLetter"/>
      <w:lvlText w:val="%8."/>
      <w:lvlJc w:val="left"/>
      <w:pPr>
        <w:ind w:left="5400" w:hanging="360"/>
      </w:pPr>
    </w:lvl>
    <w:lvl w:ilvl="8" w:tplc="0479001B" w:tentative="1">
      <w:start w:val="1"/>
      <w:numFmt w:val="lowerRoman"/>
      <w:lvlText w:val="%9."/>
      <w:lvlJc w:val="right"/>
      <w:pPr>
        <w:ind w:left="612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A4558"/>
    <w:rsid w:val="008B0FBF"/>
    <w:rsid w:val="008C60C3"/>
    <w:rsid w:val="008D5E2E"/>
    <w:rsid w:val="008D67E9"/>
    <w:rsid w:val="008F676F"/>
    <w:rsid w:val="00910EBB"/>
    <w:rsid w:val="00957572"/>
    <w:rsid w:val="009E45FD"/>
    <w:rsid w:val="00A0173D"/>
    <w:rsid w:val="00A17D08"/>
    <w:rsid w:val="00A85380"/>
    <w:rsid w:val="00AA53B3"/>
    <w:rsid w:val="00AC5F65"/>
    <w:rsid w:val="00B14BB9"/>
    <w:rsid w:val="00B34BEA"/>
    <w:rsid w:val="00B41F4D"/>
    <w:rsid w:val="00B42035"/>
    <w:rsid w:val="00B73573"/>
    <w:rsid w:val="00B747D5"/>
    <w:rsid w:val="00B84E49"/>
    <w:rsid w:val="00B870FB"/>
    <w:rsid w:val="00B920FE"/>
    <w:rsid w:val="00BE36FD"/>
    <w:rsid w:val="00BF3E97"/>
    <w:rsid w:val="00C00533"/>
    <w:rsid w:val="00C06F82"/>
    <w:rsid w:val="00C47130"/>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8F8560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9390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2024-10-25T22:00:00Z</dcterms:created>
  <dcterms:modified xsi:type="dcterms:W3CDTF">2024-10-25T22:00:00Z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