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C9B99" w14:textId="5F9E3A6D" w:rsidR="003D25AC" w:rsidRPr="00022D76" w:rsidRDefault="000A0DBD">
      <w:pPr>
        <w:pStyle w:val="Heading2"/>
        <w:tabs>
          <w:tab w:val="right" w:pos="9356"/>
        </w:tabs>
        <w:rPr>
          <w:sz w:val="36"/>
          <w:szCs w:val="36"/>
          <w:lang w:val="nl-NL"/>
        </w:rPr>
      </w:pPr>
      <w:bookmarkStart w:id="0" w:name="_GoBack"/>
      <w:bookmarkEnd w:id="0"/>
      <w:r w:rsidRPr="00B920FE">
        <w:rPr>
          <w:b/>
          <w:noProof/>
          <w:sz w:val="36"/>
          <w:szCs w:val="36"/>
        </w:rPr>
        <w:drawing>
          <wp:anchor distT="0" distB="0" distL="114300" distR="114300" simplePos="0" relativeHeight="251657728" behindDoc="0" locked="0" layoutInCell="1" allowOverlap="1" wp14:anchorId="3397CE36" wp14:editId="61CEBD6A">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6F659E">
        <w:rPr>
          <w:b/>
          <w:sz w:val="36"/>
          <w:szCs w:val="36"/>
          <w:lang w:val="nl-NL"/>
        </w:rPr>
        <w:t>3</w:t>
      </w:r>
      <w:r w:rsidR="003D25AC" w:rsidRPr="00022D76">
        <w:rPr>
          <w:sz w:val="36"/>
          <w:szCs w:val="36"/>
          <w:lang w:val="nl-NL"/>
        </w:rPr>
        <w:tab/>
      </w:r>
      <w:r w:rsidR="003D25AC" w:rsidRPr="00022D76">
        <w:rPr>
          <w:b/>
          <w:sz w:val="36"/>
          <w:szCs w:val="36"/>
          <w:lang w:val="nl-NL"/>
        </w:rPr>
        <w:t xml:space="preserve">N° </w:t>
      </w:r>
      <w:r w:rsidR="007318BC">
        <w:rPr>
          <w:b/>
          <w:sz w:val="36"/>
          <w:szCs w:val="36"/>
        </w:rPr>
        <w:fldChar w:fldCharType="begin">
          <w:ffData>
            <w:name w:val="Text2"/>
            <w:enabled/>
            <w:calcOnExit w:val="0"/>
            <w:textInput>
              <w:default w:val="99 (GT)"/>
            </w:textInput>
          </w:ffData>
        </w:fldChar>
      </w:r>
      <w:bookmarkStart w:id="1" w:name="Text2"/>
      <w:r w:rsidR="007318BC" w:rsidRPr="008156EB">
        <w:rPr>
          <w:b/>
          <w:sz w:val="36"/>
          <w:szCs w:val="36"/>
          <w:lang w:val="nl-NL"/>
        </w:rPr>
        <w:instrText xml:space="preserve"> FORMTEXT </w:instrText>
      </w:r>
      <w:r w:rsidR="007318BC">
        <w:rPr>
          <w:b/>
          <w:sz w:val="36"/>
          <w:szCs w:val="36"/>
        </w:rPr>
      </w:r>
      <w:r w:rsidR="007318BC">
        <w:rPr>
          <w:b/>
          <w:sz w:val="36"/>
          <w:szCs w:val="36"/>
        </w:rPr>
        <w:fldChar w:fldCharType="separate"/>
      </w:r>
      <w:r w:rsidR="007A7596" w:rsidRPr="008156EB">
        <w:rPr>
          <w:b/>
          <w:noProof/>
          <w:sz w:val="36"/>
          <w:szCs w:val="36"/>
          <w:lang w:val="nl-NL"/>
        </w:rPr>
        <w:t>10</w:t>
      </w:r>
      <w:r w:rsidR="00DA449C" w:rsidRPr="008156EB">
        <w:rPr>
          <w:b/>
          <w:noProof/>
          <w:sz w:val="36"/>
          <w:szCs w:val="36"/>
          <w:lang w:val="nl-NL"/>
        </w:rPr>
        <w:t xml:space="preserve">8 </w:t>
      </w:r>
      <w:r w:rsidR="007318BC" w:rsidRPr="008156EB">
        <w:rPr>
          <w:b/>
          <w:noProof/>
          <w:sz w:val="36"/>
          <w:szCs w:val="36"/>
          <w:lang w:val="nl-NL"/>
        </w:rPr>
        <w:t>(GT)</w:t>
      </w:r>
      <w:r w:rsidR="007318BC">
        <w:rPr>
          <w:b/>
          <w:sz w:val="36"/>
          <w:szCs w:val="36"/>
        </w:rPr>
        <w:fldChar w:fldCharType="end"/>
      </w:r>
      <w:bookmarkEnd w:id="1"/>
    </w:p>
    <w:p w14:paraId="312A32F8" w14:textId="77777777" w:rsidR="003D25AC" w:rsidRPr="00022D76" w:rsidRDefault="003D25AC" w:rsidP="007A7596">
      <w:pPr>
        <w:pStyle w:val="Header"/>
        <w:tabs>
          <w:tab w:val="clear" w:pos="4320"/>
          <w:tab w:val="clear" w:pos="8640"/>
        </w:tabs>
        <w:jc w:val="right"/>
        <w:rPr>
          <w:sz w:val="24"/>
          <w:szCs w:val="24"/>
          <w:lang w:val="nl-NL"/>
        </w:rPr>
      </w:pPr>
    </w:p>
    <w:p w14:paraId="3AF22DA2" w14:textId="77777777" w:rsidR="003D25AC" w:rsidRPr="00022D76" w:rsidRDefault="003D25AC">
      <w:pPr>
        <w:pStyle w:val="Header"/>
        <w:tabs>
          <w:tab w:val="clear" w:pos="4320"/>
          <w:tab w:val="clear" w:pos="8640"/>
        </w:tabs>
        <w:rPr>
          <w:sz w:val="24"/>
          <w:szCs w:val="24"/>
          <w:lang w:val="nl-NL"/>
        </w:rPr>
      </w:pPr>
    </w:p>
    <w:p w14:paraId="77CD7C03" w14:textId="77777777" w:rsidR="003D25AC" w:rsidRPr="00022D76" w:rsidRDefault="003D25AC">
      <w:pPr>
        <w:pStyle w:val="Header"/>
        <w:tabs>
          <w:tab w:val="clear" w:pos="4320"/>
          <w:tab w:val="clear" w:pos="8640"/>
        </w:tabs>
        <w:rPr>
          <w:sz w:val="24"/>
          <w:szCs w:val="24"/>
          <w:lang w:val="nl-NL"/>
        </w:rPr>
      </w:pPr>
    </w:p>
    <w:p w14:paraId="211B68F7" w14:textId="77777777" w:rsidR="003D25AC" w:rsidRPr="00022D76" w:rsidRDefault="003D25AC">
      <w:pPr>
        <w:pStyle w:val="Header"/>
        <w:tabs>
          <w:tab w:val="clear" w:pos="4320"/>
          <w:tab w:val="clear" w:pos="8640"/>
        </w:tabs>
        <w:rPr>
          <w:sz w:val="24"/>
          <w:szCs w:val="24"/>
          <w:lang w:val="nl-NL"/>
        </w:rPr>
      </w:pPr>
    </w:p>
    <w:p w14:paraId="33969888" w14:textId="77777777" w:rsidR="00022D76" w:rsidRDefault="003D25AC" w:rsidP="005D39A3">
      <w:pPr>
        <w:pStyle w:val="Heading1"/>
        <w:rPr>
          <w:b w:val="0"/>
          <w:sz w:val="44"/>
          <w:lang w:val="nl-NL"/>
        </w:rPr>
      </w:pPr>
      <w:r w:rsidRPr="00022D76">
        <w:rPr>
          <w:b w:val="0"/>
          <w:sz w:val="44"/>
          <w:lang w:val="nl-NL"/>
        </w:rPr>
        <w:t>PUBLICATIEBLAD</w:t>
      </w:r>
    </w:p>
    <w:p w14:paraId="33667A37" w14:textId="77777777" w:rsidR="005D39A3" w:rsidRPr="00F428C4" w:rsidRDefault="005D39A3" w:rsidP="005D39A3">
      <w:pPr>
        <w:rPr>
          <w:b/>
          <w:lang w:val="nl-NL"/>
        </w:rPr>
      </w:pPr>
    </w:p>
    <w:p w14:paraId="7D6B5D87" w14:textId="1C2A284A" w:rsidR="007318BC" w:rsidRPr="00F428C4" w:rsidRDefault="00DA449C" w:rsidP="00D438E2">
      <w:pPr>
        <w:widowControl/>
        <w:jc w:val="both"/>
        <w:rPr>
          <w:rFonts w:ascii="Palatino Linotype" w:hAnsi="Palatino Linotype"/>
          <w:b/>
          <w:snapToGrid/>
          <w:sz w:val="22"/>
          <w:szCs w:val="22"/>
          <w:lang w:val="nl-NL"/>
        </w:rPr>
      </w:pPr>
      <w:r w:rsidRPr="008156EB">
        <w:rPr>
          <w:rFonts w:ascii="Palatino Linotype" w:hAnsi="Palatino Linotype"/>
          <w:b/>
          <w:sz w:val="22"/>
          <w:szCs w:val="22"/>
          <w:lang w:val="nl-NL"/>
        </w:rPr>
        <w:t>LANDSBESLUIT</w:t>
      </w:r>
      <w:r w:rsidRPr="008156EB">
        <w:rPr>
          <w:rFonts w:ascii="Palatino Linotype" w:hAnsi="Palatino Linotype"/>
          <w:b/>
          <w:spacing w:val="46"/>
          <w:sz w:val="22"/>
          <w:szCs w:val="22"/>
          <w:lang w:val="nl-NL"/>
        </w:rPr>
        <w:t xml:space="preserve"> </w:t>
      </w:r>
      <w:r w:rsidRPr="008156EB">
        <w:rPr>
          <w:rFonts w:ascii="Palatino Linotype" w:hAnsi="Palatino Linotype"/>
          <w:b/>
          <w:sz w:val="22"/>
          <w:szCs w:val="22"/>
          <w:lang w:val="nl-NL"/>
        </w:rPr>
        <w:t>van de 18</w:t>
      </w:r>
      <w:r w:rsidRPr="008156EB">
        <w:rPr>
          <w:rFonts w:ascii="Palatino Linotype" w:hAnsi="Palatino Linotype"/>
          <w:b/>
          <w:sz w:val="22"/>
          <w:szCs w:val="22"/>
          <w:vertAlign w:val="superscript"/>
          <w:lang w:val="nl-NL"/>
        </w:rPr>
        <w:t>de</w:t>
      </w:r>
      <w:r w:rsidRPr="008156EB">
        <w:rPr>
          <w:rFonts w:ascii="Palatino Linotype" w:hAnsi="Palatino Linotype"/>
          <w:b/>
          <w:sz w:val="22"/>
          <w:szCs w:val="22"/>
          <w:lang w:val="nl-NL"/>
        </w:rPr>
        <w:t xml:space="preserve"> augustus 2023, no.22/2307, houdende vaststelling van de geconsolideerde tekst van de</w:t>
      </w:r>
      <w:r w:rsidRPr="008156EB">
        <w:rPr>
          <w:b/>
          <w:lang w:val="nl-NL"/>
        </w:rPr>
        <w:t xml:space="preserve"> </w:t>
      </w:r>
      <w:r w:rsidRPr="008156EB">
        <w:rPr>
          <w:rFonts w:ascii="Palatino Linotype" w:hAnsi="Palatino Linotype"/>
          <w:b/>
          <w:sz w:val="22"/>
          <w:szCs w:val="22"/>
          <w:lang w:val="nl-NL"/>
        </w:rPr>
        <w:t>Landsverordening Georganiseerd Overleg in Ambtenarenzaken</w:t>
      </w:r>
      <w:r w:rsidR="007318BC" w:rsidRPr="00F428C4">
        <w:rPr>
          <w:rFonts w:ascii="Palatino Linotype" w:hAnsi="Palatino Linotype"/>
          <w:b/>
          <w:snapToGrid/>
          <w:sz w:val="22"/>
          <w:szCs w:val="22"/>
          <w:vertAlign w:val="superscript"/>
          <w:lang w:val="nl-NL"/>
        </w:rPr>
        <w:footnoteReference w:id="1"/>
      </w:r>
    </w:p>
    <w:p w14:paraId="1AF0042C" w14:textId="77777777" w:rsidR="00D438E2" w:rsidRPr="00D438E2" w:rsidRDefault="00D438E2" w:rsidP="00D438E2">
      <w:pPr>
        <w:widowControl/>
        <w:jc w:val="both"/>
        <w:rPr>
          <w:rFonts w:ascii="Palatino Linotype" w:hAnsi="Palatino Linotype"/>
          <w:b/>
          <w:snapToGrid/>
          <w:sz w:val="22"/>
          <w:szCs w:val="22"/>
          <w:lang w:val="nl-NL"/>
        </w:rPr>
      </w:pPr>
    </w:p>
    <w:p w14:paraId="04DCD6D7" w14:textId="77777777" w:rsidR="007318BC" w:rsidRPr="007318BC" w:rsidRDefault="007318BC" w:rsidP="007318BC">
      <w:pPr>
        <w:widowControl/>
        <w:jc w:val="center"/>
        <w:rPr>
          <w:rFonts w:ascii="Palatino Linotype" w:hAnsi="Palatino Linotype"/>
          <w:b/>
          <w:snapToGrid/>
          <w:sz w:val="22"/>
          <w:szCs w:val="22"/>
          <w:lang w:val="nl-NL"/>
        </w:rPr>
      </w:pPr>
      <w:r w:rsidRPr="007318BC">
        <w:rPr>
          <w:rFonts w:ascii="Palatino Linotype" w:hAnsi="Palatino Linotype"/>
          <w:b/>
          <w:snapToGrid/>
          <w:sz w:val="22"/>
          <w:szCs w:val="22"/>
          <w:lang w:val="nl-NL"/>
        </w:rPr>
        <w:t>____________</w:t>
      </w:r>
    </w:p>
    <w:p w14:paraId="272ABB31" w14:textId="77777777" w:rsidR="007318BC" w:rsidRPr="007318BC" w:rsidRDefault="007318BC" w:rsidP="007318BC">
      <w:pPr>
        <w:widowControl/>
        <w:spacing w:line="220" w:lineRule="exact"/>
        <w:jc w:val="center"/>
        <w:rPr>
          <w:rFonts w:ascii="Palatino Linotype" w:hAnsi="Palatino Linotype"/>
          <w:snapToGrid/>
          <w:sz w:val="22"/>
          <w:szCs w:val="22"/>
          <w:lang w:val="nl-NL"/>
        </w:rPr>
      </w:pPr>
    </w:p>
    <w:p w14:paraId="2D5C0C69" w14:textId="77777777" w:rsidR="007318BC" w:rsidRPr="007318BC" w:rsidRDefault="007318BC" w:rsidP="007318BC">
      <w:pPr>
        <w:widowControl/>
        <w:jc w:val="center"/>
        <w:rPr>
          <w:rFonts w:ascii="Palatino Linotype" w:hAnsi="Palatino Linotype"/>
          <w:snapToGrid/>
          <w:sz w:val="22"/>
          <w:szCs w:val="22"/>
          <w:lang w:val="nl-NL"/>
        </w:rPr>
      </w:pPr>
      <w:r w:rsidRPr="007318BC">
        <w:rPr>
          <w:rFonts w:ascii="Palatino Linotype" w:hAnsi="Palatino Linotype"/>
          <w:snapToGrid/>
          <w:sz w:val="22"/>
          <w:szCs w:val="22"/>
          <w:lang w:val="nl-NL"/>
        </w:rPr>
        <w:t>De Gouverneur van Curaçao,</w:t>
      </w:r>
    </w:p>
    <w:p w14:paraId="3F54E82B" w14:textId="77777777" w:rsidR="007318BC" w:rsidRPr="007318BC" w:rsidRDefault="007318BC" w:rsidP="007318BC">
      <w:pPr>
        <w:widowControl/>
        <w:rPr>
          <w:rFonts w:ascii="Palatino Linotype" w:hAnsi="Palatino Linotype"/>
          <w:snapToGrid/>
          <w:sz w:val="22"/>
          <w:szCs w:val="22"/>
          <w:lang w:val="nl-NL"/>
        </w:rPr>
      </w:pPr>
    </w:p>
    <w:p w14:paraId="375B9329" w14:textId="77777777" w:rsidR="007318BC" w:rsidRPr="007318BC" w:rsidRDefault="007318BC" w:rsidP="007318BC">
      <w:pPr>
        <w:widowControl/>
        <w:ind w:firstLine="3"/>
        <w:jc w:val="both"/>
        <w:rPr>
          <w:rFonts w:ascii="Palatino Linotype" w:hAnsi="Palatino Linotype"/>
          <w:snapToGrid/>
          <w:spacing w:val="-3"/>
          <w:sz w:val="22"/>
          <w:szCs w:val="22"/>
          <w:lang w:val="nl-NL"/>
        </w:rPr>
      </w:pPr>
    </w:p>
    <w:p w14:paraId="4F29680E" w14:textId="77777777" w:rsidR="007318BC" w:rsidRPr="007318BC" w:rsidRDefault="007318BC" w:rsidP="007318BC">
      <w:pPr>
        <w:widowControl/>
        <w:ind w:firstLine="3"/>
        <w:jc w:val="both"/>
        <w:rPr>
          <w:rFonts w:ascii="Palatino Linotype" w:hAnsi="Palatino Linotype"/>
          <w:snapToGrid/>
          <w:spacing w:val="-3"/>
          <w:sz w:val="22"/>
          <w:szCs w:val="22"/>
          <w:lang w:val="nl-NL"/>
        </w:rPr>
      </w:pPr>
      <w:r w:rsidRPr="007318BC">
        <w:rPr>
          <w:rFonts w:ascii="Palatino Linotype" w:hAnsi="Palatino Linotype"/>
          <w:snapToGrid/>
          <w:spacing w:val="-3"/>
          <w:sz w:val="22"/>
          <w:szCs w:val="22"/>
          <w:lang w:val="nl-NL"/>
        </w:rPr>
        <w:t>Op voordracht van de Minister van Justitie;</w:t>
      </w:r>
    </w:p>
    <w:p w14:paraId="0289CAF7" w14:textId="77777777" w:rsidR="007318BC" w:rsidRPr="007318BC" w:rsidRDefault="007318BC" w:rsidP="007318BC">
      <w:pPr>
        <w:widowControl/>
        <w:ind w:firstLine="3"/>
        <w:jc w:val="both"/>
        <w:rPr>
          <w:rFonts w:ascii="Palatino Linotype" w:hAnsi="Palatino Linotype"/>
          <w:snapToGrid/>
          <w:spacing w:val="-3"/>
          <w:sz w:val="22"/>
          <w:szCs w:val="22"/>
          <w:lang w:val="nl-NL"/>
        </w:rPr>
      </w:pPr>
    </w:p>
    <w:p w14:paraId="7B3C0C17" w14:textId="77777777" w:rsidR="007318BC" w:rsidRPr="007318BC" w:rsidRDefault="007318BC" w:rsidP="007318BC">
      <w:pPr>
        <w:widowControl/>
        <w:jc w:val="both"/>
        <w:rPr>
          <w:rFonts w:ascii="Palatino Linotype" w:hAnsi="Palatino Linotype"/>
          <w:snapToGrid/>
          <w:spacing w:val="-3"/>
          <w:sz w:val="22"/>
          <w:szCs w:val="22"/>
          <w:lang w:val="nl-NL"/>
        </w:rPr>
      </w:pPr>
      <w:r w:rsidRPr="007318BC">
        <w:rPr>
          <w:rFonts w:ascii="Palatino Linotype" w:hAnsi="Palatino Linotype"/>
          <w:snapToGrid/>
          <w:spacing w:val="-3"/>
          <w:sz w:val="22"/>
          <w:szCs w:val="22"/>
          <w:lang w:val="nl-NL"/>
        </w:rPr>
        <w:t>Gelet op:</w:t>
      </w:r>
    </w:p>
    <w:p w14:paraId="49A8CE8F" w14:textId="77777777" w:rsidR="007318BC" w:rsidRPr="007318BC" w:rsidRDefault="007318BC" w:rsidP="007318BC">
      <w:pPr>
        <w:widowControl/>
        <w:ind w:firstLine="3"/>
        <w:jc w:val="both"/>
        <w:rPr>
          <w:rFonts w:ascii="Palatino Linotype" w:hAnsi="Palatino Linotype"/>
          <w:snapToGrid/>
          <w:spacing w:val="-3"/>
          <w:sz w:val="22"/>
          <w:szCs w:val="22"/>
          <w:lang w:val="nl-NL"/>
        </w:rPr>
      </w:pPr>
    </w:p>
    <w:p w14:paraId="6C092C9F" w14:textId="77777777" w:rsidR="007318BC" w:rsidRPr="007318BC" w:rsidRDefault="007318BC" w:rsidP="007318BC">
      <w:pPr>
        <w:widowControl/>
        <w:ind w:firstLine="3"/>
        <w:jc w:val="both"/>
        <w:rPr>
          <w:rFonts w:ascii="Palatino Linotype" w:hAnsi="Palatino Linotype"/>
          <w:snapToGrid/>
          <w:spacing w:val="-3"/>
          <w:sz w:val="22"/>
          <w:szCs w:val="22"/>
          <w:lang w:val="nl-NL"/>
        </w:rPr>
      </w:pPr>
      <w:r w:rsidRPr="007318BC">
        <w:rPr>
          <w:rFonts w:ascii="Palatino Linotype" w:hAnsi="Palatino Linotype"/>
          <w:snapToGrid/>
          <w:spacing w:val="-3"/>
          <w:sz w:val="22"/>
          <w:szCs w:val="22"/>
          <w:lang w:val="nl-NL"/>
        </w:rPr>
        <w:t>de Algemene overgangsregeling wetgeving en bestuur Land Curaçao</w:t>
      </w:r>
      <w:r w:rsidRPr="007318BC">
        <w:rPr>
          <w:rFonts w:ascii="Palatino Linotype" w:hAnsi="Palatino Linotype"/>
          <w:snapToGrid/>
          <w:spacing w:val="-3"/>
          <w:sz w:val="22"/>
          <w:szCs w:val="22"/>
          <w:vertAlign w:val="superscript"/>
          <w:lang w:val="nl-NL"/>
        </w:rPr>
        <w:footnoteReference w:id="2"/>
      </w:r>
      <w:r w:rsidRPr="007318BC">
        <w:rPr>
          <w:rFonts w:ascii="Palatino Linotype" w:hAnsi="Palatino Linotype"/>
          <w:snapToGrid/>
          <w:spacing w:val="-3"/>
          <w:sz w:val="22"/>
          <w:szCs w:val="22"/>
          <w:lang w:val="nl-NL"/>
        </w:rPr>
        <w:t>;</w:t>
      </w:r>
    </w:p>
    <w:p w14:paraId="5A26F8D3" w14:textId="77777777" w:rsidR="007318BC" w:rsidRPr="007318BC" w:rsidRDefault="007318BC" w:rsidP="00F428C4">
      <w:pPr>
        <w:widowControl/>
        <w:ind w:right="-46"/>
        <w:jc w:val="both"/>
        <w:rPr>
          <w:rFonts w:ascii="Palatino Linotype" w:hAnsi="Palatino Linotype"/>
          <w:snapToGrid/>
          <w:spacing w:val="-3"/>
          <w:sz w:val="22"/>
          <w:szCs w:val="22"/>
          <w:lang w:val="nl-NL"/>
        </w:rPr>
      </w:pPr>
    </w:p>
    <w:p w14:paraId="2424A8B2" w14:textId="77777777" w:rsidR="007318BC" w:rsidRPr="007318BC" w:rsidRDefault="007318BC" w:rsidP="007318BC">
      <w:pPr>
        <w:widowControl/>
        <w:ind w:right="-46" w:firstLine="3"/>
        <w:jc w:val="center"/>
        <w:rPr>
          <w:rFonts w:ascii="Palatino Linotype" w:hAnsi="Palatino Linotype"/>
          <w:snapToGrid/>
          <w:spacing w:val="-3"/>
          <w:sz w:val="22"/>
          <w:szCs w:val="22"/>
          <w:lang w:val="nl-NL"/>
        </w:rPr>
      </w:pPr>
      <w:r w:rsidRPr="007318BC">
        <w:rPr>
          <w:rFonts w:ascii="Palatino Linotype" w:hAnsi="Palatino Linotype"/>
          <w:snapToGrid/>
          <w:spacing w:val="-3"/>
          <w:sz w:val="22"/>
          <w:szCs w:val="22"/>
          <w:lang w:val="nl-NL"/>
        </w:rPr>
        <w:t>Heeft goedgevonden:</w:t>
      </w:r>
    </w:p>
    <w:p w14:paraId="1C10A07D" w14:textId="77777777" w:rsidR="007318BC" w:rsidRPr="007318BC" w:rsidRDefault="007318BC" w:rsidP="007318BC">
      <w:pPr>
        <w:jc w:val="both"/>
        <w:rPr>
          <w:rFonts w:ascii="Palatino Linotype" w:hAnsi="Palatino Linotype"/>
          <w:sz w:val="22"/>
          <w:szCs w:val="22"/>
          <w:lang w:val="nl-NL"/>
        </w:rPr>
      </w:pPr>
    </w:p>
    <w:p w14:paraId="44E9AF8E" w14:textId="77777777" w:rsidR="007318BC" w:rsidRPr="007318BC" w:rsidRDefault="007318BC" w:rsidP="007318BC">
      <w:pPr>
        <w:jc w:val="center"/>
        <w:rPr>
          <w:rFonts w:ascii="Palatino Linotype" w:hAnsi="Palatino Linotype"/>
          <w:sz w:val="22"/>
          <w:szCs w:val="22"/>
          <w:lang w:val="nl-NL"/>
        </w:rPr>
      </w:pPr>
      <w:r w:rsidRPr="007318BC">
        <w:rPr>
          <w:rFonts w:ascii="Palatino Linotype" w:hAnsi="Palatino Linotype"/>
          <w:sz w:val="22"/>
          <w:szCs w:val="22"/>
          <w:lang w:val="nl-NL"/>
        </w:rPr>
        <w:t>Artikel 1</w:t>
      </w:r>
    </w:p>
    <w:p w14:paraId="7DF24800" w14:textId="77777777" w:rsidR="00DA449C" w:rsidRPr="008156EB" w:rsidRDefault="00DA449C" w:rsidP="00DA449C">
      <w:pPr>
        <w:jc w:val="center"/>
        <w:rPr>
          <w:rFonts w:ascii="Palatino Linotype" w:hAnsi="Palatino Linotype"/>
          <w:sz w:val="22"/>
          <w:szCs w:val="22"/>
          <w:lang w:val="nl-NL"/>
        </w:rPr>
      </w:pPr>
    </w:p>
    <w:p w14:paraId="39FCAC6F" w14:textId="52C1262E" w:rsidR="007318BC" w:rsidRPr="007318BC" w:rsidRDefault="00DA449C" w:rsidP="00DA449C">
      <w:pPr>
        <w:jc w:val="both"/>
        <w:rPr>
          <w:rFonts w:ascii="Palatino Linotype" w:hAnsi="Palatino Linotype"/>
          <w:sz w:val="22"/>
          <w:szCs w:val="22"/>
          <w:lang w:val="nl-NL"/>
        </w:rPr>
      </w:pPr>
      <w:r w:rsidRPr="008156EB">
        <w:rPr>
          <w:rFonts w:ascii="Palatino Linotype" w:hAnsi="Palatino Linotype"/>
          <w:sz w:val="22"/>
          <w:szCs w:val="22"/>
          <w:lang w:val="nl-NL"/>
        </w:rPr>
        <w:t>De geconsolideerde tekst van de Landsverordening Georganiseerd Overleg in Ambtenarenzaken opgenomen in de bijlage bij dit landsbesluit wordt vastgesteld</w:t>
      </w:r>
      <w:r w:rsidR="007318BC" w:rsidRPr="007318BC">
        <w:rPr>
          <w:rFonts w:ascii="Palatino Linotype" w:hAnsi="Palatino Linotype"/>
          <w:sz w:val="22"/>
          <w:szCs w:val="22"/>
          <w:lang w:val="nl-NL"/>
        </w:rPr>
        <w:t>.</w:t>
      </w:r>
    </w:p>
    <w:p w14:paraId="2D6FF671" w14:textId="77777777" w:rsidR="007318BC" w:rsidRPr="007318BC" w:rsidRDefault="007318BC" w:rsidP="007318BC">
      <w:pPr>
        <w:jc w:val="both"/>
        <w:rPr>
          <w:rFonts w:ascii="Palatino Linotype" w:hAnsi="Palatino Linotype"/>
          <w:sz w:val="22"/>
          <w:szCs w:val="22"/>
          <w:lang w:val="nl-NL"/>
        </w:rPr>
      </w:pPr>
    </w:p>
    <w:p w14:paraId="3B4E17E8" w14:textId="77777777" w:rsidR="007318BC" w:rsidRPr="007318BC" w:rsidRDefault="007318BC" w:rsidP="007318BC">
      <w:pPr>
        <w:jc w:val="center"/>
        <w:rPr>
          <w:rFonts w:ascii="Palatino Linotype" w:hAnsi="Palatino Linotype"/>
          <w:sz w:val="22"/>
          <w:szCs w:val="22"/>
          <w:lang w:val="nl-NL"/>
        </w:rPr>
      </w:pPr>
      <w:r w:rsidRPr="007318BC">
        <w:rPr>
          <w:rFonts w:ascii="Palatino Linotype" w:hAnsi="Palatino Linotype"/>
          <w:sz w:val="22"/>
          <w:szCs w:val="22"/>
          <w:lang w:val="nl-NL"/>
        </w:rPr>
        <w:t>Artikel 2</w:t>
      </w:r>
    </w:p>
    <w:p w14:paraId="3DF7E45E" w14:textId="77777777" w:rsidR="007318BC" w:rsidRPr="007318BC" w:rsidRDefault="007318BC" w:rsidP="007318BC">
      <w:pPr>
        <w:jc w:val="center"/>
        <w:rPr>
          <w:rFonts w:ascii="Palatino Linotype" w:hAnsi="Palatino Linotype"/>
          <w:sz w:val="22"/>
          <w:szCs w:val="22"/>
          <w:lang w:val="nl-NL"/>
        </w:rPr>
      </w:pPr>
    </w:p>
    <w:p w14:paraId="6A00AFC1" w14:textId="77777777" w:rsidR="007318BC" w:rsidRPr="007318BC" w:rsidRDefault="007318BC" w:rsidP="007318BC">
      <w:pPr>
        <w:rPr>
          <w:rFonts w:ascii="Palatino Linotype" w:hAnsi="Palatino Linotype"/>
          <w:sz w:val="22"/>
          <w:szCs w:val="22"/>
          <w:lang w:val="nl-NL"/>
        </w:rPr>
      </w:pPr>
      <w:r w:rsidRPr="007318BC">
        <w:rPr>
          <w:rFonts w:ascii="Palatino Linotype" w:hAnsi="Palatino Linotype"/>
          <w:sz w:val="22"/>
          <w:szCs w:val="22"/>
          <w:lang w:val="nl-NL"/>
        </w:rPr>
        <w:t>Dit landsbesluit met bijbehorende bijlage wordt bekendgemaakt in het Publicatieblad.</w:t>
      </w:r>
    </w:p>
    <w:p w14:paraId="37637580" w14:textId="77777777" w:rsidR="007318BC" w:rsidRPr="007318BC" w:rsidRDefault="007318BC" w:rsidP="007318BC">
      <w:pPr>
        <w:jc w:val="both"/>
        <w:rPr>
          <w:rFonts w:ascii="Palatino Linotype" w:hAnsi="Palatino Linotype"/>
          <w:sz w:val="22"/>
          <w:szCs w:val="22"/>
          <w:lang w:val="nl-NL"/>
        </w:rPr>
      </w:pPr>
    </w:p>
    <w:p w14:paraId="7D9F8909" w14:textId="34BC5630" w:rsidR="007318BC" w:rsidRDefault="007318BC" w:rsidP="007318BC">
      <w:pPr>
        <w:tabs>
          <w:tab w:val="left" w:pos="5130"/>
        </w:tabs>
        <w:rPr>
          <w:rFonts w:ascii="Palatino Linotype" w:hAnsi="Palatino Linotype"/>
          <w:sz w:val="22"/>
          <w:szCs w:val="22"/>
          <w:lang w:val="nl-NL"/>
        </w:rPr>
      </w:pPr>
      <w:r w:rsidRPr="007318BC">
        <w:rPr>
          <w:rFonts w:ascii="Palatino Linotype" w:hAnsi="Palatino Linotype"/>
          <w:sz w:val="22"/>
          <w:szCs w:val="22"/>
          <w:lang w:val="nl-NL"/>
        </w:rPr>
        <w:tab/>
        <w:t xml:space="preserve">Gegeven te Willemstad, </w:t>
      </w:r>
      <w:r w:rsidR="00DA449C">
        <w:rPr>
          <w:rFonts w:ascii="Palatino Linotype" w:hAnsi="Palatino Linotype"/>
          <w:sz w:val="22"/>
          <w:szCs w:val="22"/>
          <w:lang w:val="nl-NL"/>
        </w:rPr>
        <w:t>18</w:t>
      </w:r>
      <w:r w:rsidR="007A7596">
        <w:rPr>
          <w:rFonts w:ascii="Palatino Linotype" w:hAnsi="Palatino Linotype"/>
          <w:sz w:val="22"/>
          <w:szCs w:val="22"/>
          <w:lang w:val="nl-NL"/>
        </w:rPr>
        <w:t xml:space="preserve"> augustus</w:t>
      </w:r>
      <w:r>
        <w:rPr>
          <w:rFonts w:ascii="Palatino Linotype" w:hAnsi="Palatino Linotype"/>
          <w:sz w:val="22"/>
          <w:szCs w:val="22"/>
          <w:lang w:val="nl-NL"/>
        </w:rPr>
        <w:t xml:space="preserve"> 202</w:t>
      </w:r>
      <w:r w:rsidR="007A7596">
        <w:rPr>
          <w:rFonts w:ascii="Palatino Linotype" w:hAnsi="Palatino Linotype"/>
          <w:sz w:val="22"/>
          <w:szCs w:val="22"/>
          <w:lang w:val="nl-NL"/>
        </w:rPr>
        <w:t>3</w:t>
      </w:r>
    </w:p>
    <w:p w14:paraId="6C5920CB" w14:textId="77777777" w:rsidR="00CD79A3" w:rsidRPr="007318BC" w:rsidRDefault="00CD79A3" w:rsidP="00CD79A3">
      <w:pPr>
        <w:tabs>
          <w:tab w:val="left" w:pos="5130"/>
        </w:tabs>
        <w:spacing w:after="240"/>
        <w:ind w:left="5126" w:right="43"/>
        <w:jc w:val="center"/>
        <w:rPr>
          <w:rFonts w:ascii="Palatino Linotype" w:hAnsi="Palatino Linotype"/>
          <w:sz w:val="22"/>
          <w:szCs w:val="22"/>
          <w:lang w:val="nl-NL"/>
        </w:rPr>
      </w:pPr>
      <w:r w:rsidRPr="00CD79A3">
        <w:rPr>
          <w:rFonts w:ascii="Palatino Linotype" w:hAnsi="Palatino Linotype"/>
          <w:sz w:val="22"/>
          <w:szCs w:val="22"/>
          <w:lang w:val="nl-NL"/>
        </w:rPr>
        <w:t>L.A. GEORGE-WOUT</w:t>
      </w:r>
    </w:p>
    <w:p w14:paraId="324BF5C5" w14:textId="77777777" w:rsidR="007318BC" w:rsidRDefault="007318BC" w:rsidP="007318BC">
      <w:pPr>
        <w:jc w:val="both"/>
        <w:rPr>
          <w:rFonts w:ascii="Palatino Linotype" w:hAnsi="Palatino Linotype"/>
          <w:sz w:val="22"/>
          <w:szCs w:val="22"/>
          <w:lang w:val="nl-NL"/>
        </w:rPr>
      </w:pPr>
      <w:r w:rsidRPr="007318BC">
        <w:rPr>
          <w:rFonts w:ascii="Palatino Linotype" w:hAnsi="Palatino Linotype"/>
          <w:sz w:val="22"/>
          <w:szCs w:val="22"/>
          <w:lang w:val="nl-NL"/>
        </w:rPr>
        <w:t>De Minister van Justitie,</w:t>
      </w:r>
    </w:p>
    <w:p w14:paraId="2720614E" w14:textId="77777777" w:rsidR="00CD79A3" w:rsidRPr="007318BC" w:rsidRDefault="00CD79A3" w:rsidP="00CD79A3">
      <w:pPr>
        <w:spacing w:after="240"/>
        <w:ind w:right="6970"/>
        <w:jc w:val="center"/>
        <w:rPr>
          <w:rFonts w:ascii="Palatino Linotype" w:hAnsi="Palatino Linotype"/>
          <w:sz w:val="22"/>
          <w:szCs w:val="22"/>
          <w:lang w:val="nl-NL"/>
        </w:rPr>
      </w:pPr>
      <w:r w:rsidRPr="00CD79A3">
        <w:rPr>
          <w:rFonts w:ascii="Palatino Linotype" w:hAnsi="Palatino Linotype"/>
          <w:sz w:val="22"/>
          <w:szCs w:val="22"/>
          <w:lang w:val="nl-NL"/>
        </w:rPr>
        <w:t>S.X.T. HATO</w:t>
      </w:r>
    </w:p>
    <w:p w14:paraId="2041C5E7" w14:textId="6D84B99E" w:rsidR="007318BC" w:rsidRPr="007318BC" w:rsidRDefault="007318BC" w:rsidP="007318BC">
      <w:pPr>
        <w:tabs>
          <w:tab w:val="left" w:pos="5130"/>
        </w:tabs>
        <w:jc w:val="both"/>
        <w:rPr>
          <w:rFonts w:ascii="Palatino Linotype" w:hAnsi="Palatino Linotype"/>
          <w:sz w:val="22"/>
          <w:szCs w:val="22"/>
          <w:lang w:val="nl-NL"/>
        </w:rPr>
      </w:pPr>
      <w:r w:rsidRPr="007318BC">
        <w:rPr>
          <w:rFonts w:ascii="Palatino Linotype" w:hAnsi="Palatino Linotype"/>
          <w:sz w:val="22"/>
          <w:szCs w:val="22"/>
          <w:lang w:val="nl-NL"/>
        </w:rPr>
        <w:tab/>
        <w:t xml:space="preserve">Uitgegeven de </w:t>
      </w:r>
      <w:r w:rsidR="00B21CF4">
        <w:rPr>
          <w:rFonts w:ascii="Palatino Linotype" w:hAnsi="Palatino Linotype"/>
          <w:sz w:val="22"/>
          <w:szCs w:val="22"/>
          <w:lang w:val="nl-NL"/>
        </w:rPr>
        <w:t>2</w:t>
      </w:r>
      <w:r w:rsidR="00D34CAF">
        <w:rPr>
          <w:rFonts w:ascii="Palatino Linotype" w:hAnsi="Palatino Linotype"/>
          <w:sz w:val="22"/>
          <w:szCs w:val="22"/>
          <w:lang w:val="nl-NL"/>
        </w:rPr>
        <w:t>7</w:t>
      </w:r>
      <w:r w:rsidR="00B21CF4" w:rsidRPr="00B21CF4">
        <w:rPr>
          <w:rFonts w:ascii="Palatino Linotype" w:hAnsi="Palatino Linotype"/>
          <w:sz w:val="22"/>
          <w:szCs w:val="22"/>
          <w:vertAlign w:val="superscript"/>
          <w:lang w:val="nl-NL"/>
        </w:rPr>
        <w:t>ste</w:t>
      </w:r>
      <w:r w:rsidR="00B21CF4">
        <w:rPr>
          <w:rFonts w:ascii="Palatino Linotype" w:hAnsi="Palatino Linotype"/>
          <w:sz w:val="22"/>
          <w:szCs w:val="22"/>
          <w:lang w:val="nl-NL"/>
        </w:rPr>
        <w:t xml:space="preserve"> </w:t>
      </w:r>
      <w:r w:rsidR="007A7596">
        <w:rPr>
          <w:rFonts w:ascii="Palatino Linotype" w:hAnsi="Palatino Linotype"/>
          <w:sz w:val="22"/>
          <w:szCs w:val="22"/>
          <w:lang w:val="nl-NL"/>
        </w:rPr>
        <w:t>september</w:t>
      </w:r>
      <w:r>
        <w:rPr>
          <w:rFonts w:ascii="Palatino Linotype" w:hAnsi="Palatino Linotype"/>
          <w:sz w:val="22"/>
          <w:szCs w:val="22"/>
          <w:lang w:val="nl-NL"/>
        </w:rPr>
        <w:t xml:space="preserve"> 2023</w:t>
      </w:r>
    </w:p>
    <w:p w14:paraId="1651FD39" w14:textId="77777777" w:rsidR="007318BC" w:rsidRPr="007318BC" w:rsidRDefault="007318BC" w:rsidP="007318BC">
      <w:pPr>
        <w:tabs>
          <w:tab w:val="left" w:pos="5130"/>
        </w:tabs>
        <w:jc w:val="both"/>
        <w:rPr>
          <w:rFonts w:ascii="Palatino Linotype" w:hAnsi="Palatino Linotype"/>
          <w:sz w:val="22"/>
          <w:szCs w:val="22"/>
          <w:lang w:val="nl-NL"/>
        </w:rPr>
      </w:pPr>
      <w:r w:rsidRPr="007318BC">
        <w:rPr>
          <w:rFonts w:ascii="Palatino Linotype" w:hAnsi="Palatino Linotype"/>
          <w:sz w:val="22"/>
          <w:szCs w:val="22"/>
          <w:lang w:val="nl-NL"/>
        </w:rPr>
        <w:tab/>
        <w:t>De Minister van Algemene Zaken,</w:t>
      </w:r>
    </w:p>
    <w:p w14:paraId="626C2010" w14:textId="77777777" w:rsidR="007318BC" w:rsidRDefault="00CD79A3" w:rsidP="00CD79A3">
      <w:pPr>
        <w:ind w:left="5130" w:right="850"/>
        <w:jc w:val="center"/>
        <w:rPr>
          <w:rFonts w:ascii="Palatino Linotype" w:hAnsi="Palatino Linotype"/>
          <w:sz w:val="22"/>
          <w:szCs w:val="22"/>
          <w:lang w:val="nl-NL"/>
        </w:rPr>
      </w:pPr>
      <w:r w:rsidRPr="00CD79A3">
        <w:rPr>
          <w:rFonts w:ascii="Palatino Linotype" w:hAnsi="Palatino Linotype"/>
          <w:sz w:val="22"/>
          <w:szCs w:val="22"/>
          <w:lang w:val="nl-NL"/>
        </w:rPr>
        <w:t>G.S. PISAS</w:t>
      </w:r>
      <w:r w:rsidR="007318BC">
        <w:rPr>
          <w:rFonts w:ascii="Palatino Linotype" w:hAnsi="Palatino Linotype"/>
          <w:sz w:val="22"/>
          <w:szCs w:val="22"/>
          <w:lang w:val="nl-NL"/>
        </w:rPr>
        <w:br w:type="page"/>
      </w:r>
    </w:p>
    <w:p w14:paraId="6916F408" w14:textId="0F7BC101" w:rsidR="007318BC" w:rsidRPr="007318BC" w:rsidRDefault="00DA449C" w:rsidP="007318BC">
      <w:pPr>
        <w:pBdr>
          <w:bottom w:val="single" w:sz="6" w:space="1" w:color="auto"/>
        </w:pBdr>
        <w:ind w:right="-29"/>
        <w:jc w:val="both"/>
        <w:rPr>
          <w:rFonts w:ascii="Palatino Linotype" w:hAnsi="Palatino Linotype"/>
          <w:sz w:val="22"/>
          <w:szCs w:val="22"/>
          <w:lang w:val="nl-NL"/>
        </w:rPr>
      </w:pPr>
      <w:r w:rsidRPr="008156EB">
        <w:rPr>
          <w:rFonts w:ascii="Palatino Linotype" w:hAnsi="Palatino Linotype"/>
          <w:sz w:val="22"/>
          <w:szCs w:val="22"/>
          <w:lang w:val="nl-NL"/>
        </w:rPr>
        <w:lastRenderedPageBreak/>
        <w:t>BIJLAGE behorende bij het Landsbesluit van de 18</w:t>
      </w:r>
      <w:r w:rsidRPr="008156EB">
        <w:rPr>
          <w:rFonts w:ascii="Palatino Linotype" w:hAnsi="Palatino Linotype"/>
          <w:sz w:val="22"/>
          <w:szCs w:val="22"/>
          <w:vertAlign w:val="superscript"/>
          <w:lang w:val="nl-NL"/>
        </w:rPr>
        <w:t>de</w:t>
      </w:r>
      <w:r w:rsidRPr="008156EB">
        <w:rPr>
          <w:rFonts w:ascii="Palatino Linotype" w:hAnsi="Palatino Linotype"/>
          <w:sz w:val="22"/>
          <w:szCs w:val="22"/>
          <w:lang w:val="nl-NL"/>
        </w:rPr>
        <w:t xml:space="preserve"> augustus 2023, no. 22/2307, houdende vaststelling van de geconsolideerde tekst van de Landsverordening Georganiseerd Overleg in Ambtenarenzaken</w:t>
      </w:r>
      <w:r w:rsidR="00F428C4" w:rsidRPr="00C9649D">
        <w:rPr>
          <w:rFonts w:ascii="Palatino Linotype" w:hAnsi="Palatino Linotype"/>
          <w:sz w:val="22"/>
          <w:szCs w:val="22"/>
          <w:lang w:val="nl-NL"/>
        </w:rPr>
        <w:t>)</w:t>
      </w:r>
      <w:r w:rsidR="007318BC" w:rsidRPr="007318BC">
        <w:rPr>
          <w:rFonts w:ascii="Palatino Linotype" w:hAnsi="Palatino Linotype"/>
          <w:sz w:val="22"/>
          <w:szCs w:val="22"/>
          <w:vertAlign w:val="superscript"/>
          <w:lang w:val="nl-NL"/>
        </w:rPr>
        <w:footnoteReference w:id="3"/>
      </w:r>
    </w:p>
    <w:p w14:paraId="309CB82A" w14:textId="77777777" w:rsidR="007318BC" w:rsidRPr="007318BC" w:rsidRDefault="007318BC" w:rsidP="007318BC">
      <w:pPr>
        <w:pBdr>
          <w:bottom w:val="single" w:sz="6" w:space="1" w:color="auto"/>
        </w:pBdr>
        <w:ind w:right="-29"/>
        <w:jc w:val="both"/>
        <w:rPr>
          <w:rFonts w:ascii="Palatino Linotype" w:hAnsi="Palatino Linotype"/>
          <w:sz w:val="22"/>
          <w:szCs w:val="22"/>
          <w:lang w:val="nl-NL"/>
        </w:rPr>
      </w:pPr>
    </w:p>
    <w:p w14:paraId="0751F442" w14:textId="77777777" w:rsidR="007318BC" w:rsidRPr="007318BC" w:rsidRDefault="007318BC" w:rsidP="007318BC">
      <w:pPr>
        <w:ind w:right="-29"/>
        <w:jc w:val="center"/>
        <w:rPr>
          <w:rFonts w:ascii="Palatino Linotype" w:hAnsi="Palatino Linotype"/>
          <w:sz w:val="22"/>
          <w:szCs w:val="22"/>
          <w:lang w:val="nl-NL"/>
        </w:rPr>
      </w:pPr>
    </w:p>
    <w:p w14:paraId="74584F92" w14:textId="77777777" w:rsidR="00DA449C" w:rsidRPr="00DA449C" w:rsidRDefault="00DA449C" w:rsidP="00DA449C">
      <w:pPr>
        <w:tabs>
          <w:tab w:val="left" w:pos="567"/>
        </w:tabs>
        <w:ind w:right="-29"/>
        <w:jc w:val="both"/>
        <w:rPr>
          <w:rFonts w:ascii="Palatino Linotype" w:hAnsi="Palatino Linotype"/>
          <w:sz w:val="22"/>
          <w:szCs w:val="22"/>
          <w:lang w:val="nl-NL"/>
        </w:rPr>
      </w:pPr>
      <w:r w:rsidRPr="00DA449C">
        <w:rPr>
          <w:rFonts w:ascii="Palatino Linotype" w:hAnsi="Palatino Linotype"/>
          <w:sz w:val="22"/>
          <w:szCs w:val="22"/>
          <w:lang w:val="nl-NL"/>
        </w:rPr>
        <w:t>Geconsolideerde tekst van de Landsverordening Georganiseerd Overleg in Ambtenarenzaken</w:t>
      </w:r>
      <w:r w:rsidRPr="00DA449C">
        <w:rPr>
          <w:rFonts w:ascii="Palatino Linotype" w:hAnsi="Palatino Linotype"/>
          <w:color w:val="FF0000"/>
          <w:sz w:val="22"/>
          <w:szCs w:val="22"/>
          <w:lang w:val="nl-NL"/>
        </w:rPr>
        <w:t xml:space="preserve"> </w:t>
      </w:r>
      <w:r w:rsidRPr="00DA449C">
        <w:rPr>
          <w:rFonts w:ascii="Palatino Linotype" w:hAnsi="Palatino Linotype"/>
          <w:color w:val="000000"/>
          <w:sz w:val="22"/>
          <w:szCs w:val="22"/>
          <w:lang w:val="nl-NL"/>
        </w:rPr>
        <w:t>(P.B. 2008, no. 70),</w:t>
      </w:r>
      <w:r w:rsidRPr="00DA449C">
        <w:rPr>
          <w:rFonts w:ascii="Palatino Linotype" w:hAnsi="Palatino Linotype"/>
          <w:b/>
          <w:color w:val="000000"/>
          <w:sz w:val="22"/>
          <w:szCs w:val="22"/>
          <w:lang w:val="nl-NL"/>
        </w:rPr>
        <w:t xml:space="preserve"> </w:t>
      </w:r>
      <w:r w:rsidRPr="00DA449C">
        <w:rPr>
          <w:rFonts w:ascii="Palatino Linotype" w:hAnsi="Palatino Linotype"/>
          <w:sz w:val="22"/>
          <w:szCs w:val="22"/>
          <w:lang w:val="nl-NL"/>
        </w:rPr>
        <w:t>zoals deze luidt na in overeenstemming te zijn gebracht met de aanwijzingen van de Algemene overgangsregeling wetgeving en bestuur Land Curaçao (A.B. 2010, no. 87, bijlage a).</w:t>
      </w:r>
    </w:p>
    <w:p w14:paraId="7AF1937D" w14:textId="77777777" w:rsidR="00DA449C" w:rsidRPr="00DA449C" w:rsidRDefault="00DA449C" w:rsidP="00DA449C">
      <w:pPr>
        <w:jc w:val="both"/>
        <w:rPr>
          <w:rFonts w:ascii="Palatino Linotype" w:hAnsi="Palatino Linotype"/>
          <w:sz w:val="22"/>
          <w:szCs w:val="22"/>
          <w:lang w:val="nl-NL"/>
        </w:rPr>
      </w:pPr>
    </w:p>
    <w:p w14:paraId="20B42191" w14:textId="77777777" w:rsidR="00DA449C" w:rsidRPr="00DA449C" w:rsidRDefault="00DA449C" w:rsidP="00DA449C">
      <w:pPr>
        <w:jc w:val="center"/>
        <w:rPr>
          <w:rFonts w:ascii="Palatino Linotype" w:hAnsi="Palatino Linotype"/>
          <w:sz w:val="22"/>
          <w:szCs w:val="22"/>
          <w:lang w:val="nl-NL"/>
        </w:rPr>
      </w:pPr>
      <w:r w:rsidRPr="00DA449C">
        <w:rPr>
          <w:rFonts w:ascii="Palatino Linotype" w:hAnsi="Palatino Linotype"/>
          <w:sz w:val="22"/>
          <w:szCs w:val="22"/>
          <w:lang w:val="nl-NL"/>
        </w:rPr>
        <w:t>-----</w:t>
      </w:r>
    </w:p>
    <w:p w14:paraId="39787498" w14:textId="77777777" w:rsidR="00DA449C" w:rsidRPr="00DA449C" w:rsidRDefault="00DA449C" w:rsidP="00DA449C">
      <w:pPr>
        <w:suppressAutoHyphens/>
        <w:jc w:val="center"/>
        <w:rPr>
          <w:rFonts w:ascii="Palatino Linotype" w:hAnsi="Palatino Linotype"/>
          <w:sz w:val="22"/>
          <w:szCs w:val="22"/>
          <w:lang w:val="nl-NL"/>
        </w:rPr>
      </w:pPr>
    </w:p>
    <w:p w14:paraId="5D1DB88B" w14:textId="77777777" w:rsidR="00DA449C" w:rsidRPr="00DA449C" w:rsidRDefault="00DA449C" w:rsidP="00DA449C">
      <w:pPr>
        <w:tabs>
          <w:tab w:val="left" w:pos="397"/>
          <w:tab w:val="left" w:pos="794"/>
          <w:tab w:val="left" w:pos="1191"/>
        </w:tabs>
        <w:jc w:val="center"/>
        <w:rPr>
          <w:rFonts w:ascii="Palatino Linotype" w:hAnsi="Palatino Linotype"/>
          <w:bCs/>
          <w:sz w:val="22"/>
          <w:szCs w:val="22"/>
          <w:lang w:val="nl-NL"/>
        </w:rPr>
      </w:pPr>
      <w:r w:rsidRPr="00DA449C">
        <w:rPr>
          <w:rFonts w:ascii="Palatino Linotype" w:hAnsi="Palatino Linotype"/>
          <w:bCs/>
          <w:sz w:val="22"/>
          <w:szCs w:val="22"/>
          <w:lang w:val="nl-NL"/>
        </w:rPr>
        <w:t>§ 1. Algemene bepalingen</w:t>
      </w:r>
    </w:p>
    <w:p w14:paraId="583D97B8" w14:textId="77777777" w:rsidR="00DA449C" w:rsidRPr="00DA449C" w:rsidRDefault="00DA449C" w:rsidP="00DA449C">
      <w:pPr>
        <w:tabs>
          <w:tab w:val="left" w:pos="397"/>
          <w:tab w:val="left" w:pos="794"/>
          <w:tab w:val="left" w:pos="1191"/>
        </w:tabs>
        <w:jc w:val="both"/>
        <w:rPr>
          <w:rFonts w:ascii="Palatino Linotype" w:hAnsi="Palatino Linotype"/>
          <w:sz w:val="22"/>
          <w:szCs w:val="22"/>
          <w:lang w:val="nl-NL"/>
        </w:rPr>
      </w:pPr>
    </w:p>
    <w:p w14:paraId="4DF244E9" w14:textId="77777777" w:rsidR="00DA449C" w:rsidRPr="00DA449C" w:rsidRDefault="00DA449C" w:rsidP="00DA449C">
      <w:pPr>
        <w:tabs>
          <w:tab w:val="left" w:pos="397"/>
          <w:tab w:val="left" w:pos="794"/>
          <w:tab w:val="left" w:pos="1191"/>
        </w:tabs>
        <w:jc w:val="center"/>
        <w:rPr>
          <w:rFonts w:ascii="Palatino Linotype" w:hAnsi="Palatino Linotype"/>
          <w:bCs/>
          <w:sz w:val="22"/>
          <w:szCs w:val="22"/>
          <w:lang w:val="nl-NL"/>
        </w:rPr>
      </w:pPr>
      <w:r w:rsidRPr="00DA449C">
        <w:rPr>
          <w:rFonts w:ascii="Palatino Linotype" w:hAnsi="Palatino Linotype"/>
          <w:bCs/>
          <w:sz w:val="22"/>
          <w:szCs w:val="22"/>
          <w:lang w:val="nl-NL"/>
        </w:rPr>
        <w:t>Artikel 1</w:t>
      </w:r>
    </w:p>
    <w:p w14:paraId="624A7B08" w14:textId="77777777" w:rsidR="00DA449C" w:rsidRPr="00DA449C" w:rsidRDefault="00DA449C" w:rsidP="00DA449C">
      <w:pPr>
        <w:tabs>
          <w:tab w:val="left" w:pos="397"/>
          <w:tab w:val="left" w:pos="794"/>
          <w:tab w:val="left" w:pos="1191"/>
        </w:tabs>
        <w:jc w:val="center"/>
        <w:rPr>
          <w:rFonts w:ascii="Palatino Linotype" w:hAnsi="Palatino Linotype"/>
          <w:bCs/>
          <w:sz w:val="22"/>
          <w:szCs w:val="22"/>
          <w:lang w:val="nl-NL"/>
        </w:rPr>
      </w:pPr>
    </w:p>
    <w:p w14:paraId="5E5EBA52" w14:textId="77777777" w:rsidR="00DA449C" w:rsidRPr="00DA449C" w:rsidRDefault="00DA449C" w:rsidP="00DA449C">
      <w:pPr>
        <w:tabs>
          <w:tab w:val="left" w:pos="397"/>
          <w:tab w:val="left" w:pos="794"/>
          <w:tab w:val="left" w:pos="1191"/>
        </w:tabs>
        <w:jc w:val="both"/>
        <w:rPr>
          <w:rFonts w:ascii="Palatino Linotype" w:hAnsi="Palatino Linotype"/>
          <w:bCs/>
          <w:sz w:val="22"/>
          <w:szCs w:val="22"/>
          <w:lang w:val="nl-NL"/>
        </w:rPr>
      </w:pPr>
      <w:r w:rsidRPr="00DA449C">
        <w:rPr>
          <w:rFonts w:ascii="Palatino Linotype" w:hAnsi="Palatino Linotype"/>
          <w:bCs/>
          <w:sz w:val="22"/>
          <w:szCs w:val="22"/>
          <w:lang w:val="nl-NL"/>
        </w:rPr>
        <w:t>Voor de toepassing van deze landsverordening en de daarop berustende bepalingen wordt verstaan onder:</w:t>
      </w:r>
    </w:p>
    <w:p w14:paraId="731EC283" w14:textId="77777777" w:rsidR="00DA449C" w:rsidRPr="00DA449C" w:rsidRDefault="00DA449C" w:rsidP="00DA449C">
      <w:pPr>
        <w:numPr>
          <w:ilvl w:val="0"/>
          <w:numId w:val="23"/>
        </w:numPr>
        <w:tabs>
          <w:tab w:val="left" w:pos="397"/>
          <w:tab w:val="left" w:pos="794"/>
          <w:tab w:val="left" w:pos="1191"/>
        </w:tabs>
        <w:ind w:hanging="4320"/>
        <w:contextualSpacing/>
        <w:jc w:val="both"/>
        <w:rPr>
          <w:rFonts w:ascii="Palatino Linotype" w:hAnsi="Palatino Linotype"/>
          <w:bCs/>
          <w:sz w:val="22"/>
          <w:szCs w:val="22"/>
          <w:lang w:val="nl-NL"/>
        </w:rPr>
      </w:pPr>
      <w:r w:rsidRPr="00DA449C">
        <w:rPr>
          <w:rFonts w:ascii="Palatino Linotype" w:hAnsi="Palatino Linotype"/>
          <w:bCs/>
          <w:sz w:val="22"/>
          <w:szCs w:val="22"/>
          <w:lang w:val="nl-NL"/>
        </w:rPr>
        <w:t>Minister:</w:t>
      </w:r>
      <w:r w:rsidRPr="00DA449C">
        <w:rPr>
          <w:rFonts w:ascii="Palatino Linotype" w:hAnsi="Palatino Linotype"/>
          <w:bCs/>
          <w:sz w:val="22"/>
          <w:szCs w:val="22"/>
          <w:lang w:val="nl-NL"/>
        </w:rPr>
        <w:tab/>
        <w:t>Minister van Bestuur, Planning en Dienstverlening;</w:t>
      </w:r>
    </w:p>
    <w:p w14:paraId="7E191CEA" w14:textId="77777777" w:rsidR="00DA449C" w:rsidRPr="00DA449C" w:rsidRDefault="00DA449C" w:rsidP="00DA449C">
      <w:pPr>
        <w:numPr>
          <w:ilvl w:val="0"/>
          <w:numId w:val="23"/>
        </w:numPr>
        <w:tabs>
          <w:tab w:val="left" w:pos="360"/>
        </w:tabs>
        <w:ind w:hanging="4320"/>
        <w:contextualSpacing/>
        <w:jc w:val="both"/>
        <w:rPr>
          <w:rFonts w:ascii="Palatino Linotype" w:hAnsi="Palatino Linotype"/>
          <w:bCs/>
          <w:sz w:val="22"/>
          <w:szCs w:val="22"/>
          <w:lang w:val="nl-NL"/>
        </w:rPr>
      </w:pPr>
      <w:r w:rsidRPr="00DA449C">
        <w:rPr>
          <w:rFonts w:ascii="Palatino Linotype" w:hAnsi="Palatino Linotype"/>
          <w:bCs/>
          <w:sz w:val="22"/>
          <w:szCs w:val="22"/>
          <w:lang w:val="nl-NL"/>
        </w:rPr>
        <w:t>Centrale Commissie:</w:t>
      </w:r>
      <w:r w:rsidRPr="00DA449C">
        <w:rPr>
          <w:rFonts w:ascii="Palatino Linotype" w:hAnsi="Palatino Linotype"/>
          <w:bCs/>
          <w:sz w:val="22"/>
          <w:szCs w:val="22"/>
          <w:lang w:val="nl-NL"/>
        </w:rPr>
        <w:tab/>
        <w:t>de Centrale Commissie van Vakbonden, bedoeld in artikel 2, eerste lid.</w:t>
      </w:r>
    </w:p>
    <w:p w14:paraId="24772AA1" w14:textId="77777777" w:rsidR="00DA449C" w:rsidRPr="00DA449C" w:rsidRDefault="00DA449C" w:rsidP="00DA449C">
      <w:pPr>
        <w:numPr>
          <w:ilvl w:val="0"/>
          <w:numId w:val="23"/>
        </w:numPr>
        <w:tabs>
          <w:tab w:val="left" w:pos="397"/>
          <w:tab w:val="left" w:pos="794"/>
          <w:tab w:val="left" w:pos="1191"/>
        </w:tabs>
        <w:ind w:hanging="4320"/>
        <w:contextualSpacing/>
        <w:jc w:val="both"/>
        <w:rPr>
          <w:rFonts w:ascii="Palatino Linotype" w:hAnsi="Palatino Linotype"/>
          <w:bCs/>
          <w:sz w:val="22"/>
          <w:szCs w:val="22"/>
          <w:lang w:val="nl-NL"/>
        </w:rPr>
      </w:pPr>
      <w:r w:rsidRPr="00DA449C">
        <w:rPr>
          <w:rFonts w:ascii="Palatino Linotype" w:hAnsi="Palatino Linotype"/>
          <w:bCs/>
          <w:sz w:val="22"/>
          <w:szCs w:val="22"/>
          <w:lang w:val="nl-NL"/>
        </w:rPr>
        <w:t>Centraal Georganiseerd Overleg:</w:t>
      </w:r>
      <w:r w:rsidRPr="00DA449C">
        <w:rPr>
          <w:rFonts w:ascii="Palatino Linotype" w:hAnsi="Palatino Linotype"/>
          <w:bCs/>
          <w:sz w:val="22"/>
          <w:szCs w:val="22"/>
          <w:lang w:val="nl-NL"/>
        </w:rPr>
        <w:tab/>
        <w:t>het Centraal Georganiseerd Overleg in Ambtenarenzaken, bedoeld in artikel 4, eerste lid;</w:t>
      </w:r>
    </w:p>
    <w:p w14:paraId="0AAB3271" w14:textId="77777777" w:rsidR="00DA449C" w:rsidRPr="00DA449C" w:rsidRDefault="00DA449C" w:rsidP="00DA449C">
      <w:pPr>
        <w:numPr>
          <w:ilvl w:val="0"/>
          <w:numId w:val="23"/>
        </w:numPr>
        <w:tabs>
          <w:tab w:val="left" w:pos="397"/>
          <w:tab w:val="left" w:pos="794"/>
          <w:tab w:val="left" w:pos="1191"/>
        </w:tabs>
        <w:ind w:hanging="4320"/>
        <w:contextualSpacing/>
        <w:jc w:val="both"/>
        <w:rPr>
          <w:rFonts w:ascii="Palatino Linotype" w:hAnsi="Palatino Linotype"/>
          <w:bCs/>
          <w:sz w:val="22"/>
          <w:szCs w:val="22"/>
          <w:lang w:val="nl-NL"/>
        </w:rPr>
      </w:pPr>
      <w:r w:rsidRPr="00DA449C">
        <w:rPr>
          <w:rFonts w:ascii="Palatino Linotype" w:hAnsi="Palatino Linotype"/>
          <w:bCs/>
          <w:sz w:val="22"/>
          <w:szCs w:val="22"/>
          <w:lang w:val="nl-NL"/>
        </w:rPr>
        <w:t>Sectoraal Georganiseerd Overleg:</w:t>
      </w:r>
      <w:r w:rsidRPr="00DA449C">
        <w:rPr>
          <w:rFonts w:ascii="Palatino Linotype" w:hAnsi="Palatino Linotype"/>
          <w:bCs/>
          <w:sz w:val="22"/>
          <w:szCs w:val="22"/>
          <w:lang w:val="nl-NL"/>
        </w:rPr>
        <w:tab/>
        <w:t>het Sectoraal Georganiseerd Overleg in Ambtenarenzaken, bedoeld in artikel 20, eerste lid;</w:t>
      </w:r>
    </w:p>
    <w:p w14:paraId="64BAC542" w14:textId="77777777" w:rsidR="00DA449C" w:rsidRPr="00DA449C" w:rsidRDefault="00DA449C" w:rsidP="00DA449C">
      <w:pPr>
        <w:numPr>
          <w:ilvl w:val="0"/>
          <w:numId w:val="23"/>
        </w:numPr>
        <w:tabs>
          <w:tab w:val="left" w:pos="397"/>
          <w:tab w:val="left" w:pos="794"/>
          <w:tab w:val="left" w:pos="1191"/>
        </w:tabs>
        <w:ind w:hanging="4320"/>
        <w:contextualSpacing/>
        <w:jc w:val="both"/>
        <w:rPr>
          <w:rFonts w:ascii="Palatino Linotype" w:hAnsi="Palatino Linotype"/>
          <w:bCs/>
          <w:sz w:val="22"/>
          <w:szCs w:val="22"/>
          <w:lang w:val="nl-NL"/>
        </w:rPr>
      </w:pPr>
      <w:r w:rsidRPr="00DA449C">
        <w:rPr>
          <w:rFonts w:ascii="Palatino Linotype" w:hAnsi="Palatino Linotype"/>
          <w:bCs/>
          <w:sz w:val="22"/>
          <w:szCs w:val="22"/>
          <w:lang w:val="nl-NL"/>
        </w:rPr>
        <w:t>ambtenaar:</w:t>
      </w:r>
      <w:r w:rsidRPr="00DA449C">
        <w:rPr>
          <w:rFonts w:ascii="Palatino Linotype" w:hAnsi="Palatino Linotype"/>
          <w:bCs/>
          <w:sz w:val="22"/>
          <w:szCs w:val="22"/>
          <w:lang w:val="nl-NL"/>
        </w:rPr>
        <w:tab/>
        <w:t>de ambtenaren, bedoeld in artikel, eerste lid, van de Landsverordening Materieel Ambtenarenrecht</w:t>
      </w:r>
      <w:r w:rsidRPr="00DA449C">
        <w:rPr>
          <w:rFonts w:ascii="Palatino Linotype" w:hAnsi="Palatino Linotype"/>
          <w:bCs/>
          <w:sz w:val="22"/>
          <w:szCs w:val="22"/>
          <w:vertAlign w:val="superscript"/>
          <w:lang w:val="nl-NL"/>
        </w:rPr>
        <w:footnoteReference w:id="4"/>
      </w:r>
      <w:r w:rsidRPr="00DA449C">
        <w:rPr>
          <w:rFonts w:ascii="Palatino Linotype" w:hAnsi="Palatino Linotype"/>
          <w:bCs/>
          <w:sz w:val="22"/>
          <w:szCs w:val="22"/>
          <w:lang w:val="nl-NL"/>
        </w:rPr>
        <w:t>;</w:t>
      </w:r>
    </w:p>
    <w:p w14:paraId="6C2E5542" w14:textId="77777777" w:rsidR="00DA449C" w:rsidRPr="00DA449C" w:rsidRDefault="00DA449C" w:rsidP="00DA449C">
      <w:pPr>
        <w:numPr>
          <w:ilvl w:val="0"/>
          <w:numId w:val="23"/>
        </w:numPr>
        <w:tabs>
          <w:tab w:val="left" w:pos="397"/>
          <w:tab w:val="left" w:pos="794"/>
          <w:tab w:val="left" w:pos="1191"/>
        </w:tabs>
        <w:ind w:hanging="4320"/>
        <w:contextualSpacing/>
        <w:jc w:val="both"/>
        <w:rPr>
          <w:rFonts w:ascii="Palatino Linotype" w:hAnsi="Palatino Linotype"/>
          <w:bCs/>
          <w:sz w:val="22"/>
          <w:szCs w:val="22"/>
          <w:lang w:val="nl-NL"/>
        </w:rPr>
      </w:pPr>
      <w:r w:rsidRPr="00DA449C">
        <w:rPr>
          <w:rFonts w:ascii="Palatino Linotype" w:hAnsi="Palatino Linotype"/>
          <w:bCs/>
          <w:sz w:val="22"/>
          <w:szCs w:val="22"/>
          <w:lang w:val="nl-NL"/>
        </w:rPr>
        <w:t>organisatie:</w:t>
      </w:r>
      <w:r w:rsidRPr="00DA449C">
        <w:rPr>
          <w:rFonts w:ascii="Palatino Linotype" w:hAnsi="Palatino Linotype"/>
          <w:bCs/>
          <w:sz w:val="22"/>
          <w:szCs w:val="22"/>
          <w:lang w:val="nl-NL"/>
        </w:rPr>
        <w:tab/>
        <w:t>een rechtspersoonlijkheid bezittende organisatie die het behartigen van de belangen van ambtenaren ten doel heeft;</w:t>
      </w:r>
    </w:p>
    <w:p w14:paraId="4889AE7A" w14:textId="77777777" w:rsidR="00DA449C" w:rsidRPr="00DA449C" w:rsidRDefault="00DA449C" w:rsidP="00DA449C">
      <w:pPr>
        <w:numPr>
          <w:ilvl w:val="0"/>
          <w:numId w:val="23"/>
        </w:numPr>
        <w:tabs>
          <w:tab w:val="left" w:pos="397"/>
          <w:tab w:val="left" w:pos="794"/>
          <w:tab w:val="left" w:pos="1191"/>
        </w:tabs>
        <w:ind w:hanging="4320"/>
        <w:contextualSpacing/>
        <w:jc w:val="both"/>
        <w:rPr>
          <w:rFonts w:ascii="Palatino Linotype" w:hAnsi="Palatino Linotype"/>
          <w:bCs/>
          <w:sz w:val="22"/>
          <w:szCs w:val="22"/>
          <w:lang w:val="nl-NL"/>
        </w:rPr>
      </w:pPr>
      <w:r w:rsidRPr="00DA449C">
        <w:rPr>
          <w:rFonts w:ascii="Palatino Linotype" w:hAnsi="Palatino Linotype"/>
          <w:bCs/>
          <w:sz w:val="22"/>
          <w:szCs w:val="22"/>
          <w:lang w:val="nl-NL"/>
        </w:rPr>
        <w:t>partijen:</w:t>
      </w:r>
      <w:r w:rsidRPr="00DA449C">
        <w:rPr>
          <w:rFonts w:ascii="Palatino Linotype" w:hAnsi="Palatino Linotype"/>
          <w:bCs/>
          <w:sz w:val="22"/>
          <w:szCs w:val="22"/>
          <w:lang w:val="nl-NL"/>
        </w:rPr>
        <w:tab/>
        <w:t>de Minister enerzijds en de Centrale Commissie anderzijds;</w:t>
      </w:r>
    </w:p>
    <w:p w14:paraId="49635114" w14:textId="1FB0624D" w:rsidR="00D34CAF" w:rsidRPr="008156EB" w:rsidRDefault="00DA449C" w:rsidP="00D34CAF">
      <w:pPr>
        <w:pStyle w:val="ListParagraph"/>
        <w:numPr>
          <w:ilvl w:val="0"/>
          <w:numId w:val="23"/>
        </w:numPr>
        <w:tabs>
          <w:tab w:val="left" w:pos="397"/>
          <w:tab w:val="left" w:pos="794"/>
          <w:tab w:val="left" w:pos="1191"/>
        </w:tabs>
        <w:ind w:hanging="4320"/>
        <w:jc w:val="both"/>
        <w:rPr>
          <w:rFonts w:ascii="Palatino Linotype" w:hAnsi="Palatino Linotype"/>
          <w:bCs/>
          <w:sz w:val="22"/>
          <w:szCs w:val="22"/>
          <w:lang w:val="nl-NL"/>
        </w:rPr>
      </w:pPr>
      <w:r w:rsidRPr="00DA449C">
        <w:rPr>
          <w:rFonts w:ascii="Palatino Linotype" w:hAnsi="Palatino Linotype"/>
          <w:bCs/>
          <w:sz w:val="22"/>
          <w:szCs w:val="22"/>
          <w:lang w:val="nl-NL"/>
        </w:rPr>
        <w:t>Advies- en arbitragecommissie:</w:t>
      </w:r>
      <w:r w:rsidRPr="00DA449C">
        <w:rPr>
          <w:rFonts w:ascii="Palatino Linotype" w:hAnsi="Palatino Linotype"/>
          <w:bCs/>
          <w:sz w:val="22"/>
          <w:szCs w:val="22"/>
          <w:lang w:val="nl-NL"/>
        </w:rPr>
        <w:tab/>
      </w:r>
      <w:r w:rsidR="006111B3" w:rsidRPr="00DA449C">
        <w:rPr>
          <w:rFonts w:ascii="Palatino Linotype" w:hAnsi="Palatino Linotype"/>
          <w:bCs/>
          <w:sz w:val="22"/>
          <w:szCs w:val="22"/>
          <w:lang w:val="nl-NL"/>
        </w:rPr>
        <w:t>Advies- en arbitragecommissie</w:t>
      </w:r>
      <w:r w:rsidR="008156EB">
        <w:rPr>
          <w:rFonts w:ascii="Palatino Linotype" w:hAnsi="Palatino Linotype"/>
          <w:bCs/>
          <w:sz w:val="22"/>
          <w:szCs w:val="22"/>
          <w:lang w:val="nl-NL"/>
        </w:rPr>
        <w:t>,</w:t>
      </w:r>
      <w:r w:rsidR="00D34CAF">
        <w:rPr>
          <w:rFonts w:ascii="Palatino Linotype" w:hAnsi="Palatino Linotype"/>
          <w:bCs/>
          <w:sz w:val="22"/>
          <w:szCs w:val="22"/>
          <w:lang w:val="nl-NL"/>
        </w:rPr>
        <w:t xml:space="preserve"> </w:t>
      </w:r>
      <w:r w:rsidR="00D34CAF" w:rsidRPr="008156EB">
        <w:rPr>
          <w:rFonts w:ascii="Palatino Linotype" w:hAnsi="Palatino Linotype"/>
          <w:bCs/>
          <w:sz w:val="22"/>
          <w:szCs w:val="22"/>
          <w:lang w:val="nl-NL"/>
        </w:rPr>
        <w:t>bedoeld in artikel 11, eerste lid.</w:t>
      </w:r>
    </w:p>
    <w:p w14:paraId="64F74E91" w14:textId="155DC535" w:rsidR="00DA449C" w:rsidRPr="00DA449C" w:rsidRDefault="00DA449C" w:rsidP="00D34CAF">
      <w:pPr>
        <w:tabs>
          <w:tab w:val="left" w:pos="397"/>
          <w:tab w:val="left" w:pos="794"/>
          <w:tab w:val="left" w:pos="1191"/>
        </w:tabs>
        <w:contextualSpacing/>
        <w:jc w:val="both"/>
        <w:rPr>
          <w:rFonts w:ascii="Palatino Linotype" w:hAnsi="Palatino Linotype"/>
          <w:bCs/>
          <w:sz w:val="22"/>
          <w:szCs w:val="22"/>
          <w:lang w:val="nl-NL"/>
        </w:rPr>
      </w:pPr>
    </w:p>
    <w:p w14:paraId="7E8DFF1E" w14:textId="77777777" w:rsidR="00DA449C" w:rsidRPr="00DA449C" w:rsidRDefault="00DA449C" w:rsidP="00DA449C">
      <w:pPr>
        <w:tabs>
          <w:tab w:val="left" w:pos="397"/>
          <w:tab w:val="left" w:pos="794"/>
          <w:tab w:val="left" w:pos="1191"/>
        </w:tabs>
        <w:jc w:val="both"/>
        <w:rPr>
          <w:rFonts w:ascii="Palatino Linotype" w:hAnsi="Palatino Linotype"/>
          <w:sz w:val="22"/>
          <w:szCs w:val="22"/>
          <w:lang w:val="nl-NL"/>
        </w:rPr>
      </w:pPr>
    </w:p>
    <w:p w14:paraId="28811810" w14:textId="77777777" w:rsidR="00DA449C" w:rsidRPr="00DA449C" w:rsidRDefault="00DA449C" w:rsidP="00DA449C">
      <w:pPr>
        <w:tabs>
          <w:tab w:val="left" w:pos="397"/>
          <w:tab w:val="left" w:pos="794"/>
          <w:tab w:val="left" w:pos="1191"/>
        </w:tabs>
        <w:jc w:val="center"/>
        <w:rPr>
          <w:rFonts w:ascii="Palatino Linotype" w:hAnsi="Palatino Linotype"/>
          <w:bCs/>
          <w:sz w:val="22"/>
          <w:szCs w:val="22"/>
          <w:lang w:val="nl-NL"/>
        </w:rPr>
      </w:pPr>
      <w:r w:rsidRPr="00DA449C">
        <w:rPr>
          <w:rFonts w:ascii="Palatino Linotype" w:hAnsi="Palatino Linotype"/>
          <w:bCs/>
          <w:sz w:val="22"/>
          <w:szCs w:val="22"/>
          <w:lang w:val="nl-NL"/>
        </w:rPr>
        <w:t>§ 2. De Centrale Commissie van Vakbonden</w:t>
      </w:r>
    </w:p>
    <w:p w14:paraId="7B84E285" w14:textId="77777777" w:rsidR="00DA449C" w:rsidRPr="00DA449C" w:rsidRDefault="00DA449C" w:rsidP="00DA449C">
      <w:pPr>
        <w:tabs>
          <w:tab w:val="left" w:pos="397"/>
          <w:tab w:val="left" w:pos="794"/>
          <w:tab w:val="left" w:pos="1191"/>
        </w:tabs>
        <w:jc w:val="both"/>
        <w:rPr>
          <w:rFonts w:ascii="Palatino Linotype" w:hAnsi="Palatino Linotype"/>
          <w:sz w:val="22"/>
          <w:szCs w:val="22"/>
          <w:lang w:val="nl-NL"/>
        </w:rPr>
      </w:pPr>
    </w:p>
    <w:p w14:paraId="33F2F7D0" w14:textId="77777777" w:rsidR="00DA449C" w:rsidRPr="00DA449C" w:rsidRDefault="00DA449C" w:rsidP="00DA449C">
      <w:pPr>
        <w:keepNext/>
        <w:tabs>
          <w:tab w:val="left" w:pos="397"/>
          <w:tab w:val="left" w:pos="794"/>
          <w:tab w:val="left" w:pos="1191"/>
        </w:tabs>
        <w:jc w:val="center"/>
        <w:outlineLvl w:val="2"/>
        <w:rPr>
          <w:rFonts w:ascii="Palatino Linotype" w:hAnsi="Palatino Linotype"/>
          <w:bCs/>
          <w:sz w:val="22"/>
          <w:szCs w:val="22"/>
          <w:lang w:val="nl-NL"/>
        </w:rPr>
      </w:pPr>
      <w:r w:rsidRPr="00DA449C">
        <w:rPr>
          <w:rFonts w:ascii="Palatino Linotype" w:hAnsi="Palatino Linotype"/>
          <w:bCs/>
          <w:sz w:val="22"/>
          <w:szCs w:val="22"/>
          <w:lang w:val="nl-NL"/>
        </w:rPr>
        <w:t>Artikel 2</w:t>
      </w:r>
    </w:p>
    <w:p w14:paraId="0B19A4D5" w14:textId="77777777" w:rsidR="00DA449C" w:rsidRPr="00DA449C" w:rsidRDefault="00DA449C" w:rsidP="00DA449C">
      <w:pPr>
        <w:rPr>
          <w:rFonts w:ascii="Palatino Linotype" w:hAnsi="Palatino Linotype"/>
          <w:sz w:val="22"/>
          <w:szCs w:val="22"/>
          <w:lang w:val="nl-NL"/>
        </w:rPr>
      </w:pPr>
    </w:p>
    <w:p w14:paraId="71D530AE" w14:textId="77777777" w:rsidR="00DA449C" w:rsidRPr="00DA449C" w:rsidRDefault="00DA449C" w:rsidP="00DA449C">
      <w:pPr>
        <w:widowControl/>
        <w:numPr>
          <w:ilvl w:val="0"/>
          <w:numId w:val="10"/>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t>Er is een Centrale Commissie van Vakbonden, bestaande uit vertegenwoordigers van de organisaties die als representatief zijn aangemerkt.</w:t>
      </w:r>
    </w:p>
    <w:p w14:paraId="1AB970FC" w14:textId="77777777" w:rsidR="00DA449C" w:rsidRPr="00DA449C" w:rsidRDefault="00DA449C" w:rsidP="00DA449C">
      <w:pPr>
        <w:widowControl/>
        <w:numPr>
          <w:ilvl w:val="0"/>
          <w:numId w:val="10"/>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lastRenderedPageBreak/>
        <w:t>Een organisatie die als representatief wenst te worden aangemerkt, doet aan de Gouverneur een verzoek hiertoe, vergezeld van een exemplaar van haar statuten en van haar huishoudelijk reglement.</w:t>
      </w:r>
    </w:p>
    <w:p w14:paraId="57302B11" w14:textId="77777777" w:rsidR="00DA449C" w:rsidRPr="00DA449C" w:rsidRDefault="00DA449C" w:rsidP="00DA449C">
      <w:pPr>
        <w:widowControl/>
        <w:numPr>
          <w:ilvl w:val="0"/>
          <w:numId w:val="10"/>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t>Bij landsbesluit, houdende algemene maatregelen, worden normen vastgesteld ter beoordeling van de representativiteit. Hierbij worden in ieder geval regels gesteld ten aanzien van de statutaire doelstelling, het minimale aantal ambtenaren dat lid moet zijn en de duurzaamheid van de organisatie.</w:t>
      </w:r>
    </w:p>
    <w:p w14:paraId="6DF11BDE" w14:textId="77777777" w:rsidR="00DA449C" w:rsidRPr="00DA449C" w:rsidRDefault="00DA449C" w:rsidP="00DA449C">
      <w:pPr>
        <w:widowControl/>
        <w:numPr>
          <w:ilvl w:val="0"/>
          <w:numId w:val="10"/>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t>Het aanmerken van een organisatie als representatieve organisatie geschiedt jaarlijks bij landsbesluit. De organisatie doet de Minister daartoe jaarlijks een volledige ledenlijst toekomen.</w:t>
      </w:r>
    </w:p>
    <w:p w14:paraId="55C6F4AE" w14:textId="77777777" w:rsidR="00DA449C" w:rsidRPr="00DA449C" w:rsidRDefault="00DA449C" w:rsidP="00DA449C">
      <w:pPr>
        <w:tabs>
          <w:tab w:val="left" w:pos="397"/>
          <w:tab w:val="left" w:pos="794"/>
          <w:tab w:val="left" w:pos="1191"/>
        </w:tabs>
        <w:jc w:val="both"/>
        <w:rPr>
          <w:rFonts w:ascii="Palatino Linotype" w:hAnsi="Palatino Linotype"/>
          <w:sz w:val="22"/>
          <w:szCs w:val="22"/>
          <w:lang w:val="nl-NL"/>
        </w:rPr>
      </w:pPr>
    </w:p>
    <w:p w14:paraId="4CA599BE" w14:textId="77777777" w:rsidR="00DA449C" w:rsidRPr="00DA449C" w:rsidRDefault="00DA449C" w:rsidP="00DA449C">
      <w:pPr>
        <w:tabs>
          <w:tab w:val="left" w:pos="397"/>
          <w:tab w:val="left" w:pos="794"/>
          <w:tab w:val="left" w:pos="1191"/>
        </w:tabs>
        <w:jc w:val="center"/>
        <w:rPr>
          <w:rFonts w:ascii="Palatino Linotype" w:hAnsi="Palatino Linotype"/>
          <w:bCs/>
          <w:sz w:val="22"/>
          <w:szCs w:val="22"/>
          <w:lang w:val="nl-NL"/>
        </w:rPr>
      </w:pPr>
      <w:r w:rsidRPr="00DA449C">
        <w:rPr>
          <w:rFonts w:ascii="Palatino Linotype" w:hAnsi="Palatino Linotype"/>
          <w:bCs/>
          <w:sz w:val="22"/>
          <w:szCs w:val="22"/>
          <w:lang w:val="nl-NL"/>
        </w:rPr>
        <w:t>Artikel 3</w:t>
      </w:r>
    </w:p>
    <w:p w14:paraId="0807E265" w14:textId="77777777" w:rsidR="00DA449C" w:rsidRPr="00DA449C" w:rsidRDefault="00DA449C" w:rsidP="00DA449C">
      <w:pPr>
        <w:tabs>
          <w:tab w:val="left" w:pos="397"/>
          <w:tab w:val="left" w:pos="794"/>
          <w:tab w:val="left" w:pos="1191"/>
        </w:tabs>
        <w:jc w:val="center"/>
        <w:rPr>
          <w:rFonts w:ascii="Palatino Linotype" w:hAnsi="Palatino Linotype"/>
          <w:bCs/>
          <w:sz w:val="22"/>
          <w:szCs w:val="22"/>
          <w:lang w:val="nl-NL"/>
        </w:rPr>
      </w:pPr>
    </w:p>
    <w:p w14:paraId="31850466" w14:textId="77777777" w:rsidR="00DA449C" w:rsidRPr="00DA449C" w:rsidRDefault="00DA449C" w:rsidP="00DA449C">
      <w:pPr>
        <w:widowControl/>
        <w:numPr>
          <w:ilvl w:val="0"/>
          <w:numId w:val="11"/>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t>Elke als representatief aangemerkte organisatie draagt 3 vertegenwoordigers bij de Minister voor die zitting nemen in de Centrale Commissie. Zij worden benoemd bij landsbesluit.</w:t>
      </w:r>
    </w:p>
    <w:p w14:paraId="57069060" w14:textId="77777777" w:rsidR="00DA449C" w:rsidRPr="00DA449C" w:rsidRDefault="00DA449C" w:rsidP="00DA449C">
      <w:pPr>
        <w:widowControl/>
        <w:numPr>
          <w:ilvl w:val="0"/>
          <w:numId w:val="11"/>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t>De Centrale Commissie stelt een reglement van orde vast waarin regels worden gesteld met betrekking tot haar werkwijze, waaronder in elk geval begrepen de wijze waarop haar vergaderingen worden geleid en de wijze waarop besluiten worden genomen.</w:t>
      </w:r>
    </w:p>
    <w:p w14:paraId="31DD8C1E" w14:textId="77777777" w:rsidR="00DA449C" w:rsidRPr="00DA449C" w:rsidRDefault="00DA449C" w:rsidP="00DA449C">
      <w:pPr>
        <w:widowControl/>
        <w:numPr>
          <w:ilvl w:val="0"/>
          <w:numId w:val="11"/>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t xml:space="preserve">De Centrale Commissie wordt ondersteund door het Bureau </w:t>
      </w:r>
      <w:proofErr w:type="spellStart"/>
      <w:r w:rsidRPr="00DA449C">
        <w:rPr>
          <w:rFonts w:ascii="Palatino Linotype" w:hAnsi="Palatino Linotype"/>
          <w:sz w:val="22"/>
          <w:szCs w:val="22"/>
          <w:lang w:val="nl-NL"/>
        </w:rPr>
        <w:t>Secretariaatvoering</w:t>
      </w:r>
      <w:proofErr w:type="spellEnd"/>
      <w:r w:rsidRPr="00DA449C">
        <w:rPr>
          <w:rFonts w:ascii="Palatino Linotype" w:hAnsi="Palatino Linotype"/>
          <w:sz w:val="22"/>
          <w:szCs w:val="22"/>
          <w:lang w:val="nl-NL"/>
        </w:rPr>
        <w:t xml:space="preserve"> SER/ROA/GOA.</w:t>
      </w:r>
    </w:p>
    <w:p w14:paraId="1B551B31" w14:textId="77777777" w:rsidR="00DA449C" w:rsidRPr="00DA449C" w:rsidRDefault="00DA449C" w:rsidP="00DA449C">
      <w:pPr>
        <w:widowControl/>
        <w:tabs>
          <w:tab w:val="left" w:pos="397"/>
          <w:tab w:val="left" w:pos="794"/>
          <w:tab w:val="left" w:pos="1191"/>
        </w:tabs>
        <w:ind w:left="397"/>
        <w:jc w:val="both"/>
        <w:rPr>
          <w:rFonts w:ascii="Palatino Linotype" w:hAnsi="Palatino Linotype"/>
          <w:sz w:val="22"/>
          <w:szCs w:val="22"/>
          <w:lang w:val="nl-NL"/>
        </w:rPr>
      </w:pPr>
    </w:p>
    <w:p w14:paraId="2B00D46F" w14:textId="77777777" w:rsidR="00DA449C" w:rsidRPr="00DA449C" w:rsidRDefault="00DA449C" w:rsidP="00DA449C">
      <w:pPr>
        <w:tabs>
          <w:tab w:val="left" w:pos="397"/>
          <w:tab w:val="left" w:pos="794"/>
          <w:tab w:val="left" w:pos="1191"/>
        </w:tabs>
        <w:jc w:val="center"/>
        <w:rPr>
          <w:rFonts w:ascii="Palatino Linotype" w:hAnsi="Palatino Linotype"/>
          <w:bCs/>
          <w:sz w:val="22"/>
          <w:szCs w:val="22"/>
          <w:lang w:val="nl-NL"/>
        </w:rPr>
      </w:pPr>
      <w:r w:rsidRPr="00DA449C">
        <w:rPr>
          <w:rFonts w:ascii="Palatino Linotype" w:hAnsi="Palatino Linotype"/>
          <w:bCs/>
          <w:sz w:val="22"/>
          <w:szCs w:val="22"/>
          <w:lang w:val="nl-NL"/>
        </w:rPr>
        <w:t>§ 3. Het Centraal Georganiseerd Overleg in Ambtenarenzaken</w:t>
      </w:r>
    </w:p>
    <w:p w14:paraId="59E2718D" w14:textId="77777777" w:rsidR="00DA449C" w:rsidRPr="00DA449C" w:rsidRDefault="00DA449C" w:rsidP="00DA449C">
      <w:pPr>
        <w:tabs>
          <w:tab w:val="left" w:pos="397"/>
          <w:tab w:val="left" w:pos="794"/>
          <w:tab w:val="left" w:pos="1191"/>
        </w:tabs>
        <w:jc w:val="center"/>
        <w:rPr>
          <w:rFonts w:ascii="Palatino Linotype" w:hAnsi="Palatino Linotype"/>
          <w:sz w:val="22"/>
          <w:szCs w:val="22"/>
          <w:lang w:val="nl-NL"/>
        </w:rPr>
      </w:pPr>
    </w:p>
    <w:p w14:paraId="5F2B1626" w14:textId="77777777" w:rsidR="00DA449C" w:rsidRPr="00DA449C" w:rsidRDefault="00DA449C" w:rsidP="00DA449C">
      <w:pPr>
        <w:jc w:val="center"/>
        <w:rPr>
          <w:rFonts w:ascii="Palatino Linotype" w:hAnsi="Palatino Linotype"/>
          <w:sz w:val="22"/>
          <w:szCs w:val="22"/>
          <w:lang w:val="nl-NL"/>
        </w:rPr>
      </w:pPr>
      <w:r w:rsidRPr="00DA449C">
        <w:rPr>
          <w:rFonts w:ascii="Palatino Linotype" w:hAnsi="Palatino Linotype"/>
          <w:sz w:val="22"/>
          <w:szCs w:val="22"/>
          <w:lang w:val="nl-NL"/>
        </w:rPr>
        <w:t>Artikel 4</w:t>
      </w:r>
    </w:p>
    <w:p w14:paraId="12FD872D" w14:textId="77777777" w:rsidR="00DA449C" w:rsidRPr="00DA449C" w:rsidRDefault="00DA449C" w:rsidP="00DA449C">
      <w:pPr>
        <w:rPr>
          <w:rFonts w:ascii="Palatino Linotype" w:hAnsi="Palatino Linotype"/>
          <w:sz w:val="22"/>
          <w:szCs w:val="22"/>
          <w:lang w:val="nl-NL"/>
        </w:rPr>
      </w:pPr>
    </w:p>
    <w:p w14:paraId="233774E2" w14:textId="77777777" w:rsidR="00DA449C" w:rsidRPr="00DA449C" w:rsidRDefault="00DA449C" w:rsidP="00DA449C">
      <w:pPr>
        <w:widowControl/>
        <w:numPr>
          <w:ilvl w:val="0"/>
          <w:numId w:val="12"/>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t>Er is een Centraal Georganiseerd Overleg in Ambtenarenzaken, bestaande uit de Minister en de Centrale Commissie, waarin overleg wordt gevoerd inzake alle aangelegenheden van algemeen belang voor de rechtstoestand van ambtenaren, met inbegrip van de algemene regels volgens welke het personeelsbeleid zal worden gevoerd.</w:t>
      </w:r>
    </w:p>
    <w:p w14:paraId="218BCA09" w14:textId="77777777" w:rsidR="00DA449C" w:rsidRPr="00DA449C" w:rsidRDefault="00DA449C" w:rsidP="00DA449C">
      <w:pPr>
        <w:widowControl/>
        <w:numPr>
          <w:ilvl w:val="0"/>
          <w:numId w:val="12"/>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t>Het Centraal Georganiseerd Overleg staat onder leiding van een onafhankelijke voorzitter of, bij afwezigheid, belet of ontstentenis van deze, van een plaatsvervangend voorzitter.</w:t>
      </w:r>
    </w:p>
    <w:p w14:paraId="0AD27D23" w14:textId="77777777" w:rsidR="00DA449C" w:rsidRPr="00DA449C" w:rsidRDefault="00DA449C" w:rsidP="00DA449C">
      <w:pPr>
        <w:widowControl/>
        <w:numPr>
          <w:ilvl w:val="0"/>
          <w:numId w:val="12"/>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t>De voorzitter en de plaatsvervangend voorzitter van het Centraal Georganiseerd Overleg worden op voordracht van partijen bij landsbesluit benoemd, geschorst en ontslagen.</w:t>
      </w:r>
    </w:p>
    <w:p w14:paraId="48174E3A" w14:textId="77777777" w:rsidR="00DA449C" w:rsidRPr="00DA449C" w:rsidRDefault="00DA449C" w:rsidP="00DA449C">
      <w:pPr>
        <w:widowControl/>
        <w:numPr>
          <w:ilvl w:val="0"/>
          <w:numId w:val="12"/>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t>Op voorstel van de voorzitter wordt door het Centraal Georganiseerd Overleg een reglement van orde voor de vergaderingen van het overleg vastgesteld.</w:t>
      </w:r>
    </w:p>
    <w:p w14:paraId="4120EED9" w14:textId="77777777" w:rsidR="00DA449C" w:rsidRPr="00DA449C" w:rsidRDefault="00DA449C" w:rsidP="00DA449C">
      <w:pPr>
        <w:tabs>
          <w:tab w:val="left" w:pos="397"/>
          <w:tab w:val="left" w:pos="794"/>
          <w:tab w:val="left" w:pos="1191"/>
        </w:tabs>
        <w:jc w:val="center"/>
        <w:rPr>
          <w:rFonts w:ascii="Palatino Linotype" w:hAnsi="Palatino Linotype"/>
          <w:bCs/>
          <w:sz w:val="22"/>
          <w:szCs w:val="22"/>
          <w:lang w:val="nl-NL"/>
        </w:rPr>
      </w:pPr>
    </w:p>
    <w:p w14:paraId="2777C443" w14:textId="77777777" w:rsidR="00DA449C" w:rsidRPr="00DA449C" w:rsidRDefault="00DA449C" w:rsidP="00DA449C">
      <w:pPr>
        <w:tabs>
          <w:tab w:val="left" w:pos="397"/>
          <w:tab w:val="left" w:pos="794"/>
          <w:tab w:val="left" w:pos="1191"/>
        </w:tabs>
        <w:jc w:val="center"/>
        <w:rPr>
          <w:rFonts w:ascii="Palatino Linotype" w:hAnsi="Palatino Linotype"/>
          <w:bCs/>
          <w:sz w:val="22"/>
          <w:szCs w:val="22"/>
          <w:lang w:val="nl-NL"/>
        </w:rPr>
      </w:pPr>
      <w:r w:rsidRPr="00DA449C">
        <w:rPr>
          <w:rFonts w:ascii="Palatino Linotype" w:hAnsi="Palatino Linotype"/>
          <w:bCs/>
          <w:sz w:val="22"/>
          <w:szCs w:val="22"/>
          <w:lang w:val="nl-NL"/>
        </w:rPr>
        <w:t>Artikel 5</w:t>
      </w:r>
    </w:p>
    <w:p w14:paraId="38B1187B" w14:textId="77777777" w:rsidR="00DA449C" w:rsidRPr="00DA449C" w:rsidRDefault="00DA449C" w:rsidP="00DA449C">
      <w:pPr>
        <w:tabs>
          <w:tab w:val="left" w:pos="397"/>
          <w:tab w:val="left" w:pos="794"/>
          <w:tab w:val="left" w:pos="1191"/>
        </w:tabs>
        <w:jc w:val="center"/>
        <w:rPr>
          <w:rFonts w:ascii="Palatino Linotype" w:hAnsi="Palatino Linotype"/>
          <w:bCs/>
          <w:sz w:val="22"/>
          <w:szCs w:val="22"/>
          <w:lang w:val="nl-NL"/>
        </w:rPr>
      </w:pPr>
    </w:p>
    <w:p w14:paraId="7D04EDDD" w14:textId="77777777" w:rsidR="00DA449C" w:rsidRPr="00DA449C" w:rsidRDefault="00DA449C" w:rsidP="00DA449C">
      <w:pPr>
        <w:widowControl/>
        <w:numPr>
          <w:ilvl w:val="0"/>
          <w:numId w:val="13"/>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t>Het overleg in het Centraal Georganiseerd Overleg wordt gevoerd tussen partijen.</w:t>
      </w:r>
    </w:p>
    <w:p w14:paraId="4126268E" w14:textId="77777777" w:rsidR="00DA449C" w:rsidRPr="00DA449C" w:rsidRDefault="00DA449C" w:rsidP="00DA449C">
      <w:pPr>
        <w:widowControl/>
        <w:numPr>
          <w:ilvl w:val="0"/>
          <w:numId w:val="13"/>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t>De Minister kan zich bij het overleg doen bijstaan door één of meer door hem daartoe aangewezen deskundigen.</w:t>
      </w:r>
    </w:p>
    <w:p w14:paraId="6FA1E562" w14:textId="77777777" w:rsidR="00DA449C" w:rsidRPr="00DA449C" w:rsidRDefault="00DA449C" w:rsidP="00DA449C">
      <w:pPr>
        <w:widowControl/>
        <w:numPr>
          <w:ilvl w:val="0"/>
          <w:numId w:val="13"/>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t>De Centrale Commissie kan zich bij het overleg voor de behandeling van een bepaald onderwerp door één of meer deskundigen doen bijstaan.</w:t>
      </w:r>
    </w:p>
    <w:p w14:paraId="30E9CB9A" w14:textId="77777777" w:rsidR="00DA449C" w:rsidRPr="00DA449C" w:rsidRDefault="00DA449C" w:rsidP="00DA449C">
      <w:pPr>
        <w:widowControl/>
        <w:numPr>
          <w:ilvl w:val="0"/>
          <w:numId w:val="13"/>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t>De Minister kan zich per overleg doen vertegenwoordigen door een door hem aangewezen overheidsdienaren, tenzij het betreft een vergadering, als bedoeld in artikel 14.</w:t>
      </w:r>
    </w:p>
    <w:p w14:paraId="1434951C" w14:textId="77777777" w:rsidR="00DA449C" w:rsidRPr="00DA449C" w:rsidRDefault="00DA449C" w:rsidP="00DA449C">
      <w:pPr>
        <w:widowControl/>
        <w:numPr>
          <w:ilvl w:val="0"/>
          <w:numId w:val="13"/>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lastRenderedPageBreak/>
        <w:t xml:space="preserve">Het Centraal Georganiseerd Overleg wordt ondersteund door Bureau </w:t>
      </w:r>
      <w:proofErr w:type="spellStart"/>
      <w:r w:rsidRPr="00DA449C">
        <w:rPr>
          <w:rFonts w:ascii="Palatino Linotype" w:hAnsi="Palatino Linotype"/>
          <w:sz w:val="22"/>
          <w:szCs w:val="22"/>
          <w:lang w:val="nl-NL"/>
        </w:rPr>
        <w:t>Secretariaatvoering</w:t>
      </w:r>
      <w:proofErr w:type="spellEnd"/>
      <w:r w:rsidRPr="00DA449C">
        <w:rPr>
          <w:rFonts w:ascii="Palatino Linotype" w:hAnsi="Palatino Linotype"/>
          <w:sz w:val="22"/>
          <w:szCs w:val="22"/>
          <w:lang w:val="nl-NL"/>
        </w:rPr>
        <w:t xml:space="preserve"> SER/ROA/GOA.</w:t>
      </w:r>
    </w:p>
    <w:p w14:paraId="4049158F" w14:textId="77777777" w:rsidR="00DA449C" w:rsidRPr="00DA449C" w:rsidRDefault="00DA449C" w:rsidP="00DA449C">
      <w:pPr>
        <w:tabs>
          <w:tab w:val="left" w:pos="397"/>
          <w:tab w:val="left" w:pos="794"/>
          <w:tab w:val="left" w:pos="1191"/>
        </w:tabs>
        <w:jc w:val="both"/>
        <w:rPr>
          <w:rFonts w:ascii="Palatino Linotype" w:hAnsi="Palatino Linotype"/>
          <w:sz w:val="22"/>
          <w:szCs w:val="22"/>
          <w:lang w:val="nl-NL"/>
        </w:rPr>
      </w:pPr>
    </w:p>
    <w:p w14:paraId="4490F227" w14:textId="77777777" w:rsidR="00CE6C38" w:rsidRDefault="00CE6C38" w:rsidP="00DA449C">
      <w:pPr>
        <w:tabs>
          <w:tab w:val="left" w:pos="397"/>
          <w:tab w:val="left" w:pos="794"/>
          <w:tab w:val="left" w:pos="1191"/>
        </w:tabs>
        <w:jc w:val="center"/>
        <w:rPr>
          <w:rFonts w:ascii="Palatino Linotype" w:hAnsi="Palatino Linotype"/>
          <w:bCs/>
          <w:sz w:val="22"/>
          <w:szCs w:val="22"/>
          <w:lang w:val="nl-NL"/>
        </w:rPr>
      </w:pPr>
    </w:p>
    <w:p w14:paraId="4ECCE63D" w14:textId="1DEDBDA4" w:rsidR="00DA449C" w:rsidRPr="00DA449C" w:rsidRDefault="00DA449C" w:rsidP="00DA449C">
      <w:pPr>
        <w:tabs>
          <w:tab w:val="left" w:pos="397"/>
          <w:tab w:val="left" w:pos="794"/>
          <w:tab w:val="left" w:pos="1191"/>
        </w:tabs>
        <w:jc w:val="center"/>
        <w:rPr>
          <w:rFonts w:ascii="Palatino Linotype" w:hAnsi="Palatino Linotype"/>
          <w:bCs/>
          <w:sz w:val="22"/>
          <w:szCs w:val="22"/>
          <w:lang w:val="nl-NL"/>
        </w:rPr>
      </w:pPr>
      <w:r w:rsidRPr="00DA449C">
        <w:rPr>
          <w:rFonts w:ascii="Palatino Linotype" w:hAnsi="Palatino Linotype"/>
          <w:bCs/>
          <w:sz w:val="22"/>
          <w:szCs w:val="22"/>
          <w:lang w:val="nl-NL"/>
        </w:rPr>
        <w:t>Artikel 6</w:t>
      </w:r>
    </w:p>
    <w:p w14:paraId="25A9A374" w14:textId="77777777" w:rsidR="00DA449C" w:rsidRPr="00DA449C" w:rsidRDefault="00DA449C" w:rsidP="00DA449C">
      <w:pPr>
        <w:tabs>
          <w:tab w:val="left" w:pos="397"/>
          <w:tab w:val="left" w:pos="794"/>
          <w:tab w:val="left" w:pos="1191"/>
        </w:tabs>
        <w:jc w:val="center"/>
        <w:rPr>
          <w:rFonts w:ascii="Palatino Linotype" w:hAnsi="Palatino Linotype"/>
          <w:bCs/>
          <w:sz w:val="22"/>
          <w:szCs w:val="22"/>
          <w:lang w:val="nl-NL"/>
        </w:rPr>
      </w:pPr>
    </w:p>
    <w:p w14:paraId="77F06531" w14:textId="77777777" w:rsidR="00DA449C" w:rsidRPr="00DA449C" w:rsidRDefault="00DA449C" w:rsidP="00DA449C">
      <w:pPr>
        <w:widowControl/>
        <w:numPr>
          <w:ilvl w:val="0"/>
          <w:numId w:val="14"/>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t>De Minister legt ten behoeve van het overleg in het Centraal Georganiseerd Overleg voorstellen voor regelgeving, beleidsnota’s of anderszins vastgelegde voornemens door tussenkomst van de voorzitter aan de Centrale Commissie voor.</w:t>
      </w:r>
    </w:p>
    <w:p w14:paraId="5C66F0A6" w14:textId="77777777" w:rsidR="00DA449C" w:rsidRPr="00DA449C" w:rsidRDefault="00DA449C" w:rsidP="00DA449C">
      <w:pPr>
        <w:widowControl/>
        <w:numPr>
          <w:ilvl w:val="0"/>
          <w:numId w:val="14"/>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t>De Centrale Commissie kan ten behoeve van het overleg in het Centraal Georganiseerd Overleg voorstellen door tussenkomst van de voorzitter voorleggen aan de Minister.</w:t>
      </w:r>
    </w:p>
    <w:p w14:paraId="742B0737" w14:textId="77777777" w:rsidR="00DA449C" w:rsidRPr="00DA449C" w:rsidRDefault="00DA449C" w:rsidP="00DA449C">
      <w:pPr>
        <w:widowControl/>
        <w:numPr>
          <w:ilvl w:val="0"/>
          <w:numId w:val="14"/>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t>Het overleg in het Centraal Georganiseerd Overleg vindt maandelijks plaats, voor zover</w:t>
      </w:r>
      <w:r w:rsidRPr="00DA449C">
        <w:rPr>
          <w:rFonts w:ascii="Palatino Linotype" w:hAnsi="Palatino Linotype"/>
          <w:bCs/>
          <w:sz w:val="22"/>
          <w:szCs w:val="22"/>
          <w:lang w:val="nl-NL"/>
        </w:rPr>
        <w:t xml:space="preserve"> </w:t>
      </w:r>
      <w:r w:rsidRPr="00DA449C">
        <w:rPr>
          <w:rFonts w:ascii="Palatino Linotype" w:hAnsi="Palatino Linotype"/>
          <w:sz w:val="22"/>
          <w:szCs w:val="22"/>
          <w:lang w:val="nl-NL"/>
        </w:rPr>
        <w:t>zich voldoende voor behandeling gereed zijnde agendapunten voordoen.</w:t>
      </w:r>
    </w:p>
    <w:p w14:paraId="31C0ACF0" w14:textId="77777777" w:rsidR="00DA449C" w:rsidRPr="00DA449C" w:rsidRDefault="00DA449C" w:rsidP="00DA449C">
      <w:pPr>
        <w:widowControl/>
        <w:numPr>
          <w:ilvl w:val="0"/>
          <w:numId w:val="14"/>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t>Indien één der partijen, onder vermelding van hetgeen zij behandeld wil zien, de voorzitter verzoekt een vergadering van het Centraal Georganiseerd Overleg uit te schrijven, anders dan een vergadering als bedoeld in het derde lid, vindt deze vergadering binnen tien dagen plaats.</w:t>
      </w:r>
    </w:p>
    <w:p w14:paraId="47B732A7" w14:textId="77777777" w:rsidR="00DA449C" w:rsidRPr="00DA449C" w:rsidRDefault="00DA449C" w:rsidP="00DA449C">
      <w:pPr>
        <w:widowControl/>
        <w:numPr>
          <w:ilvl w:val="0"/>
          <w:numId w:val="14"/>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t>De voorzitter stelt in overleg met partijen de plaats en de datum van het overleg vast.</w:t>
      </w:r>
    </w:p>
    <w:p w14:paraId="5A1F04BC" w14:textId="77777777" w:rsidR="00DA449C" w:rsidRPr="00DA449C" w:rsidRDefault="00DA449C" w:rsidP="00DA449C">
      <w:pPr>
        <w:tabs>
          <w:tab w:val="left" w:pos="397"/>
          <w:tab w:val="left" w:pos="794"/>
          <w:tab w:val="left" w:pos="1191"/>
        </w:tabs>
        <w:jc w:val="both"/>
        <w:rPr>
          <w:rFonts w:ascii="Palatino Linotype" w:hAnsi="Palatino Linotype"/>
          <w:bCs/>
          <w:sz w:val="22"/>
          <w:szCs w:val="22"/>
          <w:lang w:val="nl-NL"/>
        </w:rPr>
      </w:pPr>
    </w:p>
    <w:p w14:paraId="730598DB" w14:textId="77777777" w:rsidR="00DA449C" w:rsidRPr="00DA449C" w:rsidRDefault="00DA449C" w:rsidP="00DA449C">
      <w:pPr>
        <w:tabs>
          <w:tab w:val="left" w:pos="397"/>
          <w:tab w:val="left" w:pos="794"/>
          <w:tab w:val="left" w:pos="1191"/>
        </w:tabs>
        <w:jc w:val="center"/>
        <w:rPr>
          <w:rFonts w:ascii="Palatino Linotype" w:hAnsi="Palatino Linotype"/>
          <w:bCs/>
          <w:sz w:val="22"/>
          <w:szCs w:val="22"/>
          <w:lang w:val="nl-NL"/>
        </w:rPr>
      </w:pPr>
      <w:r w:rsidRPr="00DA449C">
        <w:rPr>
          <w:rFonts w:ascii="Palatino Linotype" w:hAnsi="Palatino Linotype"/>
          <w:bCs/>
          <w:sz w:val="22"/>
          <w:szCs w:val="22"/>
          <w:lang w:val="nl-NL"/>
        </w:rPr>
        <w:t>Artikel 7</w:t>
      </w:r>
    </w:p>
    <w:p w14:paraId="38C5ED5D" w14:textId="77777777" w:rsidR="00DA449C" w:rsidRPr="00DA449C" w:rsidRDefault="00DA449C" w:rsidP="00DA449C">
      <w:pPr>
        <w:tabs>
          <w:tab w:val="left" w:pos="397"/>
          <w:tab w:val="left" w:pos="794"/>
          <w:tab w:val="left" w:pos="1191"/>
        </w:tabs>
        <w:jc w:val="center"/>
        <w:rPr>
          <w:rFonts w:ascii="Palatino Linotype" w:hAnsi="Palatino Linotype"/>
          <w:bCs/>
          <w:sz w:val="22"/>
          <w:szCs w:val="22"/>
          <w:lang w:val="nl-NL"/>
        </w:rPr>
      </w:pPr>
    </w:p>
    <w:p w14:paraId="1C2FE087" w14:textId="77777777" w:rsidR="00DA449C" w:rsidRPr="00DA449C" w:rsidRDefault="00DA449C" w:rsidP="00DA449C">
      <w:pPr>
        <w:widowControl/>
        <w:numPr>
          <w:ilvl w:val="0"/>
          <w:numId w:val="15"/>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t>Indien het wenselijk blijkt over de aangelegenheden, bedoeld in artikel 4, eerste lid, voorbereidende besprekingen te voeren of in het overleg genomen besluiten uit te werken, geschiedt deze voorbereiding of uitwerking door werkgroepen, die door het Centraal</w:t>
      </w:r>
      <w:r w:rsidRPr="00DA449C">
        <w:rPr>
          <w:rFonts w:ascii="Palatino Linotype" w:hAnsi="Palatino Linotype"/>
          <w:bCs/>
          <w:sz w:val="22"/>
          <w:szCs w:val="22"/>
          <w:lang w:val="nl-NL"/>
        </w:rPr>
        <w:t xml:space="preserve"> </w:t>
      </w:r>
      <w:r w:rsidRPr="00DA449C">
        <w:rPr>
          <w:rFonts w:ascii="Palatino Linotype" w:hAnsi="Palatino Linotype"/>
          <w:sz w:val="22"/>
          <w:szCs w:val="22"/>
          <w:lang w:val="nl-NL"/>
        </w:rPr>
        <w:t>Georganiseerd Overleg worden ingesteld.</w:t>
      </w:r>
    </w:p>
    <w:p w14:paraId="73C5696A" w14:textId="77777777" w:rsidR="00DA449C" w:rsidRPr="00DA449C" w:rsidRDefault="00DA449C" w:rsidP="00DA449C">
      <w:pPr>
        <w:widowControl/>
        <w:numPr>
          <w:ilvl w:val="0"/>
          <w:numId w:val="15"/>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t>De werkgroepen zijn samengesteld uit een gelijk aantal vertegenwoordigers van de tot het Centraal Georganiseerd Overleg toegelaten organisaties alsmede uit door de Minister aangewezen overheidsdienaren.</w:t>
      </w:r>
    </w:p>
    <w:p w14:paraId="776A078F" w14:textId="77777777" w:rsidR="00DA449C" w:rsidRPr="00DA449C" w:rsidRDefault="00DA449C" w:rsidP="00DA449C">
      <w:pPr>
        <w:widowControl/>
        <w:numPr>
          <w:ilvl w:val="0"/>
          <w:numId w:val="15"/>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t>De werkgroepen staan onder leiding van de voorzitter van het Centraal</w:t>
      </w:r>
      <w:r w:rsidRPr="00DA449C">
        <w:rPr>
          <w:rFonts w:ascii="Palatino Linotype" w:hAnsi="Palatino Linotype"/>
          <w:bCs/>
          <w:sz w:val="22"/>
          <w:szCs w:val="22"/>
          <w:lang w:val="nl-NL"/>
        </w:rPr>
        <w:t xml:space="preserve"> </w:t>
      </w:r>
      <w:r w:rsidRPr="00DA449C">
        <w:rPr>
          <w:rFonts w:ascii="Palatino Linotype" w:hAnsi="Palatino Linotype"/>
          <w:sz w:val="22"/>
          <w:szCs w:val="22"/>
          <w:lang w:val="nl-NL"/>
        </w:rPr>
        <w:t>Georganiseerd Overleg, dan wel diens plaatsvervanger.</w:t>
      </w:r>
    </w:p>
    <w:p w14:paraId="39B0E320" w14:textId="77777777" w:rsidR="00DA449C" w:rsidRPr="00DA449C" w:rsidRDefault="00DA449C" w:rsidP="00DA449C">
      <w:pPr>
        <w:widowControl/>
        <w:numPr>
          <w:ilvl w:val="0"/>
          <w:numId w:val="15"/>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t>Ingeval voor een onderwerp geen werkgroep beschikbaar is, kan de voorzitter van het Centraal Georganiseerd Overleg een ad hoc werkgroep instellen. Het eerste tot en met derde lid zijn van overeenkomstige toepassing.</w:t>
      </w:r>
    </w:p>
    <w:p w14:paraId="520604F0" w14:textId="77777777" w:rsidR="00DA449C" w:rsidRPr="00DA449C" w:rsidRDefault="00DA449C" w:rsidP="00DA449C">
      <w:pPr>
        <w:keepNext/>
        <w:tabs>
          <w:tab w:val="left" w:pos="397"/>
          <w:tab w:val="left" w:pos="794"/>
          <w:tab w:val="left" w:pos="1191"/>
        </w:tabs>
        <w:jc w:val="center"/>
        <w:outlineLvl w:val="2"/>
        <w:rPr>
          <w:rFonts w:ascii="Palatino Linotype" w:hAnsi="Palatino Linotype"/>
          <w:bCs/>
          <w:sz w:val="22"/>
          <w:szCs w:val="22"/>
          <w:lang w:val="nl-NL"/>
        </w:rPr>
      </w:pPr>
    </w:p>
    <w:p w14:paraId="4BF83B83" w14:textId="77777777" w:rsidR="00DA449C" w:rsidRPr="00DA449C" w:rsidRDefault="00DA449C" w:rsidP="00DA449C">
      <w:pPr>
        <w:keepNext/>
        <w:tabs>
          <w:tab w:val="left" w:pos="397"/>
          <w:tab w:val="left" w:pos="794"/>
          <w:tab w:val="left" w:pos="1191"/>
        </w:tabs>
        <w:jc w:val="center"/>
        <w:outlineLvl w:val="2"/>
        <w:rPr>
          <w:rFonts w:ascii="Palatino Linotype" w:hAnsi="Palatino Linotype"/>
          <w:bCs/>
          <w:sz w:val="22"/>
          <w:szCs w:val="22"/>
          <w:lang w:val="nl-NL"/>
        </w:rPr>
      </w:pPr>
      <w:r w:rsidRPr="00DA449C">
        <w:rPr>
          <w:rFonts w:ascii="Palatino Linotype" w:hAnsi="Palatino Linotype"/>
          <w:bCs/>
          <w:sz w:val="22"/>
          <w:szCs w:val="22"/>
          <w:lang w:val="nl-NL"/>
        </w:rPr>
        <w:t>Artikel 8</w:t>
      </w:r>
    </w:p>
    <w:p w14:paraId="0D0FDFA5" w14:textId="77777777" w:rsidR="00DA449C" w:rsidRPr="00DA449C" w:rsidRDefault="00DA449C" w:rsidP="00DA449C">
      <w:pPr>
        <w:rPr>
          <w:rFonts w:ascii="Palatino Linotype" w:hAnsi="Palatino Linotype"/>
          <w:sz w:val="22"/>
          <w:szCs w:val="22"/>
          <w:lang w:val="nl-NL"/>
        </w:rPr>
      </w:pPr>
    </w:p>
    <w:p w14:paraId="35036242" w14:textId="77777777" w:rsidR="00DA449C" w:rsidRPr="00DA449C" w:rsidRDefault="00DA449C" w:rsidP="00DA449C">
      <w:pPr>
        <w:tabs>
          <w:tab w:val="left" w:pos="397"/>
          <w:tab w:val="left" w:pos="794"/>
          <w:tab w:val="left" w:pos="1191"/>
        </w:tabs>
        <w:jc w:val="both"/>
        <w:rPr>
          <w:rFonts w:ascii="Palatino Linotype" w:hAnsi="Palatino Linotype"/>
          <w:sz w:val="22"/>
          <w:szCs w:val="22"/>
          <w:lang w:val="nl-NL"/>
        </w:rPr>
      </w:pPr>
      <w:r w:rsidRPr="00DA449C">
        <w:rPr>
          <w:rFonts w:ascii="Palatino Linotype" w:hAnsi="Palatino Linotype"/>
          <w:sz w:val="22"/>
          <w:szCs w:val="22"/>
          <w:lang w:val="nl-NL"/>
        </w:rPr>
        <w:t>De Minister draagt er zorg voor, dat alle door de vertegenwoordigers van de organisaties in de Centrale Commissie en in de werkgroepen gevraagde informatie door de desbetreffende overheidsdiensten wordt verstrekt.</w:t>
      </w:r>
    </w:p>
    <w:p w14:paraId="5DDD42FC" w14:textId="77777777" w:rsidR="00DA449C" w:rsidRPr="00DA449C" w:rsidRDefault="00DA449C" w:rsidP="00DA449C">
      <w:pPr>
        <w:tabs>
          <w:tab w:val="left" w:pos="397"/>
          <w:tab w:val="left" w:pos="794"/>
          <w:tab w:val="left" w:pos="1191"/>
        </w:tabs>
        <w:jc w:val="both"/>
        <w:rPr>
          <w:rFonts w:ascii="Palatino Linotype" w:hAnsi="Palatino Linotype"/>
          <w:bCs/>
          <w:sz w:val="22"/>
          <w:szCs w:val="22"/>
          <w:lang w:val="nl-NL"/>
        </w:rPr>
      </w:pPr>
    </w:p>
    <w:p w14:paraId="0C5FA28E" w14:textId="77777777" w:rsidR="00DA449C" w:rsidRPr="00DA449C" w:rsidRDefault="00DA449C" w:rsidP="00DA449C">
      <w:pPr>
        <w:keepNext/>
        <w:tabs>
          <w:tab w:val="left" w:pos="397"/>
          <w:tab w:val="left" w:pos="794"/>
          <w:tab w:val="left" w:pos="1191"/>
        </w:tabs>
        <w:jc w:val="center"/>
        <w:outlineLvl w:val="2"/>
        <w:rPr>
          <w:rFonts w:ascii="Palatino Linotype" w:hAnsi="Palatino Linotype"/>
          <w:bCs/>
          <w:sz w:val="22"/>
          <w:szCs w:val="22"/>
          <w:lang w:val="nl-NL"/>
        </w:rPr>
      </w:pPr>
      <w:r w:rsidRPr="00DA449C">
        <w:rPr>
          <w:rFonts w:ascii="Palatino Linotype" w:hAnsi="Palatino Linotype"/>
          <w:bCs/>
          <w:sz w:val="22"/>
          <w:szCs w:val="22"/>
          <w:lang w:val="nl-NL"/>
        </w:rPr>
        <w:t>Artikel 9</w:t>
      </w:r>
    </w:p>
    <w:p w14:paraId="4BEBCF5E" w14:textId="77777777" w:rsidR="00DA449C" w:rsidRPr="00DA449C" w:rsidRDefault="00DA449C" w:rsidP="00DA449C">
      <w:pPr>
        <w:rPr>
          <w:rFonts w:ascii="Palatino Linotype" w:hAnsi="Palatino Linotype"/>
          <w:sz w:val="22"/>
          <w:szCs w:val="22"/>
          <w:lang w:val="nl-NL"/>
        </w:rPr>
      </w:pPr>
    </w:p>
    <w:p w14:paraId="307F2250" w14:textId="77777777" w:rsidR="00DA449C" w:rsidRPr="00DA449C" w:rsidRDefault="00DA449C" w:rsidP="00DA449C">
      <w:pPr>
        <w:widowControl/>
        <w:numPr>
          <w:ilvl w:val="0"/>
          <w:numId w:val="16"/>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t>Partijen kunnen geheimhouding overeenkomen ten aanzien van hetgeen in vergaderingen is behandeld, zolang het overleg niet ten volle is voltooid als bedoeld in artikel 10, vijfde lid.</w:t>
      </w:r>
    </w:p>
    <w:p w14:paraId="33CFF8ED" w14:textId="18B2C424" w:rsidR="008B338B" w:rsidRPr="00D34CAF" w:rsidRDefault="00DA449C" w:rsidP="00D34CAF">
      <w:pPr>
        <w:widowControl/>
        <w:numPr>
          <w:ilvl w:val="0"/>
          <w:numId w:val="16"/>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t>De geheimhouding is niet van toepassing op overleg van de vertegenwoordigers van de organisaties met hun besturen, maar wel op de desbetreffende besturen en bestuursleden</w:t>
      </w:r>
    </w:p>
    <w:p w14:paraId="30D6C0B8" w14:textId="3AB7AF61" w:rsidR="00DA449C" w:rsidRPr="00DA449C" w:rsidRDefault="00DA449C" w:rsidP="00DA449C">
      <w:pPr>
        <w:tabs>
          <w:tab w:val="left" w:pos="397"/>
          <w:tab w:val="left" w:pos="794"/>
          <w:tab w:val="left" w:pos="1191"/>
        </w:tabs>
        <w:jc w:val="center"/>
        <w:rPr>
          <w:rFonts w:ascii="Palatino Linotype" w:hAnsi="Palatino Linotype"/>
          <w:bCs/>
          <w:sz w:val="22"/>
          <w:szCs w:val="22"/>
          <w:lang w:val="nl-NL"/>
        </w:rPr>
      </w:pPr>
      <w:r w:rsidRPr="00DA449C">
        <w:rPr>
          <w:rFonts w:ascii="Palatino Linotype" w:hAnsi="Palatino Linotype"/>
          <w:bCs/>
          <w:sz w:val="22"/>
          <w:szCs w:val="22"/>
          <w:lang w:val="nl-NL"/>
        </w:rPr>
        <w:lastRenderedPageBreak/>
        <w:t>Artikel 10</w:t>
      </w:r>
    </w:p>
    <w:p w14:paraId="39AC1801" w14:textId="77777777" w:rsidR="00DA449C" w:rsidRPr="00DA449C" w:rsidRDefault="00DA449C" w:rsidP="00DA449C">
      <w:pPr>
        <w:tabs>
          <w:tab w:val="left" w:pos="397"/>
          <w:tab w:val="left" w:pos="794"/>
          <w:tab w:val="left" w:pos="1191"/>
        </w:tabs>
        <w:jc w:val="center"/>
        <w:rPr>
          <w:rFonts w:ascii="Palatino Linotype" w:hAnsi="Palatino Linotype"/>
          <w:bCs/>
          <w:sz w:val="22"/>
          <w:szCs w:val="22"/>
          <w:lang w:val="nl-NL"/>
        </w:rPr>
      </w:pPr>
    </w:p>
    <w:p w14:paraId="1A21AAF1" w14:textId="77777777" w:rsidR="00DA449C" w:rsidRPr="00DA449C" w:rsidRDefault="00DA449C" w:rsidP="00DA449C">
      <w:pPr>
        <w:widowControl/>
        <w:numPr>
          <w:ilvl w:val="0"/>
          <w:numId w:val="17"/>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t>De Minister zal niet beslissen over voorstellen betreffende aangelegenheden van algemeen belang voor de rechtstoestand van ambtenaren, dan nadat partijen overleg hebben gevoerd.</w:t>
      </w:r>
    </w:p>
    <w:p w14:paraId="18A7AB75" w14:textId="77777777" w:rsidR="00DA449C" w:rsidRPr="00DA449C" w:rsidRDefault="00DA449C" w:rsidP="00DA449C">
      <w:pPr>
        <w:widowControl/>
        <w:numPr>
          <w:ilvl w:val="0"/>
          <w:numId w:val="17"/>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t>Indien een voorstel, waarover overleg dient plaats te vinden, strekt tot invoering of wijziging van een regeling met rechten en verplichtingen van individuele ambtenaren wordt dit voorstel slechts ten uitvoer gebracht, indien daarover overeenstemming bestaat tussen partijen in het Centraal Georganiseerd Overleg. Het resultaat wordt neergelegd in een door partijen en de voorzitter ondertekend convenant.</w:t>
      </w:r>
    </w:p>
    <w:p w14:paraId="73695B0D" w14:textId="77777777" w:rsidR="00DA449C" w:rsidRPr="00DA449C" w:rsidRDefault="00DA449C" w:rsidP="00DA449C">
      <w:pPr>
        <w:widowControl/>
        <w:numPr>
          <w:ilvl w:val="0"/>
          <w:numId w:val="17"/>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t>Onverminderd het bepaalde in het tweede lid, kunnen partijen te allen tijde het resultaat van het overleg neerleggen in een door hen en de voorzitter ondertekend convenant. In elk geval wordt het resultaat van het overleg door de voorzitter in overleg met partijen openbaar gemaakt.</w:t>
      </w:r>
    </w:p>
    <w:p w14:paraId="2BD700BA" w14:textId="77777777" w:rsidR="00DA449C" w:rsidRPr="00DA449C" w:rsidRDefault="00DA449C" w:rsidP="00DA449C">
      <w:pPr>
        <w:widowControl/>
        <w:numPr>
          <w:ilvl w:val="0"/>
          <w:numId w:val="17"/>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t>Een voorstel, als bedoeld in het eerste lid zal, voor zover zulks wettelijk is voorgeschreven, niet aan de Raad van Advies ter advisering worden aangeboden, dan nadat partijen overleg hebben gevoerd.</w:t>
      </w:r>
    </w:p>
    <w:p w14:paraId="7243B4E9" w14:textId="77777777" w:rsidR="00DA449C" w:rsidRPr="00DA449C" w:rsidRDefault="00DA449C" w:rsidP="00DA449C">
      <w:pPr>
        <w:widowControl/>
        <w:numPr>
          <w:ilvl w:val="0"/>
          <w:numId w:val="17"/>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t>Het overleg wordt geacht pas te zijn voltooid als het overleg, inclusief een eventueel oordeel van de Advies- en arbitragecommissie, heeft plaatsgevonden. De Regering stelt de Staten binnen een maand na voltooiing van het overleg, als vorenbedoeld, schriftelijk in kennis van het resultaat van het overleg.</w:t>
      </w:r>
    </w:p>
    <w:p w14:paraId="2A804A94" w14:textId="77777777" w:rsidR="00DA449C" w:rsidRPr="00DA449C" w:rsidRDefault="00DA449C" w:rsidP="00DA449C">
      <w:pPr>
        <w:widowControl/>
        <w:numPr>
          <w:ilvl w:val="0"/>
          <w:numId w:val="17"/>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t>In zeer bijzondere gevallen, op zeer zwaarwegende gronden ontleend aan het algemeen belang, kan de Minister, in overeenstemming met het gevoelen van de Raad van Ministers, gehoord de Raad van Advies, afwijken van het overeenstemmingsvereiste, genoemd in het tweede lid, en het inschakelen van de Advies- en arbitragecommissie, genoemd in het vijfde lid van dit artikel juncto paragraaf 4, met dien verstande dat het bepaalde in de artikelen 13 en 14 wel van toepassing blijft. De invoering of wijziging van de regeling, bedoeld in het tweede lid, dient alsdan te geschieden bij landsverordening.</w:t>
      </w:r>
    </w:p>
    <w:p w14:paraId="16B9D407" w14:textId="77777777" w:rsidR="00DA449C" w:rsidRPr="00DA449C" w:rsidRDefault="00DA449C" w:rsidP="00DA449C">
      <w:pPr>
        <w:tabs>
          <w:tab w:val="left" w:pos="397"/>
          <w:tab w:val="left" w:pos="794"/>
          <w:tab w:val="left" w:pos="1191"/>
        </w:tabs>
        <w:jc w:val="center"/>
        <w:rPr>
          <w:rFonts w:ascii="Palatino Linotype" w:hAnsi="Palatino Linotype"/>
          <w:bCs/>
          <w:sz w:val="22"/>
          <w:szCs w:val="22"/>
          <w:lang w:val="nl-NL"/>
        </w:rPr>
      </w:pPr>
    </w:p>
    <w:p w14:paraId="7207D639" w14:textId="77777777" w:rsidR="00DA449C" w:rsidRPr="00DA449C" w:rsidRDefault="00DA449C" w:rsidP="00DA449C">
      <w:pPr>
        <w:tabs>
          <w:tab w:val="left" w:pos="397"/>
          <w:tab w:val="left" w:pos="794"/>
          <w:tab w:val="left" w:pos="1191"/>
        </w:tabs>
        <w:jc w:val="center"/>
        <w:rPr>
          <w:rFonts w:ascii="Palatino Linotype" w:hAnsi="Palatino Linotype"/>
          <w:bCs/>
          <w:sz w:val="22"/>
          <w:szCs w:val="22"/>
          <w:lang w:val="nl-NL"/>
        </w:rPr>
      </w:pPr>
      <w:r w:rsidRPr="00DA449C">
        <w:rPr>
          <w:rFonts w:ascii="Palatino Linotype" w:hAnsi="Palatino Linotype"/>
          <w:bCs/>
          <w:sz w:val="22"/>
          <w:szCs w:val="22"/>
          <w:lang w:val="nl-NL"/>
        </w:rPr>
        <w:t>§ 4 Advies en arbitrage inzake geschillen</w:t>
      </w:r>
    </w:p>
    <w:p w14:paraId="31B24610" w14:textId="77777777" w:rsidR="00DA449C" w:rsidRPr="00DA449C" w:rsidRDefault="00DA449C" w:rsidP="00DA449C">
      <w:pPr>
        <w:tabs>
          <w:tab w:val="left" w:pos="397"/>
          <w:tab w:val="left" w:pos="794"/>
          <w:tab w:val="left" w:pos="1191"/>
        </w:tabs>
        <w:jc w:val="center"/>
        <w:rPr>
          <w:rFonts w:ascii="Palatino Linotype" w:hAnsi="Palatino Linotype"/>
          <w:sz w:val="22"/>
          <w:szCs w:val="22"/>
          <w:lang w:val="nl-NL"/>
        </w:rPr>
      </w:pPr>
    </w:p>
    <w:p w14:paraId="1F36A94F" w14:textId="77777777" w:rsidR="00DA449C" w:rsidRPr="00DA449C" w:rsidRDefault="00DA449C" w:rsidP="00DA449C">
      <w:pPr>
        <w:tabs>
          <w:tab w:val="left" w:pos="397"/>
          <w:tab w:val="left" w:pos="794"/>
          <w:tab w:val="left" w:pos="1191"/>
        </w:tabs>
        <w:jc w:val="center"/>
        <w:rPr>
          <w:rFonts w:ascii="Palatino Linotype" w:hAnsi="Palatino Linotype"/>
          <w:bCs/>
          <w:sz w:val="22"/>
          <w:szCs w:val="22"/>
          <w:lang w:val="nl-NL"/>
        </w:rPr>
      </w:pPr>
      <w:r w:rsidRPr="00DA449C">
        <w:rPr>
          <w:rFonts w:ascii="Palatino Linotype" w:hAnsi="Palatino Linotype"/>
          <w:bCs/>
          <w:sz w:val="22"/>
          <w:szCs w:val="22"/>
          <w:lang w:val="nl-NL"/>
        </w:rPr>
        <w:t>Artikel 11</w:t>
      </w:r>
    </w:p>
    <w:p w14:paraId="0F09F8D8" w14:textId="77777777" w:rsidR="00DA449C" w:rsidRPr="00DA449C" w:rsidRDefault="00DA449C" w:rsidP="00DA449C">
      <w:pPr>
        <w:tabs>
          <w:tab w:val="left" w:pos="397"/>
          <w:tab w:val="left" w:pos="794"/>
          <w:tab w:val="left" w:pos="1191"/>
        </w:tabs>
        <w:jc w:val="center"/>
        <w:rPr>
          <w:rFonts w:ascii="Palatino Linotype" w:hAnsi="Palatino Linotype"/>
          <w:bCs/>
          <w:sz w:val="22"/>
          <w:szCs w:val="22"/>
          <w:lang w:val="nl-NL"/>
        </w:rPr>
      </w:pPr>
    </w:p>
    <w:p w14:paraId="0C9C3257" w14:textId="77777777" w:rsidR="00DA449C" w:rsidRPr="00DA449C" w:rsidRDefault="00DA449C" w:rsidP="00DA449C">
      <w:pPr>
        <w:widowControl/>
        <w:numPr>
          <w:ilvl w:val="0"/>
          <w:numId w:val="18"/>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t>Er is een Advies- en arbitragecommissie, die tot taak heeft te adviseren dan wel een bindende uitspraak te doen inzake de geschillen tussen partijen die haar ingevolge deze paragraaf worden voorgelegd.</w:t>
      </w:r>
    </w:p>
    <w:p w14:paraId="5F43EC1A" w14:textId="77777777" w:rsidR="00DA449C" w:rsidRPr="00DA449C" w:rsidRDefault="00DA449C" w:rsidP="00DA449C">
      <w:pPr>
        <w:widowControl/>
        <w:numPr>
          <w:ilvl w:val="0"/>
          <w:numId w:val="18"/>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t>De Advies- en arbitragecommissie is gevestigd te Curaçao. Zij bestaat uit vijf leden, onder wie de voorzitter, en vijf plaatsvervangende leden. Zij worden bij landsbesluit benoemd voor een tijdvak van zes jaar.</w:t>
      </w:r>
    </w:p>
    <w:p w14:paraId="4BC579A3" w14:textId="77777777" w:rsidR="00DA449C" w:rsidRPr="00DA449C" w:rsidRDefault="00DA449C" w:rsidP="00DA449C">
      <w:pPr>
        <w:widowControl/>
        <w:numPr>
          <w:ilvl w:val="0"/>
          <w:numId w:val="18"/>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t>De voorzitter en diens plaatsvervanger worden op gezamenlijke voordracht van partijen bij landsbesluit benoemd. Van de andere vier leden en hun plaatsvervangers worden bij landsbesluit benoemd:</w:t>
      </w:r>
    </w:p>
    <w:p w14:paraId="71D83409" w14:textId="77777777" w:rsidR="00DA449C" w:rsidRPr="00DA449C" w:rsidRDefault="00DA449C" w:rsidP="00DA449C">
      <w:pPr>
        <w:widowControl/>
        <w:numPr>
          <w:ilvl w:val="1"/>
          <w:numId w:val="18"/>
        </w:numPr>
        <w:tabs>
          <w:tab w:val="left" w:pos="397"/>
          <w:tab w:val="left" w:pos="794"/>
          <w:tab w:val="left" w:pos="1191"/>
        </w:tabs>
        <w:ind w:left="1191" w:hanging="794"/>
        <w:jc w:val="both"/>
        <w:rPr>
          <w:rFonts w:ascii="Palatino Linotype" w:hAnsi="Palatino Linotype"/>
          <w:sz w:val="22"/>
          <w:szCs w:val="22"/>
          <w:lang w:val="nl-NL"/>
        </w:rPr>
      </w:pPr>
      <w:r w:rsidRPr="00DA449C">
        <w:rPr>
          <w:rFonts w:ascii="Palatino Linotype" w:hAnsi="Palatino Linotype"/>
          <w:sz w:val="22"/>
          <w:szCs w:val="22"/>
          <w:lang w:val="nl-NL"/>
        </w:rPr>
        <w:t>twee leden en hun plaatsvervangers op voordracht van de Minister, en</w:t>
      </w:r>
    </w:p>
    <w:p w14:paraId="0E512499" w14:textId="77777777" w:rsidR="00DA449C" w:rsidRPr="00DA449C" w:rsidRDefault="00DA449C" w:rsidP="00DA449C">
      <w:pPr>
        <w:widowControl/>
        <w:numPr>
          <w:ilvl w:val="1"/>
          <w:numId w:val="18"/>
        </w:numPr>
        <w:tabs>
          <w:tab w:val="left" w:pos="397"/>
          <w:tab w:val="left" w:pos="794"/>
        </w:tabs>
        <w:ind w:left="794" w:hanging="397"/>
        <w:jc w:val="both"/>
        <w:rPr>
          <w:rFonts w:ascii="Palatino Linotype" w:hAnsi="Palatino Linotype"/>
          <w:sz w:val="22"/>
          <w:szCs w:val="22"/>
          <w:lang w:val="nl-NL"/>
        </w:rPr>
      </w:pPr>
      <w:r w:rsidRPr="00DA449C">
        <w:rPr>
          <w:rFonts w:ascii="Palatino Linotype" w:hAnsi="Palatino Linotype"/>
          <w:sz w:val="22"/>
          <w:szCs w:val="22"/>
          <w:lang w:val="nl-NL"/>
        </w:rPr>
        <w:t>twee leden en hun plaatsvervangers op voordracht van de tot de Centrale Commissie toegelaten organisaties.</w:t>
      </w:r>
    </w:p>
    <w:p w14:paraId="59F5C7A4" w14:textId="77777777" w:rsidR="00DA449C" w:rsidRPr="00DA449C" w:rsidRDefault="00DA449C" w:rsidP="00DA449C">
      <w:pPr>
        <w:widowControl/>
        <w:numPr>
          <w:ilvl w:val="0"/>
          <w:numId w:val="18"/>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t>Uitgesloten van het lidmaatschap en plaatsvervangend lidmaatschap van de Advies- en arbitragecommissie zijn:</w:t>
      </w:r>
    </w:p>
    <w:p w14:paraId="44F8B20C" w14:textId="77777777" w:rsidR="00DA449C" w:rsidRPr="00DA449C" w:rsidRDefault="00DA449C" w:rsidP="00DA449C">
      <w:pPr>
        <w:widowControl/>
        <w:numPr>
          <w:ilvl w:val="1"/>
          <w:numId w:val="18"/>
        </w:numPr>
        <w:tabs>
          <w:tab w:val="left" w:pos="397"/>
          <w:tab w:val="left" w:pos="794"/>
        </w:tabs>
        <w:ind w:left="794" w:hanging="397"/>
        <w:jc w:val="both"/>
        <w:rPr>
          <w:rFonts w:ascii="Palatino Linotype" w:hAnsi="Palatino Linotype"/>
          <w:sz w:val="22"/>
          <w:szCs w:val="22"/>
          <w:lang w:val="nl-NL"/>
        </w:rPr>
      </w:pPr>
      <w:r w:rsidRPr="00DA449C">
        <w:rPr>
          <w:rFonts w:ascii="Palatino Linotype" w:hAnsi="Palatino Linotype"/>
          <w:sz w:val="22"/>
          <w:szCs w:val="22"/>
          <w:lang w:val="nl-NL"/>
        </w:rPr>
        <w:lastRenderedPageBreak/>
        <w:t>personen, die lid dan wel plaatsvervangend lid of bestuurslid dan wel plaatsvervangend bestuurslid zijn van een tot de Centrale Commissie toegelaten organisatie;</w:t>
      </w:r>
    </w:p>
    <w:p w14:paraId="13D35D8A" w14:textId="77777777" w:rsidR="00DA449C" w:rsidRPr="00DA449C" w:rsidRDefault="00DA449C" w:rsidP="00DA449C">
      <w:pPr>
        <w:widowControl/>
        <w:numPr>
          <w:ilvl w:val="1"/>
          <w:numId w:val="18"/>
        </w:numPr>
        <w:tabs>
          <w:tab w:val="left" w:pos="397"/>
          <w:tab w:val="left" w:pos="794"/>
        </w:tabs>
        <w:ind w:left="794" w:hanging="397"/>
        <w:jc w:val="both"/>
        <w:rPr>
          <w:rFonts w:ascii="Palatino Linotype" w:hAnsi="Palatino Linotype"/>
          <w:sz w:val="22"/>
          <w:szCs w:val="22"/>
          <w:lang w:val="nl-NL"/>
        </w:rPr>
      </w:pPr>
      <w:r w:rsidRPr="00DA449C">
        <w:rPr>
          <w:rFonts w:ascii="Palatino Linotype" w:hAnsi="Palatino Linotype"/>
          <w:sz w:val="22"/>
          <w:szCs w:val="22"/>
          <w:lang w:val="nl-NL"/>
        </w:rPr>
        <w:t>leden en buitengewone leden van de Raad van Advies;</w:t>
      </w:r>
    </w:p>
    <w:p w14:paraId="2EB82F2E" w14:textId="77777777" w:rsidR="00DA449C" w:rsidRPr="00DA449C" w:rsidRDefault="00DA449C" w:rsidP="00DA449C">
      <w:pPr>
        <w:widowControl/>
        <w:numPr>
          <w:ilvl w:val="1"/>
          <w:numId w:val="18"/>
        </w:numPr>
        <w:tabs>
          <w:tab w:val="left" w:pos="397"/>
          <w:tab w:val="left" w:pos="794"/>
        </w:tabs>
        <w:ind w:left="794" w:hanging="397"/>
        <w:jc w:val="both"/>
        <w:rPr>
          <w:rFonts w:ascii="Palatino Linotype" w:hAnsi="Palatino Linotype"/>
          <w:sz w:val="22"/>
          <w:szCs w:val="22"/>
          <w:lang w:val="nl-NL"/>
        </w:rPr>
      </w:pPr>
      <w:r w:rsidRPr="00DA449C">
        <w:rPr>
          <w:rFonts w:ascii="Palatino Linotype" w:hAnsi="Palatino Linotype"/>
          <w:sz w:val="22"/>
          <w:szCs w:val="22"/>
          <w:lang w:val="nl-NL"/>
        </w:rPr>
        <w:t>personen, in dienst van een organisatie;</w:t>
      </w:r>
    </w:p>
    <w:p w14:paraId="6AF6CC74" w14:textId="77777777" w:rsidR="00DA449C" w:rsidRPr="00DA449C" w:rsidRDefault="00DA449C" w:rsidP="00DA449C">
      <w:pPr>
        <w:widowControl/>
        <w:numPr>
          <w:ilvl w:val="1"/>
          <w:numId w:val="18"/>
        </w:numPr>
        <w:tabs>
          <w:tab w:val="left" w:pos="397"/>
          <w:tab w:val="left" w:pos="794"/>
        </w:tabs>
        <w:ind w:left="794" w:hanging="397"/>
        <w:jc w:val="both"/>
        <w:rPr>
          <w:rFonts w:ascii="Palatino Linotype" w:hAnsi="Palatino Linotype"/>
          <w:sz w:val="22"/>
          <w:szCs w:val="22"/>
          <w:lang w:val="nl-NL"/>
        </w:rPr>
      </w:pPr>
      <w:r w:rsidRPr="00DA449C">
        <w:rPr>
          <w:rFonts w:ascii="Palatino Linotype" w:hAnsi="Palatino Linotype"/>
          <w:sz w:val="22"/>
          <w:szCs w:val="22"/>
          <w:lang w:val="nl-NL"/>
        </w:rPr>
        <w:t>personen, wier onafhankelijkheid of onpartijdigheid op grond van een ander dan een in het onderdeel c bedoeld dienstverband door de partijen onvoldoende wordt geacht;</w:t>
      </w:r>
    </w:p>
    <w:p w14:paraId="190E68B1" w14:textId="77777777" w:rsidR="00DA449C" w:rsidRPr="00DA449C" w:rsidRDefault="00DA449C" w:rsidP="00DA449C">
      <w:pPr>
        <w:widowControl/>
        <w:numPr>
          <w:ilvl w:val="1"/>
          <w:numId w:val="18"/>
        </w:numPr>
        <w:tabs>
          <w:tab w:val="left" w:pos="397"/>
          <w:tab w:val="left" w:pos="794"/>
        </w:tabs>
        <w:ind w:left="794" w:hanging="397"/>
        <w:jc w:val="both"/>
        <w:rPr>
          <w:rFonts w:ascii="Palatino Linotype" w:hAnsi="Palatino Linotype"/>
          <w:sz w:val="22"/>
          <w:szCs w:val="22"/>
          <w:lang w:val="nl-NL"/>
        </w:rPr>
      </w:pPr>
      <w:r w:rsidRPr="00DA449C">
        <w:rPr>
          <w:rFonts w:ascii="Palatino Linotype" w:hAnsi="Palatino Linotype"/>
          <w:sz w:val="22"/>
          <w:szCs w:val="22"/>
          <w:lang w:val="nl-NL"/>
        </w:rPr>
        <w:t>personen, gedurende de periode van twee jaar na beëindiging van het lidmaatschap of bestuurslidmaatschap, bedoeld in de onderdelen a en b, of van het dienstverband, bedoeld in de onderdelen c en d.</w:t>
      </w:r>
    </w:p>
    <w:p w14:paraId="58D30D2A" w14:textId="77777777" w:rsidR="00DA449C" w:rsidRPr="00DA449C" w:rsidRDefault="00DA449C" w:rsidP="00DA449C">
      <w:pPr>
        <w:tabs>
          <w:tab w:val="left" w:pos="397"/>
          <w:tab w:val="left" w:pos="794"/>
          <w:tab w:val="left" w:pos="1191"/>
        </w:tabs>
        <w:jc w:val="both"/>
        <w:rPr>
          <w:rFonts w:ascii="Palatino Linotype" w:hAnsi="Palatino Linotype"/>
          <w:bCs/>
          <w:sz w:val="22"/>
          <w:szCs w:val="22"/>
          <w:lang w:val="nl-NL"/>
        </w:rPr>
      </w:pPr>
    </w:p>
    <w:p w14:paraId="33ACED4F" w14:textId="77777777" w:rsidR="00DA449C" w:rsidRPr="00DA449C" w:rsidRDefault="00DA449C" w:rsidP="00DA449C">
      <w:pPr>
        <w:tabs>
          <w:tab w:val="left" w:pos="397"/>
          <w:tab w:val="left" w:pos="794"/>
          <w:tab w:val="left" w:pos="1191"/>
        </w:tabs>
        <w:jc w:val="center"/>
        <w:rPr>
          <w:rFonts w:ascii="Palatino Linotype" w:hAnsi="Palatino Linotype"/>
          <w:bCs/>
          <w:sz w:val="22"/>
          <w:szCs w:val="22"/>
          <w:lang w:val="nl-NL"/>
        </w:rPr>
      </w:pPr>
      <w:r w:rsidRPr="00DA449C">
        <w:rPr>
          <w:rFonts w:ascii="Palatino Linotype" w:hAnsi="Palatino Linotype"/>
          <w:bCs/>
          <w:sz w:val="22"/>
          <w:szCs w:val="22"/>
          <w:lang w:val="nl-NL"/>
        </w:rPr>
        <w:t>Artikel 12</w:t>
      </w:r>
    </w:p>
    <w:p w14:paraId="0C18BC81" w14:textId="77777777" w:rsidR="00DA449C" w:rsidRPr="00DA449C" w:rsidRDefault="00DA449C" w:rsidP="00DA449C">
      <w:pPr>
        <w:tabs>
          <w:tab w:val="left" w:pos="397"/>
          <w:tab w:val="left" w:pos="794"/>
          <w:tab w:val="left" w:pos="1191"/>
        </w:tabs>
        <w:jc w:val="center"/>
        <w:rPr>
          <w:rFonts w:ascii="Palatino Linotype" w:hAnsi="Palatino Linotype"/>
          <w:bCs/>
          <w:sz w:val="22"/>
          <w:szCs w:val="22"/>
          <w:lang w:val="nl-NL"/>
        </w:rPr>
      </w:pPr>
    </w:p>
    <w:p w14:paraId="2C045B4F" w14:textId="77777777" w:rsidR="00DA449C" w:rsidRPr="00DA449C" w:rsidRDefault="00DA449C" w:rsidP="00DA449C">
      <w:pPr>
        <w:widowControl/>
        <w:numPr>
          <w:ilvl w:val="2"/>
          <w:numId w:val="18"/>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t>De Advies- en arbitragecommissie treedt in geval van advisering op in een samenstelling van drie leden, onder wie de voorzitter, één van de twee leden, bedoeld in artikel 11, derde lid, onderdeel a, en één van de twee leden, bedoeld artikel 11, derde lid, onderdeel b.</w:t>
      </w:r>
    </w:p>
    <w:p w14:paraId="3E2FB340" w14:textId="77777777" w:rsidR="00DA449C" w:rsidRPr="00DA449C" w:rsidRDefault="00DA449C" w:rsidP="00DA449C">
      <w:pPr>
        <w:widowControl/>
        <w:numPr>
          <w:ilvl w:val="2"/>
          <w:numId w:val="18"/>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t>In geval van arbitrage treden alle leden van de Advies- en arbitragecommissie, onder wie ook de voorzitter, gezamenlijk op, met dien verstande dat indien de Advies- en arbitragecommissie in de zaak reeds een advies heeft uitgebracht een daarbij betrokken lid, anders dan de voorzitter, wordt vervangen door diens plaatsvervanger.</w:t>
      </w:r>
    </w:p>
    <w:p w14:paraId="46FC7804" w14:textId="77777777" w:rsidR="00DA449C" w:rsidRPr="00DA449C" w:rsidRDefault="00DA449C" w:rsidP="00DA449C">
      <w:pPr>
        <w:widowControl/>
        <w:numPr>
          <w:ilvl w:val="2"/>
          <w:numId w:val="18"/>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t>Bij verhindering van één der leden treedt diens plaatsvervanger op.</w:t>
      </w:r>
    </w:p>
    <w:p w14:paraId="5E94FC28" w14:textId="77777777" w:rsidR="00DA449C" w:rsidRPr="00DA449C" w:rsidRDefault="00DA449C" w:rsidP="00DA449C">
      <w:pPr>
        <w:widowControl/>
        <w:numPr>
          <w:ilvl w:val="2"/>
          <w:numId w:val="18"/>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t>De Advies- en arbitragecommissie kan nadere regels stellen met betrekking tot haar werkwijze.</w:t>
      </w:r>
    </w:p>
    <w:p w14:paraId="149A680B" w14:textId="77777777" w:rsidR="00DA449C" w:rsidRPr="00DA449C" w:rsidRDefault="00DA449C" w:rsidP="00DA449C">
      <w:pPr>
        <w:widowControl/>
        <w:numPr>
          <w:ilvl w:val="2"/>
          <w:numId w:val="18"/>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t xml:space="preserve">Het Bureau </w:t>
      </w:r>
      <w:proofErr w:type="spellStart"/>
      <w:r w:rsidRPr="00DA449C">
        <w:rPr>
          <w:rFonts w:ascii="Palatino Linotype" w:hAnsi="Palatino Linotype"/>
          <w:sz w:val="22"/>
          <w:szCs w:val="22"/>
          <w:lang w:val="nl-NL"/>
        </w:rPr>
        <w:t>Secretariaatvoering</w:t>
      </w:r>
      <w:proofErr w:type="spellEnd"/>
      <w:r w:rsidRPr="00DA449C">
        <w:rPr>
          <w:rFonts w:ascii="Palatino Linotype" w:hAnsi="Palatino Linotype"/>
          <w:sz w:val="22"/>
          <w:szCs w:val="22"/>
          <w:lang w:val="nl-NL"/>
        </w:rPr>
        <w:t xml:space="preserve"> SER/ROA/GOA vervult de secretariële functie voor de Advies- en arbitragecommissie, indien deze commissie daartoe de wens te kennen geeft. </w:t>
      </w:r>
    </w:p>
    <w:p w14:paraId="02963BDA" w14:textId="77777777" w:rsidR="00DA449C" w:rsidRPr="00DA449C" w:rsidRDefault="00DA449C" w:rsidP="00DA449C">
      <w:pPr>
        <w:tabs>
          <w:tab w:val="left" w:pos="397"/>
          <w:tab w:val="left" w:pos="794"/>
          <w:tab w:val="left" w:pos="1191"/>
        </w:tabs>
        <w:jc w:val="both"/>
        <w:rPr>
          <w:rFonts w:ascii="Palatino Linotype" w:hAnsi="Palatino Linotype"/>
          <w:sz w:val="22"/>
          <w:szCs w:val="22"/>
          <w:lang w:val="nl-NL"/>
        </w:rPr>
      </w:pPr>
    </w:p>
    <w:p w14:paraId="5882C31B" w14:textId="77777777" w:rsidR="00DA449C" w:rsidRPr="00DA449C" w:rsidRDefault="00DA449C" w:rsidP="00DA449C">
      <w:pPr>
        <w:keepNext/>
        <w:tabs>
          <w:tab w:val="left" w:pos="397"/>
          <w:tab w:val="left" w:pos="794"/>
          <w:tab w:val="left" w:pos="1191"/>
        </w:tabs>
        <w:jc w:val="center"/>
        <w:outlineLvl w:val="2"/>
        <w:rPr>
          <w:rFonts w:ascii="Palatino Linotype" w:hAnsi="Palatino Linotype"/>
          <w:bCs/>
          <w:sz w:val="22"/>
          <w:szCs w:val="22"/>
          <w:lang w:val="nl-NL"/>
        </w:rPr>
      </w:pPr>
      <w:r w:rsidRPr="00DA449C">
        <w:rPr>
          <w:rFonts w:ascii="Palatino Linotype" w:hAnsi="Palatino Linotype"/>
          <w:bCs/>
          <w:sz w:val="22"/>
          <w:szCs w:val="22"/>
          <w:lang w:val="nl-NL"/>
        </w:rPr>
        <w:t>Artikel 13</w:t>
      </w:r>
    </w:p>
    <w:p w14:paraId="2B83C365" w14:textId="77777777" w:rsidR="00DA449C" w:rsidRPr="00DA449C" w:rsidRDefault="00DA449C" w:rsidP="00DA449C">
      <w:pPr>
        <w:rPr>
          <w:rFonts w:ascii="Palatino Linotype" w:hAnsi="Palatino Linotype"/>
          <w:sz w:val="22"/>
          <w:szCs w:val="22"/>
          <w:lang w:val="nl-NL"/>
        </w:rPr>
      </w:pPr>
    </w:p>
    <w:p w14:paraId="78EBC956" w14:textId="77777777" w:rsidR="00DA449C" w:rsidRPr="00DA449C" w:rsidRDefault="00DA449C" w:rsidP="00DA449C">
      <w:pPr>
        <w:tabs>
          <w:tab w:val="left" w:pos="397"/>
          <w:tab w:val="left" w:pos="794"/>
          <w:tab w:val="left" w:pos="1191"/>
        </w:tabs>
        <w:jc w:val="both"/>
        <w:rPr>
          <w:rFonts w:ascii="Palatino Linotype" w:hAnsi="Palatino Linotype"/>
          <w:sz w:val="22"/>
          <w:szCs w:val="22"/>
          <w:lang w:val="nl-NL"/>
        </w:rPr>
      </w:pPr>
      <w:r w:rsidRPr="00DA449C">
        <w:rPr>
          <w:rFonts w:ascii="Palatino Linotype" w:hAnsi="Palatino Linotype"/>
          <w:sz w:val="22"/>
          <w:szCs w:val="22"/>
          <w:lang w:val="nl-NL"/>
        </w:rPr>
        <w:t>Indien een der partijen in het Centraal Georganiseerd Overleg tot het oordeel komt dat het overleg niet tot een uitkomst zal leiden die de instemming van partijen zal hebben, brengt zij dat oordeel binnen tien dagen nadat zij daarvan in het overleg blijk heeft gegeven, schriftelijk ter kennis van de voorzitter.</w:t>
      </w:r>
    </w:p>
    <w:p w14:paraId="0897EBAC" w14:textId="77777777" w:rsidR="00DA449C" w:rsidRPr="00DA449C" w:rsidRDefault="00DA449C" w:rsidP="00DA449C">
      <w:pPr>
        <w:tabs>
          <w:tab w:val="left" w:pos="397"/>
          <w:tab w:val="left" w:pos="794"/>
          <w:tab w:val="left" w:pos="1191"/>
        </w:tabs>
        <w:jc w:val="both"/>
        <w:rPr>
          <w:rFonts w:ascii="Palatino Linotype" w:hAnsi="Palatino Linotype"/>
          <w:bCs/>
          <w:sz w:val="22"/>
          <w:szCs w:val="22"/>
          <w:lang w:val="nl-NL"/>
        </w:rPr>
      </w:pPr>
    </w:p>
    <w:p w14:paraId="4738C9AD" w14:textId="77777777" w:rsidR="00DA449C" w:rsidRPr="00DA449C" w:rsidRDefault="00DA449C" w:rsidP="00DA449C">
      <w:pPr>
        <w:tabs>
          <w:tab w:val="left" w:pos="397"/>
          <w:tab w:val="left" w:pos="794"/>
          <w:tab w:val="left" w:pos="1191"/>
        </w:tabs>
        <w:jc w:val="center"/>
        <w:rPr>
          <w:rFonts w:ascii="Palatino Linotype" w:hAnsi="Palatino Linotype"/>
          <w:bCs/>
          <w:sz w:val="22"/>
          <w:szCs w:val="22"/>
          <w:lang w:val="nl-NL"/>
        </w:rPr>
      </w:pPr>
      <w:r w:rsidRPr="00DA449C">
        <w:rPr>
          <w:rFonts w:ascii="Palatino Linotype" w:hAnsi="Palatino Linotype"/>
          <w:bCs/>
          <w:sz w:val="22"/>
          <w:szCs w:val="22"/>
          <w:lang w:val="nl-NL"/>
        </w:rPr>
        <w:t>Artikel 14</w:t>
      </w:r>
    </w:p>
    <w:p w14:paraId="689DC16B" w14:textId="77777777" w:rsidR="00DA449C" w:rsidRPr="00DA449C" w:rsidRDefault="00DA449C" w:rsidP="00DA449C">
      <w:pPr>
        <w:tabs>
          <w:tab w:val="left" w:pos="397"/>
          <w:tab w:val="left" w:pos="794"/>
          <w:tab w:val="left" w:pos="1191"/>
        </w:tabs>
        <w:jc w:val="both"/>
        <w:rPr>
          <w:rFonts w:ascii="Palatino Linotype" w:hAnsi="Palatino Linotype"/>
          <w:bCs/>
          <w:sz w:val="22"/>
          <w:szCs w:val="22"/>
          <w:lang w:val="nl-NL"/>
        </w:rPr>
      </w:pPr>
    </w:p>
    <w:p w14:paraId="07122255" w14:textId="77777777" w:rsidR="00DA449C" w:rsidRPr="00DA449C" w:rsidRDefault="00DA449C" w:rsidP="00DA449C">
      <w:pPr>
        <w:widowControl/>
        <w:numPr>
          <w:ilvl w:val="0"/>
          <w:numId w:val="19"/>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t>Binnen tien dagen na de kennisgeving, bedoeld in artikel 13, schrijft de voorzitter een vergadering uit. De vergadering wordt gehouden binnen tien dagen nadat deze is uitgeschreven.</w:t>
      </w:r>
    </w:p>
    <w:p w14:paraId="5DBBBF0A" w14:textId="77777777" w:rsidR="00DA449C" w:rsidRPr="00DA449C" w:rsidRDefault="00DA449C" w:rsidP="00DA449C">
      <w:pPr>
        <w:widowControl/>
        <w:numPr>
          <w:ilvl w:val="0"/>
          <w:numId w:val="19"/>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t>Tenzij door partijen wordt besloten het overleg voort te zetten dan wel te beëindigen, wordt in de vergadering nagegaan of overeenstemming bestaat over de vraag wat het onderwerp en de inhoud van het geschil is en of een oplossing van dat geschil zal worden gezocht door middel van voortzetting van het overleg nadat het advies is ingewonnen van de Advies- en arbitragecommissie, dan wel door middel van onderwerping van het geschil aan een arbitrale uitspraak van de Advies- en arbitragecommissie.</w:t>
      </w:r>
    </w:p>
    <w:p w14:paraId="069CCA43" w14:textId="77777777" w:rsidR="00DA449C" w:rsidRPr="00DA449C" w:rsidRDefault="00DA449C" w:rsidP="00DA449C">
      <w:pPr>
        <w:tabs>
          <w:tab w:val="left" w:pos="397"/>
          <w:tab w:val="left" w:pos="794"/>
          <w:tab w:val="left" w:pos="1191"/>
        </w:tabs>
        <w:jc w:val="both"/>
        <w:rPr>
          <w:rFonts w:ascii="Palatino Linotype" w:hAnsi="Palatino Linotype"/>
          <w:bCs/>
          <w:sz w:val="22"/>
          <w:szCs w:val="22"/>
          <w:lang w:val="nl-NL"/>
        </w:rPr>
      </w:pPr>
    </w:p>
    <w:p w14:paraId="5DEF9B68" w14:textId="77777777" w:rsidR="00DA449C" w:rsidRDefault="00DA449C" w:rsidP="00DA449C">
      <w:pPr>
        <w:tabs>
          <w:tab w:val="left" w:pos="397"/>
          <w:tab w:val="left" w:pos="794"/>
          <w:tab w:val="left" w:pos="1191"/>
        </w:tabs>
        <w:jc w:val="center"/>
        <w:rPr>
          <w:rFonts w:ascii="Palatino Linotype" w:hAnsi="Palatino Linotype"/>
          <w:bCs/>
          <w:sz w:val="22"/>
          <w:szCs w:val="22"/>
          <w:lang w:val="nl-NL"/>
        </w:rPr>
      </w:pPr>
    </w:p>
    <w:p w14:paraId="7990DF46" w14:textId="77777777" w:rsidR="00DA449C" w:rsidRDefault="00DA449C" w:rsidP="00DA449C">
      <w:pPr>
        <w:tabs>
          <w:tab w:val="left" w:pos="397"/>
          <w:tab w:val="left" w:pos="794"/>
          <w:tab w:val="left" w:pos="1191"/>
        </w:tabs>
        <w:jc w:val="center"/>
        <w:rPr>
          <w:rFonts w:ascii="Palatino Linotype" w:hAnsi="Palatino Linotype"/>
          <w:bCs/>
          <w:sz w:val="22"/>
          <w:szCs w:val="22"/>
          <w:lang w:val="nl-NL"/>
        </w:rPr>
      </w:pPr>
    </w:p>
    <w:p w14:paraId="480827D5" w14:textId="4C29C5AA" w:rsidR="00DA449C" w:rsidRPr="00DA449C" w:rsidRDefault="00DA449C" w:rsidP="00DA449C">
      <w:pPr>
        <w:tabs>
          <w:tab w:val="left" w:pos="397"/>
          <w:tab w:val="left" w:pos="794"/>
          <w:tab w:val="left" w:pos="1191"/>
        </w:tabs>
        <w:jc w:val="center"/>
        <w:rPr>
          <w:rFonts w:ascii="Palatino Linotype" w:hAnsi="Palatino Linotype"/>
          <w:bCs/>
          <w:sz w:val="22"/>
          <w:szCs w:val="22"/>
          <w:lang w:val="nl-NL"/>
        </w:rPr>
      </w:pPr>
      <w:r w:rsidRPr="00DA449C">
        <w:rPr>
          <w:rFonts w:ascii="Palatino Linotype" w:hAnsi="Palatino Linotype"/>
          <w:bCs/>
          <w:sz w:val="22"/>
          <w:szCs w:val="22"/>
          <w:lang w:val="nl-NL"/>
        </w:rPr>
        <w:lastRenderedPageBreak/>
        <w:t>Artikel 15</w:t>
      </w:r>
    </w:p>
    <w:p w14:paraId="7BECF8C2" w14:textId="77777777" w:rsidR="00DA449C" w:rsidRPr="00DA449C" w:rsidRDefault="00DA449C" w:rsidP="00DA449C">
      <w:pPr>
        <w:tabs>
          <w:tab w:val="left" w:pos="397"/>
          <w:tab w:val="left" w:pos="794"/>
          <w:tab w:val="left" w:pos="1191"/>
        </w:tabs>
        <w:jc w:val="center"/>
        <w:rPr>
          <w:rFonts w:ascii="Palatino Linotype" w:hAnsi="Palatino Linotype"/>
          <w:bCs/>
          <w:sz w:val="22"/>
          <w:szCs w:val="22"/>
          <w:lang w:val="nl-NL"/>
        </w:rPr>
      </w:pPr>
    </w:p>
    <w:p w14:paraId="4D101746" w14:textId="77777777" w:rsidR="00DA449C" w:rsidRPr="00DA449C" w:rsidRDefault="00DA449C" w:rsidP="00DA449C">
      <w:pPr>
        <w:widowControl/>
        <w:numPr>
          <w:ilvl w:val="0"/>
          <w:numId w:val="20"/>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t>Binnen tien dagen na de vergadering, bedoeld in artikel 14, eerste lid, wordt een verzoek om advies ter kennis gebracht van de voorzitter van de Advies- en arbitragecommissie. Het verzoek wordt ondertekend door de partij die zich voor het inwinnen van advies heeft uitgesproken en bevat tenminste het onderwerp en de inhoud van het geschil.</w:t>
      </w:r>
    </w:p>
    <w:p w14:paraId="7D59A860" w14:textId="77777777" w:rsidR="00DA449C" w:rsidRPr="00DA449C" w:rsidRDefault="00DA449C" w:rsidP="00DA449C">
      <w:pPr>
        <w:widowControl/>
        <w:numPr>
          <w:ilvl w:val="0"/>
          <w:numId w:val="20"/>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t>Indien in de vergadering geen overeenstemming is bereikt tussen partijen over de vraag wat het onderwerp en de inhoud van het geschil is, brengen partijen hun visie op het onderwerp en de inhoud van het geschil binnen tien dagen na voornoemde vergadering ter kennis van de voorzitter van de Advies- en arbitragecommissie.</w:t>
      </w:r>
    </w:p>
    <w:p w14:paraId="739D63CE" w14:textId="77777777" w:rsidR="00DA449C" w:rsidRPr="00DA449C" w:rsidRDefault="00DA449C" w:rsidP="00DA449C">
      <w:pPr>
        <w:tabs>
          <w:tab w:val="left" w:pos="397"/>
          <w:tab w:val="left" w:pos="794"/>
          <w:tab w:val="left" w:pos="1191"/>
        </w:tabs>
        <w:jc w:val="both"/>
        <w:rPr>
          <w:rFonts w:ascii="Palatino Linotype" w:hAnsi="Palatino Linotype"/>
          <w:sz w:val="22"/>
          <w:szCs w:val="22"/>
          <w:lang w:val="nl-NL"/>
        </w:rPr>
      </w:pPr>
    </w:p>
    <w:p w14:paraId="780ADCA1" w14:textId="77777777" w:rsidR="00DA449C" w:rsidRPr="00DA449C" w:rsidRDefault="00DA449C" w:rsidP="00DA449C">
      <w:pPr>
        <w:tabs>
          <w:tab w:val="left" w:pos="397"/>
          <w:tab w:val="left" w:pos="794"/>
          <w:tab w:val="left" w:pos="1191"/>
        </w:tabs>
        <w:jc w:val="center"/>
        <w:rPr>
          <w:rFonts w:ascii="Palatino Linotype" w:hAnsi="Palatino Linotype"/>
          <w:bCs/>
          <w:sz w:val="22"/>
          <w:szCs w:val="22"/>
          <w:lang w:val="nl-NL"/>
        </w:rPr>
      </w:pPr>
      <w:r w:rsidRPr="00DA449C">
        <w:rPr>
          <w:rFonts w:ascii="Palatino Linotype" w:hAnsi="Palatino Linotype"/>
          <w:bCs/>
          <w:sz w:val="22"/>
          <w:szCs w:val="22"/>
          <w:lang w:val="nl-NL"/>
        </w:rPr>
        <w:t>Artikel 16</w:t>
      </w:r>
    </w:p>
    <w:p w14:paraId="53BF03FF" w14:textId="77777777" w:rsidR="00DA449C" w:rsidRPr="00DA449C" w:rsidRDefault="00DA449C" w:rsidP="00DA449C">
      <w:pPr>
        <w:tabs>
          <w:tab w:val="left" w:pos="397"/>
          <w:tab w:val="left" w:pos="794"/>
          <w:tab w:val="left" w:pos="1191"/>
        </w:tabs>
        <w:jc w:val="center"/>
        <w:rPr>
          <w:rFonts w:ascii="Palatino Linotype" w:hAnsi="Palatino Linotype"/>
          <w:bCs/>
          <w:sz w:val="22"/>
          <w:szCs w:val="22"/>
          <w:lang w:val="nl-NL"/>
        </w:rPr>
      </w:pPr>
    </w:p>
    <w:p w14:paraId="6209430C" w14:textId="77777777" w:rsidR="00DA449C" w:rsidRPr="00DA449C" w:rsidRDefault="00DA449C" w:rsidP="00DA449C">
      <w:pPr>
        <w:widowControl/>
        <w:numPr>
          <w:ilvl w:val="0"/>
          <w:numId w:val="21"/>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t>Voor onderwerping van een geschil aan arbitrage door de Advies- en arbitragecommissie is overeenstemming tussen partijen vereist.</w:t>
      </w:r>
    </w:p>
    <w:p w14:paraId="185E1567" w14:textId="77777777" w:rsidR="00DA449C" w:rsidRPr="00DA449C" w:rsidRDefault="00DA449C" w:rsidP="00DA449C">
      <w:pPr>
        <w:widowControl/>
        <w:numPr>
          <w:ilvl w:val="0"/>
          <w:numId w:val="21"/>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t>Indien de overeenstemming, bedoeld in het eerste lid, is bereikt wordt binnen tien dagen na de vergadering waarin overeenstemming is bereikt een verzoek om arbitrage ter kennis gebracht van de Advies- en arbitragecommissie. Het verzoek wordt ondertekend door beide partijen. Het verzoek bevat:</w:t>
      </w:r>
    </w:p>
    <w:p w14:paraId="6C67D56D" w14:textId="77777777" w:rsidR="00DA449C" w:rsidRPr="00DA449C" w:rsidRDefault="00DA449C" w:rsidP="00DA449C">
      <w:pPr>
        <w:widowControl/>
        <w:numPr>
          <w:ilvl w:val="1"/>
          <w:numId w:val="21"/>
        </w:numPr>
        <w:tabs>
          <w:tab w:val="left" w:pos="397"/>
          <w:tab w:val="left" w:pos="794"/>
          <w:tab w:val="left" w:pos="1191"/>
        </w:tabs>
        <w:ind w:left="794" w:hanging="397"/>
        <w:jc w:val="both"/>
        <w:rPr>
          <w:rFonts w:ascii="Palatino Linotype" w:hAnsi="Palatino Linotype"/>
          <w:sz w:val="22"/>
          <w:szCs w:val="22"/>
          <w:lang w:val="nl-NL"/>
        </w:rPr>
      </w:pPr>
      <w:r w:rsidRPr="00DA449C">
        <w:rPr>
          <w:rFonts w:ascii="Palatino Linotype" w:hAnsi="Palatino Linotype"/>
          <w:sz w:val="22"/>
          <w:szCs w:val="22"/>
          <w:lang w:val="nl-NL"/>
        </w:rPr>
        <w:t>het onderwerp en de inhoud van het geschil;</w:t>
      </w:r>
    </w:p>
    <w:p w14:paraId="66739B99" w14:textId="77777777" w:rsidR="00DA449C" w:rsidRPr="00DA449C" w:rsidRDefault="00DA449C" w:rsidP="00DA449C">
      <w:pPr>
        <w:widowControl/>
        <w:numPr>
          <w:ilvl w:val="1"/>
          <w:numId w:val="21"/>
        </w:numPr>
        <w:tabs>
          <w:tab w:val="left" w:pos="397"/>
          <w:tab w:val="left" w:pos="794"/>
          <w:tab w:val="left" w:pos="1191"/>
        </w:tabs>
        <w:ind w:left="794" w:hanging="397"/>
        <w:jc w:val="both"/>
        <w:rPr>
          <w:rFonts w:ascii="Palatino Linotype" w:hAnsi="Palatino Linotype"/>
          <w:sz w:val="22"/>
          <w:szCs w:val="22"/>
          <w:lang w:val="nl-NL"/>
        </w:rPr>
      </w:pPr>
      <w:r w:rsidRPr="00DA449C">
        <w:rPr>
          <w:rFonts w:ascii="Palatino Linotype" w:hAnsi="Palatino Linotype"/>
          <w:sz w:val="22"/>
          <w:szCs w:val="22"/>
          <w:lang w:val="nl-NL"/>
        </w:rPr>
        <w:t>de standpunten van beide partijen omtrent onderwerp en inhoud van het geschil;</w:t>
      </w:r>
    </w:p>
    <w:p w14:paraId="7C253716" w14:textId="77777777" w:rsidR="00DA449C" w:rsidRPr="00DA449C" w:rsidRDefault="00DA449C" w:rsidP="00DA449C">
      <w:pPr>
        <w:widowControl/>
        <w:numPr>
          <w:ilvl w:val="1"/>
          <w:numId w:val="21"/>
        </w:numPr>
        <w:tabs>
          <w:tab w:val="left" w:pos="397"/>
          <w:tab w:val="left" w:pos="794"/>
          <w:tab w:val="left" w:pos="1191"/>
        </w:tabs>
        <w:ind w:left="794" w:hanging="397"/>
        <w:jc w:val="both"/>
        <w:rPr>
          <w:rFonts w:ascii="Palatino Linotype" w:hAnsi="Palatino Linotype"/>
          <w:sz w:val="22"/>
          <w:szCs w:val="22"/>
          <w:lang w:val="nl-NL"/>
        </w:rPr>
      </w:pPr>
      <w:r w:rsidRPr="00DA449C">
        <w:rPr>
          <w:rFonts w:ascii="Palatino Linotype" w:hAnsi="Palatino Linotype"/>
          <w:sz w:val="22"/>
          <w:szCs w:val="22"/>
          <w:lang w:val="nl-NL"/>
        </w:rPr>
        <w:t>de op het geschil betrekking hebbende documenten</w:t>
      </w:r>
    </w:p>
    <w:p w14:paraId="3ABF4685" w14:textId="77777777" w:rsidR="00DA449C" w:rsidRPr="00DA449C" w:rsidRDefault="00DA449C" w:rsidP="00DA449C">
      <w:pPr>
        <w:tabs>
          <w:tab w:val="left" w:pos="397"/>
          <w:tab w:val="left" w:pos="794"/>
          <w:tab w:val="left" w:pos="1191"/>
        </w:tabs>
        <w:jc w:val="both"/>
        <w:rPr>
          <w:rFonts w:ascii="Palatino Linotype" w:hAnsi="Palatino Linotype"/>
          <w:bCs/>
          <w:sz w:val="22"/>
          <w:szCs w:val="22"/>
          <w:lang w:val="nl-NL"/>
        </w:rPr>
      </w:pPr>
    </w:p>
    <w:p w14:paraId="57013C26" w14:textId="77777777" w:rsidR="00DA449C" w:rsidRPr="00DA449C" w:rsidRDefault="00DA449C" w:rsidP="00DA449C">
      <w:pPr>
        <w:tabs>
          <w:tab w:val="left" w:pos="397"/>
          <w:tab w:val="left" w:pos="794"/>
          <w:tab w:val="left" w:pos="1191"/>
        </w:tabs>
        <w:jc w:val="center"/>
        <w:rPr>
          <w:rFonts w:ascii="Palatino Linotype" w:hAnsi="Palatino Linotype"/>
          <w:bCs/>
          <w:sz w:val="22"/>
          <w:szCs w:val="22"/>
          <w:lang w:val="nl-NL"/>
        </w:rPr>
      </w:pPr>
      <w:r w:rsidRPr="00DA449C">
        <w:rPr>
          <w:rFonts w:ascii="Palatino Linotype" w:hAnsi="Palatino Linotype"/>
          <w:bCs/>
          <w:sz w:val="22"/>
          <w:szCs w:val="22"/>
          <w:lang w:val="nl-NL"/>
        </w:rPr>
        <w:t>Artikel 17</w:t>
      </w:r>
    </w:p>
    <w:p w14:paraId="656D63DB" w14:textId="77777777" w:rsidR="00DA449C" w:rsidRPr="00DA449C" w:rsidRDefault="00DA449C" w:rsidP="00DA449C">
      <w:pPr>
        <w:tabs>
          <w:tab w:val="left" w:pos="397"/>
          <w:tab w:val="left" w:pos="794"/>
          <w:tab w:val="left" w:pos="1191"/>
        </w:tabs>
        <w:jc w:val="center"/>
        <w:rPr>
          <w:rFonts w:ascii="Palatino Linotype" w:hAnsi="Palatino Linotype"/>
          <w:bCs/>
          <w:sz w:val="22"/>
          <w:szCs w:val="22"/>
          <w:lang w:val="nl-NL"/>
        </w:rPr>
      </w:pPr>
    </w:p>
    <w:p w14:paraId="309CB189" w14:textId="77777777" w:rsidR="00DA449C" w:rsidRPr="00DA449C" w:rsidRDefault="00DA449C" w:rsidP="00DA449C">
      <w:pPr>
        <w:widowControl/>
        <w:numPr>
          <w:ilvl w:val="2"/>
          <w:numId w:val="21"/>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t>De Advies- en arbitragecommissie besluit bij meerderheid van stemmen.</w:t>
      </w:r>
    </w:p>
    <w:p w14:paraId="06539A9B" w14:textId="77777777" w:rsidR="00DA449C" w:rsidRPr="00DA449C" w:rsidRDefault="00DA449C" w:rsidP="00DA449C">
      <w:pPr>
        <w:widowControl/>
        <w:numPr>
          <w:ilvl w:val="2"/>
          <w:numId w:val="21"/>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t>Het advies of de uitspraak moet inhouden:</w:t>
      </w:r>
    </w:p>
    <w:p w14:paraId="505EEAE0" w14:textId="77777777" w:rsidR="00DA449C" w:rsidRPr="00DA449C" w:rsidRDefault="00DA449C" w:rsidP="00DA449C">
      <w:pPr>
        <w:widowControl/>
        <w:numPr>
          <w:ilvl w:val="1"/>
          <w:numId w:val="20"/>
        </w:numPr>
        <w:tabs>
          <w:tab w:val="left" w:pos="397"/>
          <w:tab w:val="left" w:pos="794"/>
          <w:tab w:val="left" w:pos="1191"/>
        </w:tabs>
        <w:ind w:left="794" w:hanging="397"/>
        <w:jc w:val="both"/>
        <w:rPr>
          <w:rFonts w:ascii="Palatino Linotype" w:hAnsi="Palatino Linotype"/>
          <w:sz w:val="22"/>
          <w:szCs w:val="22"/>
          <w:lang w:val="nl-NL"/>
        </w:rPr>
      </w:pPr>
      <w:r w:rsidRPr="00DA449C">
        <w:rPr>
          <w:rFonts w:ascii="Palatino Linotype" w:hAnsi="Palatino Linotype"/>
          <w:sz w:val="22"/>
          <w:szCs w:val="22"/>
          <w:lang w:val="nl-NL"/>
        </w:rPr>
        <w:t>welke partij het advies of de uitspraak heeft aangevraagd;</w:t>
      </w:r>
    </w:p>
    <w:p w14:paraId="6465608D" w14:textId="77777777" w:rsidR="00DA449C" w:rsidRPr="00DA449C" w:rsidRDefault="00DA449C" w:rsidP="00DA449C">
      <w:pPr>
        <w:widowControl/>
        <w:numPr>
          <w:ilvl w:val="1"/>
          <w:numId w:val="20"/>
        </w:numPr>
        <w:tabs>
          <w:tab w:val="left" w:pos="397"/>
          <w:tab w:val="left" w:pos="794"/>
          <w:tab w:val="left" w:pos="1191"/>
        </w:tabs>
        <w:ind w:left="794" w:hanging="397"/>
        <w:jc w:val="both"/>
        <w:rPr>
          <w:rFonts w:ascii="Palatino Linotype" w:hAnsi="Palatino Linotype"/>
          <w:sz w:val="22"/>
          <w:szCs w:val="22"/>
          <w:lang w:val="nl-NL"/>
        </w:rPr>
      </w:pPr>
      <w:r w:rsidRPr="00DA449C">
        <w:rPr>
          <w:rFonts w:ascii="Palatino Linotype" w:hAnsi="Palatino Linotype"/>
          <w:sz w:val="22"/>
          <w:szCs w:val="22"/>
          <w:lang w:val="nl-NL"/>
        </w:rPr>
        <w:t>een overzicht van de standpunten van partijen over het onderwerp en over de inhoud van het geschil;</w:t>
      </w:r>
    </w:p>
    <w:p w14:paraId="2035DE83" w14:textId="77777777" w:rsidR="00DA449C" w:rsidRPr="00DA449C" w:rsidRDefault="00DA449C" w:rsidP="00DA449C">
      <w:pPr>
        <w:widowControl/>
        <w:numPr>
          <w:ilvl w:val="1"/>
          <w:numId w:val="20"/>
        </w:numPr>
        <w:tabs>
          <w:tab w:val="left" w:pos="397"/>
          <w:tab w:val="left" w:pos="794"/>
          <w:tab w:val="left" w:pos="1191"/>
        </w:tabs>
        <w:ind w:left="794" w:hanging="397"/>
        <w:jc w:val="both"/>
        <w:rPr>
          <w:rFonts w:ascii="Palatino Linotype" w:hAnsi="Palatino Linotype"/>
          <w:sz w:val="22"/>
          <w:szCs w:val="22"/>
          <w:lang w:val="nl-NL"/>
        </w:rPr>
      </w:pPr>
      <w:r w:rsidRPr="00DA449C">
        <w:rPr>
          <w:rFonts w:ascii="Palatino Linotype" w:hAnsi="Palatino Linotype"/>
          <w:sz w:val="22"/>
          <w:szCs w:val="22"/>
          <w:lang w:val="nl-NL"/>
        </w:rPr>
        <w:t>het advies dan wel de uitspraak en de redenen die aan het advies of de uitspraak ten grondslag liggen.</w:t>
      </w:r>
    </w:p>
    <w:p w14:paraId="4DA60089" w14:textId="77777777" w:rsidR="00DA449C" w:rsidRPr="00DA449C" w:rsidRDefault="00DA449C" w:rsidP="00DA449C">
      <w:pPr>
        <w:widowControl/>
        <w:numPr>
          <w:ilvl w:val="2"/>
          <w:numId w:val="21"/>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t>Het advies of de uitspraak wordt gedagtekend en door ieder der optredende leden van de Advies- en arbitragecommissie ondertekend.</w:t>
      </w:r>
    </w:p>
    <w:p w14:paraId="746F6367" w14:textId="77777777" w:rsidR="00DA449C" w:rsidRPr="00DA449C" w:rsidRDefault="00DA449C" w:rsidP="00DA449C">
      <w:pPr>
        <w:widowControl/>
        <w:numPr>
          <w:ilvl w:val="2"/>
          <w:numId w:val="21"/>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t>Een arbitrale uitspraak van de Advies- en arbitragecommissie heeft bindende kracht voor beide partijen.</w:t>
      </w:r>
    </w:p>
    <w:p w14:paraId="70456C3D" w14:textId="77777777" w:rsidR="00DA449C" w:rsidRPr="00DA449C" w:rsidRDefault="00DA449C" w:rsidP="00DA449C">
      <w:pPr>
        <w:widowControl/>
        <w:tabs>
          <w:tab w:val="left" w:pos="397"/>
          <w:tab w:val="left" w:pos="794"/>
          <w:tab w:val="left" w:pos="1191"/>
        </w:tabs>
        <w:jc w:val="both"/>
        <w:rPr>
          <w:rFonts w:ascii="Palatino Linotype" w:hAnsi="Palatino Linotype"/>
          <w:sz w:val="22"/>
          <w:szCs w:val="22"/>
          <w:lang w:val="nl-NL"/>
        </w:rPr>
      </w:pPr>
    </w:p>
    <w:p w14:paraId="325649E3" w14:textId="77777777" w:rsidR="00DA449C" w:rsidRPr="00DA449C" w:rsidRDefault="00DA449C" w:rsidP="00DA449C">
      <w:pPr>
        <w:tabs>
          <w:tab w:val="left" w:pos="397"/>
          <w:tab w:val="left" w:pos="794"/>
          <w:tab w:val="left" w:pos="1191"/>
        </w:tabs>
        <w:jc w:val="center"/>
        <w:rPr>
          <w:rFonts w:ascii="Palatino Linotype" w:hAnsi="Palatino Linotype"/>
          <w:bCs/>
          <w:sz w:val="22"/>
          <w:szCs w:val="22"/>
          <w:lang w:val="nl-NL"/>
        </w:rPr>
      </w:pPr>
      <w:r w:rsidRPr="00DA449C">
        <w:rPr>
          <w:rFonts w:ascii="Palatino Linotype" w:hAnsi="Palatino Linotype"/>
          <w:bCs/>
          <w:sz w:val="22"/>
          <w:szCs w:val="22"/>
          <w:lang w:val="nl-NL"/>
        </w:rPr>
        <w:t>Artikel 18</w:t>
      </w:r>
    </w:p>
    <w:p w14:paraId="335D4855" w14:textId="77777777" w:rsidR="00DA449C" w:rsidRPr="00DA449C" w:rsidRDefault="00DA449C" w:rsidP="00DA449C">
      <w:pPr>
        <w:tabs>
          <w:tab w:val="left" w:pos="397"/>
          <w:tab w:val="left" w:pos="794"/>
          <w:tab w:val="left" w:pos="1191"/>
        </w:tabs>
        <w:jc w:val="center"/>
        <w:rPr>
          <w:rFonts w:ascii="Palatino Linotype" w:hAnsi="Palatino Linotype"/>
          <w:bCs/>
          <w:sz w:val="22"/>
          <w:szCs w:val="22"/>
          <w:lang w:val="nl-NL"/>
        </w:rPr>
      </w:pPr>
    </w:p>
    <w:p w14:paraId="1CACA791" w14:textId="77777777" w:rsidR="00DA449C" w:rsidRPr="00DA449C" w:rsidRDefault="00DA449C" w:rsidP="00DA449C">
      <w:pPr>
        <w:widowControl/>
        <w:numPr>
          <w:ilvl w:val="0"/>
          <w:numId w:val="22"/>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t>De voorzitter van de Advies- en arbitragecommissie draagt er zorg voor, dat het advies of de uitspraak binnen vier weken, nadat de kennisgeving is ontvangen, aan partijen ter kennis wordt gebracht.</w:t>
      </w:r>
    </w:p>
    <w:p w14:paraId="26A5327B" w14:textId="77777777" w:rsidR="00DA449C" w:rsidRPr="00DA449C" w:rsidRDefault="00DA449C" w:rsidP="00DA449C">
      <w:pPr>
        <w:widowControl/>
        <w:numPr>
          <w:ilvl w:val="0"/>
          <w:numId w:val="22"/>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t>Ingeval de Advies- en arbitragecommissie advies heeft uitgebracht, wordt het overleg omtrent het onderwerp waarover partijen niet tot overeenstemming kwamen, binnen tien dagen na ontvangst van het advies van de Advies- en arbitragecommissie voortgezet, waarbij het advies door partijen wordt meegewogen.</w:t>
      </w:r>
    </w:p>
    <w:p w14:paraId="2A8E5321" w14:textId="77777777" w:rsidR="00DA449C" w:rsidRPr="00DA449C" w:rsidRDefault="00DA449C" w:rsidP="00DA449C">
      <w:pPr>
        <w:widowControl/>
        <w:numPr>
          <w:ilvl w:val="0"/>
          <w:numId w:val="22"/>
        </w:numPr>
        <w:tabs>
          <w:tab w:val="left" w:pos="397"/>
          <w:tab w:val="left" w:pos="794"/>
          <w:tab w:val="left" w:pos="1191"/>
        </w:tabs>
        <w:ind w:left="397" w:hanging="397"/>
        <w:jc w:val="both"/>
        <w:rPr>
          <w:rFonts w:ascii="Palatino Linotype" w:hAnsi="Palatino Linotype"/>
          <w:sz w:val="22"/>
          <w:szCs w:val="22"/>
          <w:lang w:val="nl-NL"/>
        </w:rPr>
      </w:pPr>
      <w:r w:rsidRPr="00DA449C">
        <w:rPr>
          <w:rFonts w:ascii="Palatino Linotype" w:hAnsi="Palatino Linotype"/>
          <w:sz w:val="22"/>
          <w:szCs w:val="22"/>
          <w:lang w:val="nl-NL"/>
        </w:rPr>
        <w:lastRenderedPageBreak/>
        <w:t>Indien niettemin geen overeenstemming wordt bereikt en de Minister overweegt om afwijkend van het advies te beslissen, moeten hiervoor zwaarwegende redenen aanwezig zijn. Deze redenen moeten onverwijld ter kennis worden gebracht van de Advies- en arbitragecommissie. De Advies- en arbitragecommissie kan alsdan binnen twee weken nader advies uitbrengen.</w:t>
      </w:r>
    </w:p>
    <w:p w14:paraId="3117E68A" w14:textId="77777777" w:rsidR="00DA449C" w:rsidRPr="00DA449C" w:rsidRDefault="00DA449C" w:rsidP="00DA449C">
      <w:pPr>
        <w:tabs>
          <w:tab w:val="left" w:pos="397"/>
          <w:tab w:val="left" w:pos="794"/>
          <w:tab w:val="left" w:pos="1191"/>
        </w:tabs>
        <w:jc w:val="both"/>
        <w:rPr>
          <w:rFonts w:ascii="Palatino Linotype" w:hAnsi="Palatino Linotype"/>
          <w:bCs/>
          <w:sz w:val="22"/>
          <w:szCs w:val="22"/>
          <w:lang w:val="nl-NL"/>
        </w:rPr>
      </w:pPr>
    </w:p>
    <w:p w14:paraId="7CF415E5" w14:textId="77777777" w:rsidR="00DA449C" w:rsidRPr="00DA449C" w:rsidRDefault="00DA449C" w:rsidP="00DA449C">
      <w:pPr>
        <w:tabs>
          <w:tab w:val="left" w:pos="397"/>
          <w:tab w:val="left" w:pos="794"/>
          <w:tab w:val="left" w:pos="1191"/>
        </w:tabs>
        <w:jc w:val="center"/>
        <w:rPr>
          <w:rFonts w:ascii="Palatino Linotype" w:hAnsi="Palatino Linotype"/>
          <w:bCs/>
          <w:sz w:val="22"/>
          <w:szCs w:val="22"/>
          <w:lang w:val="nl-NL"/>
        </w:rPr>
      </w:pPr>
      <w:r w:rsidRPr="00DA449C">
        <w:rPr>
          <w:rFonts w:ascii="Palatino Linotype" w:hAnsi="Palatino Linotype"/>
          <w:bCs/>
          <w:sz w:val="22"/>
          <w:szCs w:val="22"/>
          <w:lang w:val="nl-NL"/>
        </w:rPr>
        <w:t>Artikel 19</w:t>
      </w:r>
    </w:p>
    <w:p w14:paraId="3AF8E342" w14:textId="77777777" w:rsidR="00DA449C" w:rsidRPr="00DA449C" w:rsidRDefault="00DA449C" w:rsidP="00DA449C">
      <w:pPr>
        <w:tabs>
          <w:tab w:val="left" w:pos="397"/>
          <w:tab w:val="left" w:pos="794"/>
          <w:tab w:val="left" w:pos="1191"/>
        </w:tabs>
        <w:jc w:val="center"/>
        <w:rPr>
          <w:rFonts w:ascii="Palatino Linotype" w:hAnsi="Palatino Linotype"/>
          <w:bCs/>
          <w:sz w:val="22"/>
          <w:szCs w:val="22"/>
          <w:lang w:val="nl-NL"/>
        </w:rPr>
      </w:pPr>
    </w:p>
    <w:p w14:paraId="7933388F" w14:textId="77777777" w:rsidR="00DA449C" w:rsidRPr="00DA449C" w:rsidRDefault="00DA449C" w:rsidP="00DA449C">
      <w:pPr>
        <w:tabs>
          <w:tab w:val="left" w:pos="397"/>
          <w:tab w:val="left" w:pos="794"/>
          <w:tab w:val="left" w:pos="1191"/>
        </w:tabs>
        <w:jc w:val="both"/>
        <w:rPr>
          <w:rFonts w:ascii="Palatino Linotype" w:hAnsi="Palatino Linotype"/>
          <w:sz w:val="22"/>
          <w:szCs w:val="22"/>
          <w:lang w:val="nl-NL"/>
        </w:rPr>
      </w:pPr>
      <w:r w:rsidRPr="00DA449C">
        <w:rPr>
          <w:rFonts w:ascii="Palatino Linotype" w:hAnsi="Palatino Linotype"/>
          <w:sz w:val="22"/>
          <w:szCs w:val="22"/>
          <w:lang w:val="nl-NL"/>
        </w:rPr>
        <w:t>De leden van de Advies- en arbitragecommissie hebben een geheimhoudingsplicht inzake het verhandelde en de verschillende standpunten. Het advies, het nader advies en de uitspraak zijn openbaar.</w:t>
      </w:r>
    </w:p>
    <w:p w14:paraId="3D0DC122" w14:textId="77777777" w:rsidR="00DA449C" w:rsidRPr="00DA449C" w:rsidRDefault="00DA449C" w:rsidP="00DA449C">
      <w:pPr>
        <w:tabs>
          <w:tab w:val="left" w:pos="397"/>
          <w:tab w:val="left" w:pos="794"/>
          <w:tab w:val="left" w:pos="1191"/>
        </w:tabs>
        <w:jc w:val="both"/>
        <w:rPr>
          <w:rFonts w:ascii="Palatino Linotype" w:hAnsi="Palatino Linotype"/>
          <w:sz w:val="22"/>
          <w:szCs w:val="22"/>
          <w:lang w:val="nl-NL"/>
        </w:rPr>
      </w:pPr>
    </w:p>
    <w:p w14:paraId="53B70081" w14:textId="77777777" w:rsidR="00DA449C" w:rsidRPr="00DA449C" w:rsidRDefault="00DA449C" w:rsidP="00DA449C">
      <w:pPr>
        <w:tabs>
          <w:tab w:val="left" w:pos="397"/>
          <w:tab w:val="left" w:pos="794"/>
          <w:tab w:val="left" w:pos="1191"/>
        </w:tabs>
        <w:jc w:val="center"/>
        <w:rPr>
          <w:rFonts w:ascii="Palatino Linotype" w:hAnsi="Palatino Linotype"/>
          <w:bCs/>
          <w:sz w:val="22"/>
          <w:szCs w:val="22"/>
          <w:lang w:val="nl-NL"/>
        </w:rPr>
      </w:pPr>
      <w:r w:rsidRPr="00DA449C">
        <w:rPr>
          <w:rFonts w:ascii="Palatino Linotype" w:hAnsi="Palatino Linotype"/>
          <w:bCs/>
          <w:sz w:val="22"/>
          <w:szCs w:val="22"/>
          <w:lang w:val="nl-NL"/>
        </w:rPr>
        <w:t>§ 5 Het Sectoraal Georganiseerd Overleg in Ambtenarenzaken</w:t>
      </w:r>
    </w:p>
    <w:p w14:paraId="2E9B35D2" w14:textId="77777777" w:rsidR="00DA449C" w:rsidRPr="00DA449C" w:rsidRDefault="00DA449C" w:rsidP="00DA449C">
      <w:pPr>
        <w:tabs>
          <w:tab w:val="left" w:pos="397"/>
          <w:tab w:val="left" w:pos="794"/>
          <w:tab w:val="left" w:pos="1191"/>
        </w:tabs>
        <w:jc w:val="center"/>
        <w:rPr>
          <w:rFonts w:ascii="Palatino Linotype" w:hAnsi="Palatino Linotype"/>
          <w:bCs/>
          <w:sz w:val="22"/>
          <w:szCs w:val="22"/>
          <w:lang w:val="nl-NL"/>
        </w:rPr>
      </w:pPr>
    </w:p>
    <w:p w14:paraId="136C94C8" w14:textId="77777777" w:rsidR="00DA449C" w:rsidRPr="00DA449C" w:rsidRDefault="00DA449C" w:rsidP="00DA449C">
      <w:pPr>
        <w:tabs>
          <w:tab w:val="left" w:pos="397"/>
          <w:tab w:val="left" w:pos="794"/>
          <w:tab w:val="left" w:pos="1191"/>
        </w:tabs>
        <w:jc w:val="center"/>
        <w:rPr>
          <w:rFonts w:ascii="Palatino Linotype" w:hAnsi="Palatino Linotype"/>
          <w:bCs/>
          <w:sz w:val="22"/>
          <w:szCs w:val="22"/>
          <w:lang w:val="nl-NL"/>
        </w:rPr>
      </w:pPr>
      <w:r w:rsidRPr="00DA449C">
        <w:rPr>
          <w:rFonts w:ascii="Palatino Linotype" w:hAnsi="Palatino Linotype"/>
          <w:bCs/>
          <w:sz w:val="22"/>
          <w:szCs w:val="22"/>
          <w:lang w:val="nl-NL"/>
        </w:rPr>
        <w:t>Artikel 20</w:t>
      </w:r>
    </w:p>
    <w:p w14:paraId="479467D1" w14:textId="77777777" w:rsidR="00DA449C" w:rsidRPr="00DA449C" w:rsidRDefault="00DA449C" w:rsidP="00DA449C">
      <w:pPr>
        <w:tabs>
          <w:tab w:val="left" w:pos="397"/>
          <w:tab w:val="left" w:pos="794"/>
          <w:tab w:val="left" w:pos="1191"/>
        </w:tabs>
        <w:jc w:val="center"/>
        <w:rPr>
          <w:rFonts w:ascii="Palatino Linotype" w:hAnsi="Palatino Linotype"/>
          <w:bCs/>
          <w:sz w:val="22"/>
          <w:szCs w:val="22"/>
          <w:lang w:val="nl-NL"/>
        </w:rPr>
      </w:pPr>
    </w:p>
    <w:p w14:paraId="235F8861" w14:textId="77777777" w:rsidR="00DA449C" w:rsidRPr="00DA449C" w:rsidRDefault="00DA449C" w:rsidP="00DA449C">
      <w:pPr>
        <w:widowControl/>
        <w:numPr>
          <w:ilvl w:val="0"/>
          <w:numId w:val="24"/>
        </w:numPr>
        <w:tabs>
          <w:tab w:val="left" w:pos="397"/>
          <w:tab w:val="left" w:pos="794"/>
          <w:tab w:val="left" w:pos="1191"/>
        </w:tabs>
        <w:contextualSpacing/>
        <w:jc w:val="both"/>
        <w:rPr>
          <w:rFonts w:ascii="Palatino Linotype" w:hAnsi="Palatino Linotype"/>
          <w:sz w:val="22"/>
          <w:szCs w:val="22"/>
          <w:lang w:val="nl-NL"/>
        </w:rPr>
      </w:pPr>
      <w:r w:rsidRPr="00DA449C">
        <w:rPr>
          <w:rFonts w:ascii="Palatino Linotype" w:hAnsi="Palatino Linotype"/>
          <w:sz w:val="22"/>
          <w:szCs w:val="22"/>
          <w:lang w:val="nl-NL"/>
        </w:rPr>
        <w:t>Bij landsbesluit, houdende algemene maatregelen, kunnen sectoren van de Landsoverheid worden vastgesteld, waarvoor het overleg inzake specifieke aangelegenheden betreffende de rechtstoestand van de onder de desbetreffende sector ressorterende ambtenaren afzonderlijk, in een Sectoraal Georganiseerd Overleg in Ambtenarenzaken</w:t>
      </w:r>
      <w:r w:rsidRPr="00DA449C">
        <w:rPr>
          <w:rFonts w:ascii="Palatino Linotype" w:hAnsi="Palatino Linotype"/>
          <w:bCs/>
          <w:sz w:val="22"/>
          <w:szCs w:val="22"/>
          <w:lang w:val="nl-NL"/>
        </w:rPr>
        <w:t xml:space="preserve">, </w:t>
      </w:r>
      <w:r w:rsidRPr="00DA449C">
        <w:rPr>
          <w:rFonts w:ascii="Palatino Linotype" w:hAnsi="Palatino Linotype"/>
          <w:sz w:val="22"/>
          <w:szCs w:val="22"/>
          <w:lang w:val="nl-NL"/>
        </w:rPr>
        <w:t>kan plaats vinden.</w:t>
      </w:r>
    </w:p>
    <w:p w14:paraId="22FFC7B5" w14:textId="77777777" w:rsidR="00DA449C" w:rsidRPr="00DA449C" w:rsidRDefault="00DA449C" w:rsidP="00DA449C">
      <w:pPr>
        <w:widowControl/>
        <w:numPr>
          <w:ilvl w:val="0"/>
          <w:numId w:val="24"/>
        </w:numPr>
        <w:tabs>
          <w:tab w:val="left" w:pos="397"/>
          <w:tab w:val="left" w:pos="794"/>
          <w:tab w:val="left" w:pos="1191"/>
        </w:tabs>
        <w:contextualSpacing/>
        <w:jc w:val="both"/>
        <w:rPr>
          <w:rFonts w:ascii="Palatino Linotype" w:hAnsi="Palatino Linotype"/>
          <w:sz w:val="22"/>
          <w:szCs w:val="22"/>
          <w:lang w:val="nl-NL"/>
        </w:rPr>
      </w:pPr>
      <w:r w:rsidRPr="00DA449C">
        <w:rPr>
          <w:rFonts w:ascii="Palatino Linotype" w:hAnsi="Palatino Linotype"/>
          <w:sz w:val="22"/>
          <w:szCs w:val="22"/>
          <w:lang w:val="nl-NL"/>
        </w:rPr>
        <w:t>In het Sectoraal Georganiseerd Overleg wordt overleg gevoerd tussen de Centrale Commissie enerzijds en de Minister die verantwoordelijk is voor het beleid in die sector anderzijds.</w:t>
      </w:r>
    </w:p>
    <w:p w14:paraId="499D35C2" w14:textId="77777777" w:rsidR="00DA449C" w:rsidRPr="00DA449C" w:rsidRDefault="00DA449C" w:rsidP="00DA449C">
      <w:pPr>
        <w:widowControl/>
        <w:numPr>
          <w:ilvl w:val="0"/>
          <w:numId w:val="24"/>
        </w:numPr>
        <w:tabs>
          <w:tab w:val="left" w:pos="397"/>
          <w:tab w:val="left" w:pos="794"/>
          <w:tab w:val="left" w:pos="1191"/>
        </w:tabs>
        <w:contextualSpacing/>
        <w:jc w:val="both"/>
        <w:rPr>
          <w:rFonts w:ascii="Palatino Linotype" w:hAnsi="Palatino Linotype"/>
          <w:sz w:val="22"/>
          <w:szCs w:val="22"/>
          <w:lang w:val="nl-NL"/>
        </w:rPr>
      </w:pPr>
      <w:r w:rsidRPr="00DA449C">
        <w:rPr>
          <w:rFonts w:ascii="Palatino Linotype" w:hAnsi="Palatino Linotype"/>
          <w:sz w:val="22"/>
          <w:szCs w:val="22"/>
          <w:lang w:val="nl-NL"/>
        </w:rPr>
        <w:t>In het kader van het Sectoraal Georganiseerd Overleg in Ambtenarenzaken bestaat, in afwijking van het bepaalde in artikel 3, eerste lid, de Centrale Commissie alleen uit de vertegenwoordigers van de als representatief aangemerkte organisaties die specifiek tot doel hebben het behartigen van de belangen van de ambtenaren die in de desbetreffende sector</w:t>
      </w:r>
      <w:r w:rsidRPr="00DA449C">
        <w:rPr>
          <w:rFonts w:ascii="Palatino Linotype" w:hAnsi="Palatino Linotype"/>
          <w:bCs/>
          <w:sz w:val="22"/>
          <w:szCs w:val="22"/>
          <w:lang w:val="nl-NL"/>
        </w:rPr>
        <w:t xml:space="preserve"> </w:t>
      </w:r>
      <w:r w:rsidRPr="00DA449C">
        <w:rPr>
          <w:rFonts w:ascii="Palatino Linotype" w:hAnsi="Palatino Linotype"/>
          <w:sz w:val="22"/>
          <w:szCs w:val="22"/>
          <w:lang w:val="nl-NL"/>
        </w:rPr>
        <w:t>werkzaam zijn.</w:t>
      </w:r>
    </w:p>
    <w:p w14:paraId="2F242680" w14:textId="77777777" w:rsidR="00DA449C" w:rsidRPr="00DA449C" w:rsidRDefault="00DA449C" w:rsidP="00DA449C">
      <w:pPr>
        <w:widowControl/>
        <w:numPr>
          <w:ilvl w:val="0"/>
          <w:numId w:val="24"/>
        </w:numPr>
        <w:tabs>
          <w:tab w:val="left" w:pos="397"/>
          <w:tab w:val="left" w:pos="794"/>
          <w:tab w:val="left" w:pos="1191"/>
        </w:tabs>
        <w:contextualSpacing/>
        <w:jc w:val="both"/>
        <w:rPr>
          <w:rFonts w:ascii="Palatino Linotype" w:hAnsi="Palatino Linotype"/>
          <w:sz w:val="22"/>
          <w:szCs w:val="22"/>
          <w:lang w:val="nl-NL"/>
        </w:rPr>
      </w:pPr>
      <w:r w:rsidRPr="00DA449C">
        <w:rPr>
          <w:rFonts w:ascii="Palatino Linotype" w:hAnsi="Palatino Linotype"/>
          <w:sz w:val="22"/>
          <w:szCs w:val="22"/>
          <w:lang w:val="nl-NL"/>
        </w:rPr>
        <w:t>Het aantal vertegenwoordigers van een organisatie in het Sectoraal Georganiseerd Overleg is gelijk aan het aantal vertegenwoordigers van die organisatie in de Centrale Commissie.</w:t>
      </w:r>
    </w:p>
    <w:p w14:paraId="18E5B9DE" w14:textId="77777777" w:rsidR="00DA449C" w:rsidRPr="00DA449C" w:rsidRDefault="00DA449C" w:rsidP="00DA449C">
      <w:pPr>
        <w:widowControl/>
        <w:numPr>
          <w:ilvl w:val="0"/>
          <w:numId w:val="24"/>
        </w:numPr>
        <w:tabs>
          <w:tab w:val="left" w:pos="397"/>
          <w:tab w:val="left" w:pos="794"/>
          <w:tab w:val="left" w:pos="1191"/>
        </w:tabs>
        <w:contextualSpacing/>
        <w:jc w:val="both"/>
        <w:rPr>
          <w:rFonts w:ascii="Palatino Linotype" w:hAnsi="Palatino Linotype"/>
          <w:sz w:val="22"/>
          <w:szCs w:val="22"/>
          <w:lang w:val="nl-NL"/>
        </w:rPr>
      </w:pPr>
      <w:r w:rsidRPr="00DA449C">
        <w:rPr>
          <w:rFonts w:ascii="Palatino Linotype" w:hAnsi="Palatino Linotype"/>
          <w:sz w:val="22"/>
          <w:szCs w:val="22"/>
          <w:lang w:val="nl-NL"/>
        </w:rPr>
        <w:t>Het Sectoraal Georganiseerd Overleg staat onder leiding van de voorzitter van het Centraal</w:t>
      </w:r>
      <w:r w:rsidRPr="00DA449C">
        <w:rPr>
          <w:rFonts w:ascii="Palatino Linotype" w:hAnsi="Palatino Linotype"/>
          <w:bCs/>
          <w:sz w:val="22"/>
          <w:szCs w:val="22"/>
          <w:lang w:val="nl-NL"/>
        </w:rPr>
        <w:t xml:space="preserve"> </w:t>
      </w:r>
      <w:r w:rsidRPr="00DA449C">
        <w:rPr>
          <w:rFonts w:ascii="Palatino Linotype" w:hAnsi="Palatino Linotype"/>
          <w:sz w:val="22"/>
          <w:szCs w:val="22"/>
          <w:lang w:val="nl-NL"/>
        </w:rPr>
        <w:t>Georganiseerd Overleg, dan wel diens plaatsvervanger.</w:t>
      </w:r>
    </w:p>
    <w:p w14:paraId="40184A6C" w14:textId="77777777" w:rsidR="00DA449C" w:rsidRPr="00DA449C" w:rsidRDefault="00DA449C" w:rsidP="00DA449C">
      <w:pPr>
        <w:widowControl/>
        <w:numPr>
          <w:ilvl w:val="0"/>
          <w:numId w:val="24"/>
        </w:numPr>
        <w:tabs>
          <w:tab w:val="left" w:pos="397"/>
          <w:tab w:val="left" w:pos="794"/>
          <w:tab w:val="left" w:pos="1191"/>
        </w:tabs>
        <w:contextualSpacing/>
        <w:jc w:val="both"/>
        <w:rPr>
          <w:rFonts w:ascii="Palatino Linotype" w:hAnsi="Palatino Linotype"/>
          <w:sz w:val="22"/>
          <w:szCs w:val="22"/>
          <w:lang w:val="nl-NL"/>
        </w:rPr>
      </w:pPr>
      <w:r w:rsidRPr="00DA449C">
        <w:rPr>
          <w:rFonts w:ascii="Palatino Linotype" w:hAnsi="Palatino Linotype"/>
          <w:sz w:val="22"/>
          <w:szCs w:val="22"/>
          <w:lang w:val="nl-NL"/>
        </w:rPr>
        <w:t>Indien de partijen in het Centraal Georganiseerd Overleg gezamenlijk van oordeel zijn dat binnen een Sectoraal Georganiseerd Overleg maatregelen worden overeengekomen die tot de enkelvoudige bevoegdheid van het Centraal</w:t>
      </w:r>
      <w:r w:rsidRPr="00DA449C">
        <w:rPr>
          <w:rFonts w:ascii="Palatino Linotype" w:hAnsi="Palatino Linotype"/>
          <w:bCs/>
          <w:sz w:val="22"/>
          <w:szCs w:val="22"/>
          <w:lang w:val="nl-NL"/>
        </w:rPr>
        <w:t xml:space="preserve"> </w:t>
      </w:r>
      <w:r w:rsidRPr="00DA449C">
        <w:rPr>
          <w:rFonts w:ascii="Palatino Linotype" w:hAnsi="Palatino Linotype"/>
          <w:sz w:val="22"/>
          <w:szCs w:val="22"/>
          <w:lang w:val="nl-NL"/>
        </w:rPr>
        <w:t>Georganiseerd Overleg behoren, dan wordt daarvan mededeling gedaan aan het betrokken Sectoraal Georganiseerd Overleg en zal de voorgestelde maatregel onderwerp van overleg in het Centraal</w:t>
      </w:r>
      <w:r w:rsidRPr="00DA449C">
        <w:rPr>
          <w:rFonts w:ascii="Palatino Linotype" w:hAnsi="Palatino Linotype"/>
          <w:bCs/>
          <w:sz w:val="22"/>
          <w:szCs w:val="22"/>
          <w:lang w:val="nl-NL"/>
        </w:rPr>
        <w:t xml:space="preserve"> </w:t>
      </w:r>
      <w:r w:rsidRPr="00DA449C">
        <w:rPr>
          <w:rFonts w:ascii="Palatino Linotype" w:hAnsi="Palatino Linotype"/>
          <w:sz w:val="22"/>
          <w:szCs w:val="22"/>
          <w:lang w:val="nl-NL"/>
        </w:rPr>
        <w:t>Georganiseerd Overleg vormen.</w:t>
      </w:r>
    </w:p>
    <w:p w14:paraId="7EEBE3BA" w14:textId="77777777" w:rsidR="00DA449C" w:rsidRPr="00DA449C" w:rsidRDefault="00DA449C" w:rsidP="00DA449C">
      <w:pPr>
        <w:widowControl/>
        <w:numPr>
          <w:ilvl w:val="0"/>
          <w:numId w:val="24"/>
        </w:numPr>
        <w:tabs>
          <w:tab w:val="left" w:pos="397"/>
          <w:tab w:val="left" w:pos="794"/>
          <w:tab w:val="left" w:pos="1191"/>
        </w:tabs>
        <w:contextualSpacing/>
        <w:jc w:val="both"/>
        <w:rPr>
          <w:rFonts w:ascii="Palatino Linotype" w:hAnsi="Palatino Linotype"/>
          <w:sz w:val="22"/>
          <w:szCs w:val="22"/>
          <w:lang w:val="nl-NL"/>
        </w:rPr>
      </w:pPr>
      <w:r w:rsidRPr="00DA449C">
        <w:rPr>
          <w:rFonts w:ascii="Palatino Linotype" w:hAnsi="Palatino Linotype"/>
          <w:sz w:val="22"/>
          <w:szCs w:val="22"/>
          <w:lang w:val="nl-NL"/>
        </w:rPr>
        <w:t>De artikelen 4, vierde lid, 5, 6, eerste tot en met vierde lid, 8, 9, 10 en 11 tot en met 19 zijn van overeenkomstige toepassing op het Sectoraal Georganiseerd Overleg</w:t>
      </w:r>
    </w:p>
    <w:p w14:paraId="3A8C5640" w14:textId="148CDC11" w:rsidR="00DA449C" w:rsidRDefault="00DA449C" w:rsidP="00DA449C">
      <w:pPr>
        <w:tabs>
          <w:tab w:val="left" w:pos="397"/>
          <w:tab w:val="left" w:pos="794"/>
          <w:tab w:val="left" w:pos="1191"/>
        </w:tabs>
        <w:jc w:val="both"/>
        <w:rPr>
          <w:rFonts w:ascii="Palatino Linotype" w:hAnsi="Palatino Linotype"/>
          <w:sz w:val="22"/>
          <w:szCs w:val="22"/>
          <w:lang w:val="nl-NL"/>
        </w:rPr>
      </w:pPr>
    </w:p>
    <w:p w14:paraId="7AE32D4C" w14:textId="784DB47E" w:rsidR="00DA449C" w:rsidRDefault="00DA449C" w:rsidP="00DA449C">
      <w:pPr>
        <w:tabs>
          <w:tab w:val="left" w:pos="397"/>
          <w:tab w:val="left" w:pos="794"/>
          <w:tab w:val="left" w:pos="1191"/>
        </w:tabs>
        <w:jc w:val="both"/>
        <w:rPr>
          <w:rFonts w:ascii="Palatino Linotype" w:hAnsi="Palatino Linotype"/>
          <w:sz w:val="22"/>
          <w:szCs w:val="22"/>
          <w:lang w:val="nl-NL"/>
        </w:rPr>
      </w:pPr>
    </w:p>
    <w:p w14:paraId="58123797" w14:textId="4DEB7266" w:rsidR="00DA449C" w:rsidRDefault="00DA449C" w:rsidP="00DA449C">
      <w:pPr>
        <w:tabs>
          <w:tab w:val="left" w:pos="397"/>
          <w:tab w:val="left" w:pos="794"/>
          <w:tab w:val="left" w:pos="1191"/>
        </w:tabs>
        <w:jc w:val="both"/>
        <w:rPr>
          <w:rFonts w:ascii="Palatino Linotype" w:hAnsi="Palatino Linotype"/>
          <w:sz w:val="22"/>
          <w:szCs w:val="22"/>
          <w:lang w:val="nl-NL"/>
        </w:rPr>
      </w:pPr>
    </w:p>
    <w:p w14:paraId="5C908506" w14:textId="2F4C2C72" w:rsidR="00DA449C" w:rsidRDefault="00DA449C" w:rsidP="00DA449C">
      <w:pPr>
        <w:tabs>
          <w:tab w:val="left" w:pos="397"/>
          <w:tab w:val="left" w:pos="794"/>
          <w:tab w:val="left" w:pos="1191"/>
        </w:tabs>
        <w:jc w:val="both"/>
        <w:rPr>
          <w:rFonts w:ascii="Palatino Linotype" w:hAnsi="Palatino Linotype"/>
          <w:sz w:val="22"/>
          <w:szCs w:val="22"/>
          <w:lang w:val="nl-NL"/>
        </w:rPr>
      </w:pPr>
    </w:p>
    <w:p w14:paraId="1851CF28" w14:textId="77777777" w:rsidR="00DA449C" w:rsidRPr="00DA449C" w:rsidRDefault="00DA449C" w:rsidP="00DA449C">
      <w:pPr>
        <w:tabs>
          <w:tab w:val="left" w:pos="397"/>
          <w:tab w:val="left" w:pos="794"/>
          <w:tab w:val="left" w:pos="1191"/>
        </w:tabs>
        <w:jc w:val="both"/>
        <w:rPr>
          <w:rFonts w:ascii="Palatino Linotype" w:hAnsi="Palatino Linotype"/>
          <w:sz w:val="22"/>
          <w:szCs w:val="22"/>
          <w:lang w:val="nl-NL"/>
        </w:rPr>
      </w:pPr>
    </w:p>
    <w:p w14:paraId="34D59C82" w14:textId="77777777" w:rsidR="00DA449C" w:rsidRPr="00DA449C" w:rsidRDefault="00DA449C" w:rsidP="00DA449C">
      <w:pPr>
        <w:tabs>
          <w:tab w:val="left" w:pos="397"/>
          <w:tab w:val="left" w:pos="794"/>
          <w:tab w:val="left" w:pos="1191"/>
        </w:tabs>
        <w:jc w:val="both"/>
        <w:rPr>
          <w:rFonts w:ascii="Palatino Linotype" w:hAnsi="Palatino Linotype"/>
          <w:sz w:val="22"/>
          <w:szCs w:val="22"/>
          <w:lang w:val="nl-NL"/>
        </w:rPr>
      </w:pPr>
    </w:p>
    <w:p w14:paraId="01E1F71B" w14:textId="77777777" w:rsidR="00DA449C" w:rsidRPr="00DA449C" w:rsidRDefault="00DA449C" w:rsidP="00DA449C">
      <w:pPr>
        <w:tabs>
          <w:tab w:val="left" w:pos="397"/>
          <w:tab w:val="left" w:pos="794"/>
          <w:tab w:val="left" w:pos="1191"/>
        </w:tabs>
        <w:jc w:val="center"/>
        <w:rPr>
          <w:rFonts w:ascii="Palatino Linotype" w:hAnsi="Palatino Linotype"/>
          <w:bCs/>
          <w:sz w:val="22"/>
          <w:szCs w:val="22"/>
          <w:lang w:val="nl-NL"/>
        </w:rPr>
      </w:pPr>
      <w:r w:rsidRPr="00DA449C">
        <w:rPr>
          <w:rFonts w:ascii="Palatino Linotype" w:hAnsi="Palatino Linotype"/>
          <w:bCs/>
          <w:sz w:val="22"/>
          <w:szCs w:val="22"/>
          <w:lang w:val="nl-NL"/>
        </w:rPr>
        <w:lastRenderedPageBreak/>
        <w:t>§ 6. Eilandelijk Georganiseerd Overleg in Ambtenarenzaken</w:t>
      </w:r>
    </w:p>
    <w:p w14:paraId="54D16C0C" w14:textId="77777777" w:rsidR="00DA449C" w:rsidRPr="00DA449C" w:rsidRDefault="00DA449C" w:rsidP="00DA449C">
      <w:pPr>
        <w:tabs>
          <w:tab w:val="left" w:pos="397"/>
          <w:tab w:val="left" w:pos="794"/>
          <w:tab w:val="left" w:pos="1191"/>
        </w:tabs>
        <w:jc w:val="center"/>
        <w:rPr>
          <w:rFonts w:ascii="Palatino Linotype" w:hAnsi="Palatino Linotype"/>
          <w:bCs/>
          <w:sz w:val="22"/>
          <w:szCs w:val="22"/>
          <w:lang w:val="nl-NL"/>
        </w:rPr>
      </w:pPr>
      <w:r w:rsidRPr="00DA449C">
        <w:rPr>
          <w:rFonts w:ascii="Palatino Linotype" w:hAnsi="Palatino Linotype"/>
          <w:bCs/>
          <w:sz w:val="22"/>
          <w:szCs w:val="22"/>
          <w:lang w:val="nl-NL"/>
        </w:rPr>
        <w:t>(vervallen)</w:t>
      </w:r>
    </w:p>
    <w:p w14:paraId="36FC9FD7" w14:textId="77777777" w:rsidR="00DA449C" w:rsidRDefault="00DA449C" w:rsidP="00DA449C">
      <w:pPr>
        <w:tabs>
          <w:tab w:val="left" w:pos="397"/>
          <w:tab w:val="left" w:pos="794"/>
          <w:tab w:val="left" w:pos="1191"/>
        </w:tabs>
        <w:jc w:val="center"/>
        <w:rPr>
          <w:rFonts w:ascii="Palatino Linotype" w:hAnsi="Palatino Linotype"/>
          <w:bCs/>
          <w:sz w:val="22"/>
          <w:szCs w:val="22"/>
          <w:lang w:val="nl-NL"/>
        </w:rPr>
      </w:pPr>
    </w:p>
    <w:p w14:paraId="66C9F4F7" w14:textId="45D27C70" w:rsidR="00DA449C" w:rsidRPr="00DA449C" w:rsidRDefault="00DA449C" w:rsidP="00DA449C">
      <w:pPr>
        <w:tabs>
          <w:tab w:val="left" w:pos="397"/>
          <w:tab w:val="left" w:pos="794"/>
          <w:tab w:val="left" w:pos="1191"/>
        </w:tabs>
        <w:jc w:val="center"/>
        <w:rPr>
          <w:rFonts w:ascii="Palatino Linotype" w:hAnsi="Palatino Linotype"/>
          <w:bCs/>
          <w:sz w:val="22"/>
          <w:szCs w:val="22"/>
          <w:lang w:val="nl-NL"/>
        </w:rPr>
      </w:pPr>
      <w:r w:rsidRPr="00DA449C">
        <w:rPr>
          <w:rFonts w:ascii="Palatino Linotype" w:hAnsi="Palatino Linotype"/>
          <w:bCs/>
          <w:sz w:val="22"/>
          <w:szCs w:val="22"/>
          <w:lang w:val="nl-NL"/>
        </w:rPr>
        <w:t>Artikel 21</w:t>
      </w:r>
    </w:p>
    <w:p w14:paraId="6CC798CC" w14:textId="77777777" w:rsidR="00DA449C" w:rsidRPr="00DA449C" w:rsidRDefault="00DA449C" w:rsidP="00DA449C">
      <w:pPr>
        <w:tabs>
          <w:tab w:val="left" w:pos="397"/>
          <w:tab w:val="left" w:pos="794"/>
          <w:tab w:val="left" w:pos="1191"/>
        </w:tabs>
        <w:jc w:val="center"/>
        <w:rPr>
          <w:rFonts w:ascii="Palatino Linotype" w:hAnsi="Palatino Linotype"/>
          <w:sz w:val="22"/>
          <w:szCs w:val="22"/>
          <w:lang w:val="nl-NL"/>
        </w:rPr>
      </w:pPr>
      <w:r w:rsidRPr="00DA449C">
        <w:rPr>
          <w:rFonts w:ascii="Palatino Linotype" w:hAnsi="Palatino Linotype"/>
          <w:sz w:val="22"/>
          <w:szCs w:val="22"/>
          <w:lang w:val="nl-NL"/>
        </w:rPr>
        <w:t>(vervallen)</w:t>
      </w:r>
    </w:p>
    <w:p w14:paraId="403DB316" w14:textId="77777777" w:rsidR="00DA449C" w:rsidRPr="00DA449C" w:rsidRDefault="00DA449C" w:rsidP="00DA449C">
      <w:pPr>
        <w:tabs>
          <w:tab w:val="left" w:pos="397"/>
          <w:tab w:val="left" w:pos="794"/>
          <w:tab w:val="left" w:pos="1191"/>
        </w:tabs>
        <w:jc w:val="center"/>
        <w:rPr>
          <w:rFonts w:ascii="Palatino Linotype" w:hAnsi="Palatino Linotype"/>
          <w:sz w:val="22"/>
          <w:szCs w:val="22"/>
          <w:lang w:val="nl-NL"/>
        </w:rPr>
      </w:pPr>
    </w:p>
    <w:p w14:paraId="1A0C18E7" w14:textId="77777777" w:rsidR="00DA449C" w:rsidRPr="00DA449C" w:rsidRDefault="00DA449C" w:rsidP="00DA449C">
      <w:pPr>
        <w:tabs>
          <w:tab w:val="left" w:pos="397"/>
          <w:tab w:val="left" w:pos="794"/>
          <w:tab w:val="left" w:pos="1191"/>
        </w:tabs>
        <w:jc w:val="center"/>
        <w:rPr>
          <w:rFonts w:ascii="Palatino Linotype" w:hAnsi="Palatino Linotype"/>
          <w:bCs/>
          <w:sz w:val="22"/>
          <w:szCs w:val="22"/>
          <w:lang w:val="nl-NL"/>
        </w:rPr>
      </w:pPr>
      <w:r w:rsidRPr="00DA449C">
        <w:rPr>
          <w:rFonts w:ascii="Palatino Linotype" w:hAnsi="Palatino Linotype"/>
          <w:bCs/>
          <w:sz w:val="22"/>
          <w:szCs w:val="22"/>
          <w:lang w:val="nl-NL"/>
        </w:rPr>
        <w:t>§ 7. Slotbepalingen</w:t>
      </w:r>
    </w:p>
    <w:p w14:paraId="5D241B73" w14:textId="77777777" w:rsidR="00DA449C" w:rsidRPr="00DA449C" w:rsidRDefault="00DA449C" w:rsidP="00DA449C">
      <w:pPr>
        <w:tabs>
          <w:tab w:val="left" w:pos="397"/>
          <w:tab w:val="left" w:pos="794"/>
          <w:tab w:val="left" w:pos="1191"/>
        </w:tabs>
        <w:jc w:val="center"/>
        <w:rPr>
          <w:rFonts w:ascii="Palatino Linotype" w:hAnsi="Palatino Linotype"/>
          <w:bCs/>
          <w:sz w:val="22"/>
          <w:szCs w:val="22"/>
          <w:lang w:val="nl-NL"/>
        </w:rPr>
      </w:pPr>
    </w:p>
    <w:p w14:paraId="4D3DFA32" w14:textId="77777777" w:rsidR="00DA449C" w:rsidRPr="00DA449C" w:rsidRDefault="00DA449C" w:rsidP="00DA449C">
      <w:pPr>
        <w:keepNext/>
        <w:tabs>
          <w:tab w:val="left" w:pos="397"/>
          <w:tab w:val="left" w:pos="794"/>
          <w:tab w:val="left" w:pos="1191"/>
          <w:tab w:val="center" w:pos="4680"/>
        </w:tabs>
        <w:jc w:val="center"/>
        <w:outlineLvl w:val="2"/>
        <w:rPr>
          <w:rFonts w:ascii="Palatino Linotype" w:hAnsi="Palatino Linotype"/>
          <w:bCs/>
          <w:sz w:val="22"/>
          <w:szCs w:val="22"/>
          <w:lang w:val="nl-NL"/>
        </w:rPr>
      </w:pPr>
      <w:r w:rsidRPr="00DA449C">
        <w:rPr>
          <w:rFonts w:ascii="Palatino Linotype" w:hAnsi="Palatino Linotype"/>
          <w:bCs/>
          <w:sz w:val="22"/>
          <w:szCs w:val="22"/>
          <w:lang w:val="nl-NL"/>
        </w:rPr>
        <w:t>Artikel 22</w:t>
      </w:r>
    </w:p>
    <w:p w14:paraId="5DB42DD3" w14:textId="77777777" w:rsidR="00DA449C" w:rsidRPr="00DA449C" w:rsidRDefault="00DA449C" w:rsidP="00DA449C">
      <w:pPr>
        <w:rPr>
          <w:rFonts w:ascii="Palatino Linotype" w:hAnsi="Palatino Linotype"/>
          <w:sz w:val="22"/>
          <w:szCs w:val="22"/>
          <w:lang w:val="nl-NL"/>
        </w:rPr>
      </w:pPr>
    </w:p>
    <w:p w14:paraId="644ED370" w14:textId="77777777" w:rsidR="00DA449C" w:rsidRPr="00DA449C" w:rsidRDefault="00DA449C" w:rsidP="00DA449C">
      <w:pPr>
        <w:tabs>
          <w:tab w:val="left" w:pos="397"/>
          <w:tab w:val="left" w:pos="794"/>
          <w:tab w:val="left" w:pos="1191"/>
        </w:tabs>
        <w:jc w:val="both"/>
        <w:rPr>
          <w:rFonts w:ascii="Palatino Linotype" w:hAnsi="Palatino Linotype"/>
          <w:sz w:val="22"/>
          <w:szCs w:val="22"/>
          <w:lang w:val="nl-NL"/>
        </w:rPr>
      </w:pPr>
      <w:r w:rsidRPr="00DA449C">
        <w:rPr>
          <w:rFonts w:ascii="Palatino Linotype" w:hAnsi="Palatino Linotype"/>
          <w:sz w:val="22"/>
          <w:szCs w:val="22"/>
          <w:lang w:val="nl-NL"/>
        </w:rPr>
        <w:t>De voorzitter, de</w:t>
      </w:r>
      <w:r w:rsidRPr="00DA449C">
        <w:rPr>
          <w:rFonts w:ascii="Palatino Linotype" w:hAnsi="Palatino Linotype"/>
          <w:bCs/>
          <w:sz w:val="22"/>
          <w:szCs w:val="22"/>
          <w:lang w:val="nl-NL"/>
        </w:rPr>
        <w:t xml:space="preserve"> </w:t>
      </w:r>
      <w:r w:rsidRPr="00DA449C">
        <w:rPr>
          <w:rFonts w:ascii="Palatino Linotype" w:hAnsi="Palatino Linotype"/>
          <w:sz w:val="22"/>
          <w:szCs w:val="22"/>
          <w:lang w:val="nl-NL"/>
        </w:rPr>
        <w:t>plaatsvervangend voorzitter(s), de secretaris, de plaatsvervangend secretaris(sen), de partijen in het Centraal Georganiseerd Overleg, waaronder de werkgroepen en het Sectoraal Georganiseerd Overleg, alsmede de voorzitter, de plaatsvervangend voorzitter, de secretaris, de plaatsvervangend secretaris(sen), de leden en de plaatsvervangende leden van de Advies- en arbitragecommissie die bij de uitoefening van hun taak de beschikking krijgen over gegevens waarvan zij het vertrouwelijke karakter kennen of redelijkerwijs moeten vermoeden, zijn, voor zover voor hen niet reeds uit hoofde van ambt, beroep of wettelijk voorschrift ter zake van die gegevens een geheimhouding geldt, verplicht tot geheimhouding daarvan, behoudens voor zover enig wettelijk voorschrift hen tot bekendmaking verplicht of uit hun taak de noodzaak tot bekendmaking voortvloeit.</w:t>
      </w:r>
    </w:p>
    <w:p w14:paraId="3F125D15" w14:textId="77777777" w:rsidR="00DA449C" w:rsidRPr="00DA449C" w:rsidRDefault="00DA449C" w:rsidP="00DA449C">
      <w:pPr>
        <w:tabs>
          <w:tab w:val="left" w:pos="397"/>
          <w:tab w:val="left" w:pos="794"/>
          <w:tab w:val="left" w:pos="1191"/>
        </w:tabs>
        <w:jc w:val="both"/>
        <w:rPr>
          <w:rFonts w:ascii="Palatino Linotype" w:hAnsi="Palatino Linotype"/>
          <w:sz w:val="22"/>
          <w:szCs w:val="22"/>
          <w:lang w:val="nl-NL"/>
        </w:rPr>
      </w:pPr>
    </w:p>
    <w:p w14:paraId="3E89CFF6" w14:textId="77777777" w:rsidR="00DA449C" w:rsidRPr="00DA449C" w:rsidRDefault="00DA449C" w:rsidP="00DA449C">
      <w:pPr>
        <w:keepNext/>
        <w:tabs>
          <w:tab w:val="left" w:pos="397"/>
          <w:tab w:val="left" w:pos="794"/>
          <w:tab w:val="left" w:pos="1191"/>
        </w:tabs>
        <w:jc w:val="center"/>
        <w:outlineLvl w:val="2"/>
        <w:rPr>
          <w:rFonts w:ascii="Palatino Linotype" w:hAnsi="Palatino Linotype"/>
          <w:bCs/>
          <w:sz w:val="22"/>
          <w:szCs w:val="22"/>
          <w:lang w:val="nl-NL"/>
        </w:rPr>
      </w:pPr>
      <w:r w:rsidRPr="00DA449C">
        <w:rPr>
          <w:rFonts w:ascii="Palatino Linotype" w:hAnsi="Palatino Linotype"/>
          <w:bCs/>
          <w:sz w:val="22"/>
          <w:szCs w:val="22"/>
          <w:lang w:val="nl-NL"/>
        </w:rPr>
        <w:t>Artikel 23</w:t>
      </w:r>
    </w:p>
    <w:p w14:paraId="47FBE855" w14:textId="77777777" w:rsidR="00DA449C" w:rsidRPr="00DA449C" w:rsidRDefault="00DA449C" w:rsidP="00DA449C">
      <w:pPr>
        <w:jc w:val="center"/>
        <w:rPr>
          <w:rFonts w:ascii="Palatino Linotype" w:hAnsi="Palatino Linotype"/>
          <w:sz w:val="22"/>
          <w:szCs w:val="22"/>
          <w:lang w:val="nl-NL"/>
        </w:rPr>
      </w:pPr>
    </w:p>
    <w:p w14:paraId="260CE829" w14:textId="77777777" w:rsidR="00DA449C" w:rsidRPr="00DA449C" w:rsidRDefault="00DA449C" w:rsidP="00DA449C">
      <w:pPr>
        <w:widowControl/>
        <w:numPr>
          <w:ilvl w:val="0"/>
          <w:numId w:val="25"/>
        </w:numPr>
        <w:tabs>
          <w:tab w:val="left" w:pos="397"/>
          <w:tab w:val="left" w:pos="794"/>
          <w:tab w:val="left" w:pos="1191"/>
        </w:tabs>
        <w:contextualSpacing/>
        <w:jc w:val="both"/>
        <w:rPr>
          <w:rFonts w:ascii="Palatino Linotype" w:hAnsi="Palatino Linotype"/>
          <w:sz w:val="22"/>
          <w:szCs w:val="22"/>
          <w:lang w:val="nl-NL"/>
        </w:rPr>
      </w:pPr>
      <w:r w:rsidRPr="00DA449C">
        <w:rPr>
          <w:rFonts w:ascii="Palatino Linotype" w:hAnsi="Palatino Linotype"/>
          <w:sz w:val="22"/>
          <w:szCs w:val="22"/>
          <w:lang w:val="nl-NL"/>
        </w:rPr>
        <w:t>(vervallen)</w:t>
      </w:r>
    </w:p>
    <w:p w14:paraId="58333A38" w14:textId="77777777" w:rsidR="00DA449C" w:rsidRPr="00DA449C" w:rsidRDefault="00DA449C" w:rsidP="00DA449C">
      <w:pPr>
        <w:widowControl/>
        <w:numPr>
          <w:ilvl w:val="0"/>
          <w:numId w:val="25"/>
        </w:numPr>
        <w:tabs>
          <w:tab w:val="left" w:pos="397"/>
          <w:tab w:val="left" w:pos="794"/>
          <w:tab w:val="left" w:pos="1191"/>
        </w:tabs>
        <w:contextualSpacing/>
        <w:jc w:val="both"/>
        <w:rPr>
          <w:rFonts w:ascii="Palatino Linotype" w:hAnsi="Palatino Linotype"/>
          <w:sz w:val="22"/>
          <w:szCs w:val="22"/>
          <w:lang w:val="nl-NL"/>
        </w:rPr>
      </w:pPr>
      <w:r w:rsidRPr="00DA449C">
        <w:rPr>
          <w:rFonts w:ascii="Palatino Linotype" w:hAnsi="Palatino Linotype"/>
          <w:sz w:val="22"/>
          <w:szCs w:val="22"/>
          <w:lang w:val="nl-NL"/>
        </w:rPr>
        <w:t>Bij landsbesluit, houdende algemene maatregelen, worden de faciliteiten voor de tot de Centrale</w:t>
      </w:r>
      <w:r w:rsidRPr="00DA449C">
        <w:rPr>
          <w:rFonts w:ascii="Palatino Linotype" w:hAnsi="Palatino Linotype"/>
          <w:bCs/>
          <w:sz w:val="22"/>
          <w:szCs w:val="22"/>
          <w:lang w:val="nl-NL"/>
        </w:rPr>
        <w:t xml:space="preserve"> </w:t>
      </w:r>
      <w:r w:rsidRPr="00DA449C">
        <w:rPr>
          <w:rFonts w:ascii="Palatino Linotype" w:hAnsi="Palatino Linotype"/>
          <w:sz w:val="22"/>
          <w:szCs w:val="22"/>
          <w:lang w:val="nl-NL"/>
        </w:rPr>
        <w:t>Commissie toegelaten organisaties vastgesteld. Deze faciliteiten betreffen onder andere de kosten verbonden aan de vertegenwoordiging van de organisaties in de verschillende overlegsituaties alsmede van het volgen van kadercursussen en andere relevante opleidingen door bestuurders van de respectievelijke organisaties.</w:t>
      </w:r>
    </w:p>
    <w:p w14:paraId="404D6191" w14:textId="77777777" w:rsidR="00DA449C" w:rsidRPr="00DA449C" w:rsidRDefault="00DA449C" w:rsidP="00DA449C">
      <w:pPr>
        <w:tabs>
          <w:tab w:val="left" w:pos="397"/>
          <w:tab w:val="left" w:pos="794"/>
          <w:tab w:val="left" w:pos="1191"/>
        </w:tabs>
        <w:jc w:val="both"/>
        <w:rPr>
          <w:rFonts w:ascii="Palatino Linotype" w:hAnsi="Palatino Linotype"/>
          <w:sz w:val="22"/>
          <w:szCs w:val="22"/>
          <w:lang w:val="nl-NL"/>
        </w:rPr>
      </w:pPr>
    </w:p>
    <w:p w14:paraId="73A4CEBD" w14:textId="77777777" w:rsidR="00DA449C" w:rsidRPr="00DA449C" w:rsidRDefault="00DA449C" w:rsidP="00DA449C">
      <w:pPr>
        <w:keepNext/>
        <w:tabs>
          <w:tab w:val="left" w:pos="397"/>
          <w:tab w:val="left" w:pos="794"/>
          <w:tab w:val="left" w:pos="1191"/>
        </w:tabs>
        <w:jc w:val="center"/>
        <w:outlineLvl w:val="2"/>
        <w:rPr>
          <w:rFonts w:ascii="Palatino Linotype" w:hAnsi="Palatino Linotype"/>
          <w:bCs/>
          <w:sz w:val="22"/>
          <w:szCs w:val="22"/>
          <w:lang w:val="nl-NL"/>
        </w:rPr>
      </w:pPr>
      <w:r w:rsidRPr="00DA449C">
        <w:rPr>
          <w:rFonts w:ascii="Palatino Linotype" w:hAnsi="Palatino Linotype"/>
          <w:bCs/>
          <w:sz w:val="22"/>
          <w:szCs w:val="22"/>
          <w:lang w:val="nl-NL"/>
        </w:rPr>
        <w:t>Artikel 24</w:t>
      </w:r>
    </w:p>
    <w:p w14:paraId="149C2B6A" w14:textId="77777777" w:rsidR="00DA449C" w:rsidRPr="00DA449C" w:rsidRDefault="00DA449C" w:rsidP="00DA449C">
      <w:pPr>
        <w:tabs>
          <w:tab w:val="left" w:pos="397"/>
          <w:tab w:val="left" w:pos="794"/>
          <w:tab w:val="left" w:pos="1191"/>
        </w:tabs>
        <w:jc w:val="center"/>
        <w:rPr>
          <w:rFonts w:ascii="Palatino Linotype" w:hAnsi="Palatino Linotype"/>
          <w:bCs/>
          <w:sz w:val="22"/>
          <w:szCs w:val="22"/>
          <w:lang w:val="nl-NL"/>
        </w:rPr>
      </w:pPr>
      <w:r w:rsidRPr="00DA449C">
        <w:rPr>
          <w:rFonts w:ascii="Palatino Linotype" w:hAnsi="Palatino Linotype"/>
          <w:bCs/>
          <w:sz w:val="22"/>
          <w:szCs w:val="22"/>
          <w:lang w:val="nl-NL"/>
        </w:rPr>
        <w:t>(vervallen)</w:t>
      </w:r>
    </w:p>
    <w:p w14:paraId="463A33A3" w14:textId="77777777" w:rsidR="00DA449C" w:rsidRPr="00DA449C" w:rsidRDefault="00DA449C" w:rsidP="00DA449C">
      <w:pPr>
        <w:tabs>
          <w:tab w:val="left" w:pos="397"/>
          <w:tab w:val="left" w:pos="794"/>
          <w:tab w:val="left" w:pos="1191"/>
        </w:tabs>
        <w:jc w:val="center"/>
        <w:rPr>
          <w:rFonts w:ascii="Palatino Linotype" w:hAnsi="Palatino Linotype"/>
          <w:bCs/>
          <w:sz w:val="22"/>
          <w:szCs w:val="22"/>
          <w:lang w:val="nl-NL"/>
        </w:rPr>
      </w:pPr>
    </w:p>
    <w:p w14:paraId="41DBBB8C" w14:textId="77777777" w:rsidR="00DA449C" w:rsidRPr="00DA449C" w:rsidRDefault="00DA449C" w:rsidP="00DA449C">
      <w:pPr>
        <w:tabs>
          <w:tab w:val="left" w:pos="397"/>
          <w:tab w:val="left" w:pos="794"/>
          <w:tab w:val="left" w:pos="1191"/>
        </w:tabs>
        <w:jc w:val="center"/>
        <w:rPr>
          <w:rFonts w:ascii="Palatino Linotype" w:hAnsi="Palatino Linotype"/>
          <w:bCs/>
          <w:sz w:val="22"/>
          <w:szCs w:val="22"/>
          <w:lang w:val="nl-NL"/>
        </w:rPr>
      </w:pPr>
      <w:r w:rsidRPr="00DA449C">
        <w:rPr>
          <w:rFonts w:ascii="Palatino Linotype" w:hAnsi="Palatino Linotype"/>
          <w:bCs/>
          <w:sz w:val="22"/>
          <w:szCs w:val="22"/>
          <w:lang w:val="nl-NL"/>
        </w:rPr>
        <w:t>Artikel 25</w:t>
      </w:r>
    </w:p>
    <w:p w14:paraId="25B6C0B4" w14:textId="77777777" w:rsidR="00DA449C" w:rsidRPr="00DA449C" w:rsidRDefault="00DA449C" w:rsidP="00DA449C">
      <w:pPr>
        <w:jc w:val="center"/>
        <w:rPr>
          <w:lang w:val="nl-NL"/>
        </w:rPr>
      </w:pPr>
      <w:r w:rsidRPr="00DA449C">
        <w:rPr>
          <w:rFonts w:ascii="Palatino Linotype" w:hAnsi="Palatino Linotype"/>
          <w:bCs/>
          <w:sz w:val="22"/>
          <w:szCs w:val="22"/>
          <w:lang w:val="nl-NL"/>
        </w:rPr>
        <w:t>(vervallen)</w:t>
      </w:r>
    </w:p>
    <w:p w14:paraId="6F0B80DF" w14:textId="77777777" w:rsidR="00DA449C" w:rsidRPr="00DA449C" w:rsidRDefault="00DA449C" w:rsidP="00DA449C">
      <w:pPr>
        <w:tabs>
          <w:tab w:val="left" w:pos="397"/>
          <w:tab w:val="left" w:pos="794"/>
          <w:tab w:val="left" w:pos="1191"/>
        </w:tabs>
        <w:jc w:val="both"/>
        <w:rPr>
          <w:rFonts w:ascii="Palatino Linotype" w:hAnsi="Palatino Linotype"/>
          <w:sz w:val="22"/>
          <w:szCs w:val="22"/>
          <w:lang w:val="nl-NL"/>
        </w:rPr>
      </w:pPr>
    </w:p>
    <w:p w14:paraId="275BCFCB" w14:textId="77777777" w:rsidR="00DA449C" w:rsidRPr="00DA449C" w:rsidRDefault="00DA449C" w:rsidP="00DA449C">
      <w:pPr>
        <w:keepNext/>
        <w:tabs>
          <w:tab w:val="left" w:pos="397"/>
          <w:tab w:val="left" w:pos="794"/>
          <w:tab w:val="left" w:pos="1191"/>
        </w:tabs>
        <w:jc w:val="center"/>
        <w:outlineLvl w:val="2"/>
        <w:rPr>
          <w:rFonts w:ascii="Palatino Linotype" w:hAnsi="Palatino Linotype"/>
          <w:bCs/>
          <w:sz w:val="22"/>
          <w:szCs w:val="22"/>
          <w:lang w:val="nl-NL"/>
        </w:rPr>
      </w:pPr>
      <w:r w:rsidRPr="00DA449C">
        <w:rPr>
          <w:rFonts w:ascii="Palatino Linotype" w:hAnsi="Palatino Linotype"/>
          <w:bCs/>
          <w:sz w:val="22"/>
          <w:szCs w:val="22"/>
          <w:lang w:val="nl-NL"/>
        </w:rPr>
        <w:t>Artikel 26</w:t>
      </w:r>
    </w:p>
    <w:p w14:paraId="083F5E10" w14:textId="77777777" w:rsidR="00DA449C" w:rsidRPr="00DA449C" w:rsidRDefault="00DA449C" w:rsidP="00DA449C">
      <w:pPr>
        <w:tabs>
          <w:tab w:val="left" w:pos="397"/>
          <w:tab w:val="left" w:pos="794"/>
          <w:tab w:val="left" w:pos="1191"/>
        </w:tabs>
        <w:jc w:val="center"/>
        <w:rPr>
          <w:rFonts w:ascii="Palatino Linotype" w:hAnsi="Palatino Linotype"/>
          <w:sz w:val="22"/>
          <w:szCs w:val="22"/>
          <w:lang w:val="nl-NL"/>
        </w:rPr>
      </w:pPr>
      <w:r w:rsidRPr="00DA449C">
        <w:rPr>
          <w:rFonts w:ascii="Palatino Linotype" w:hAnsi="Palatino Linotype"/>
          <w:sz w:val="22"/>
          <w:szCs w:val="22"/>
          <w:lang w:val="nl-NL"/>
        </w:rPr>
        <w:t>(vervallen)</w:t>
      </w:r>
    </w:p>
    <w:p w14:paraId="020851F3" w14:textId="77777777" w:rsidR="00DA449C" w:rsidRPr="00DA449C" w:rsidRDefault="00DA449C" w:rsidP="00DA449C">
      <w:pPr>
        <w:tabs>
          <w:tab w:val="left" w:pos="397"/>
          <w:tab w:val="left" w:pos="794"/>
          <w:tab w:val="left" w:pos="1191"/>
        </w:tabs>
        <w:jc w:val="center"/>
        <w:rPr>
          <w:rFonts w:ascii="Palatino Linotype" w:hAnsi="Palatino Linotype"/>
          <w:bCs/>
          <w:sz w:val="22"/>
          <w:szCs w:val="22"/>
          <w:lang w:val="nl-NL"/>
        </w:rPr>
      </w:pPr>
    </w:p>
    <w:p w14:paraId="143C8B5B" w14:textId="77777777" w:rsidR="00DA449C" w:rsidRPr="00DA449C" w:rsidRDefault="00DA449C" w:rsidP="00DA449C">
      <w:pPr>
        <w:tabs>
          <w:tab w:val="left" w:pos="397"/>
          <w:tab w:val="left" w:pos="794"/>
          <w:tab w:val="left" w:pos="1191"/>
        </w:tabs>
        <w:jc w:val="center"/>
        <w:rPr>
          <w:rFonts w:ascii="Palatino Linotype" w:hAnsi="Palatino Linotype"/>
          <w:bCs/>
          <w:sz w:val="22"/>
          <w:szCs w:val="22"/>
          <w:lang w:val="nl-NL"/>
        </w:rPr>
      </w:pPr>
      <w:r w:rsidRPr="00DA449C">
        <w:rPr>
          <w:rFonts w:ascii="Palatino Linotype" w:hAnsi="Palatino Linotype"/>
          <w:bCs/>
          <w:sz w:val="22"/>
          <w:szCs w:val="22"/>
          <w:lang w:val="nl-NL"/>
        </w:rPr>
        <w:t>Artikel 27</w:t>
      </w:r>
    </w:p>
    <w:p w14:paraId="71BADEC0" w14:textId="77777777" w:rsidR="00DA449C" w:rsidRPr="00DA449C" w:rsidRDefault="00DA449C" w:rsidP="00DA449C">
      <w:pPr>
        <w:tabs>
          <w:tab w:val="left" w:pos="397"/>
          <w:tab w:val="left" w:pos="794"/>
          <w:tab w:val="left" w:pos="1191"/>
        </w:tabs>
        <w:jc w:val="center"/>
        <w:rPr>
          <w:rFonts w:ascii="Palatino Linotype" w:hAnsi="Palatino Linotype"/>
          <w:bCs/>
          <w:sz w:val="22"/>
          <w:szCs w:val="22"/>
          <w:lang w:val="nl-NL"/>
        </w:rPr>
      </w:pPr>
    </w:p>
    <w:p w14:paraId="2900618A" w14:textId="77777777" w:rsidR="00DA449C" w:rsidRPr="00DA449C" w:rsidRDefault="00DA449C" w:rsidP="00DA449C">
      <w:pPr>
        <w:tabs>
          <w:tab w:val="left" w:pos="397"/>
          <w:tab w:val="left" w:pos="794"/>
          <w:tab w:val="left" w:pos="1191"/>
        </w:tabs>
        <w:jc w:val="both"/>
        <w:rPr>
          <w:rFonts w:ascii="Palatino Linotype" w:hAnsi="Palatino Linotype"/>
          <w:sz w:val="22"/>
          <w:szCs w:val="22"/>
          <w:lang w:val="nl-NL"/>
        </w:rPr>
      </w:pPr>
      <w:r w:rsidRPr="00DA449C">
        <w:rPr>
          <w:rFonts w:ascii="Palatino Linotype" w:hAnsi="Palatino Linotype"/>
          <w:sz w:val="22"/>
          <w:szCs w:val="22"/>
          <w:lang w:val="nl-NL"/>
        </w:rPr>
        <w:t>Deze landsverordening kan worden aangehaald als: Landsverordening Georganiseerd Overleg in Ambtenarenzaken.</w:t>
      </w:r>
    </w:p>
    <w:p w14:paraId="07D8D107" w14:textId="77777777" w:rsidR="007318BC" w:rsidRPr="007318BC" w:rsidRDefault="007318BC" w:rsidP="007318BC">
      <w:pPr>
        <w:suppressAutoHyphens/>
        <w:rPr>
          <w:rFonts w:ascii="Palatino Linotype" w:hAnsi="Palatino Linotype"/>
          <w:sz w:val="22"/>
          <w:szCs w:val="22"/>
          <w:lang w:val="nl-NL"/>
        </w:rPr>
      </w:pPr>
    </w:p>
    <w:p w14:paraId="23D7A168" w14:textId="77777777" w:rsidR="007318BC" w:rsidRPr="007318BC" w:rsidRDefault="007318BC" w:rsidP="007318BC">
      <w:pPr>
        <w:suppressAutoHyphens/>
        <w:jc w:val="center"/>
        <w:rPr>
          <w:rFonts w:ascii="Palatino Linotype" w:hAnsi="Palatino Linotype"/>
          <w:sz w:val="22"/>
          <w:szCs w:val="22"/>
          <w:lang w:val="nl-NL"/>
        </w:rPr>
      </w:pPr>
      <w:r w:rsidRPr="007318BC">
        <w:rPr>
          <w:rFonts w:ascii="Palatino Linotype" w:hAnsi="Palatino Linotype"/>
          <w:sz w:val="22"/>
          <w:szCs w:val="22"/>
          <w:lang w:val="nl-NL"/>
        </w:rPr>
        <w:t>***</w:t>
      </w:r>
    </w:p>
    <w:p w14:paraId="427FA5CB" w14:textId="77777777" w:rsidR="00022D76" w:rsidRPr="00022D76" w:rsidRDefault="00022D76" w:rsidP="00022D76">
      <w:pPr>
        <w:rPr>
          <w:lang w:val="nl-NL"/>
        </w:rPr>
        <w:sectPr w:rsidR="00022D76" w:rsidRPr="00022D76">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14:paraId="742E69A5" w14:textId="77777777" w:rsidR="00331A7B" w:rsidRPr="000A0DBD" w:rsidRDefault="00331A7B" w:rsidP="00331A7B">
      <w:pPr>
        <w:tabs>
          <w:tab w:val="left" w:pos="-720"/>
        </w:tabs>
        <w:suppressAutoHyphens/>
        <w:jc w:val="both"/>
        <w:rPr>
          <w:rFonts w:ascii="Palatino Linotype" w:hAnsi="Palatino Linotype"/>
          <w:bCs/>
          <w:spacing w:val="-3"/>
          <w:sz w:val="22"/>
          <w:szCs w:val="22"/>
          <w:lang w:val="nl-NL"/>
        </w:rPr>
      </w:pPr>
    </w:p>
    <w:sectPr w:rsidR="00331A7B" w:rsidRPr="000A0DBD">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79397" w14:textId="77777777" w:rsidR="0043209F" w:rsidRDefault="0043209F">
      <w:pPr>
        <w:spacing w:line="20" w:lineRule="exact"/>
      </w:pPr>
    </w:p>
  </w:endnote>
  <w:endnote w:type="continuationSeparator" w:id="0">
    <w:p w14:paraId="5F98735F" w14:textId="77777777" w:rsidR="0043209F" w:rsidRDefault="0043209F">
      <w:r>
        <w:t xml:space="preserve"> </w:t>
      </w:r>
    </w:p>
  </w:endnote>
  <w:endnote w:type="continuationNotice" w:id="1">
    <w:p w14:paraId="666082BB"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286F9" w14:textId="77777777" w:rsidR="0043209F" w:rsidRDefault="0043209F">
      <w:r>
        <w:separator/>
      </w:r>
    </w:p>
  </w:footnote>
  <w:footnote w:type="continuationSeparator" w:id="0">
    <w:p w14:paraId="2ED546CD" w14:textId="77777777" w:rsidR="0043209F" w:rsidRDefault="0043209F">
      <w:r>
        <w:continuationSeparator/>
      </w:r>
    </w:p>
  </w:footnote>
  <w:footnote w:id="1">
    <w:p w14:paraId="4990396E" w14:textId="6DBEC386" w:rsidR="007318BC" w:rsidRPr="002B11FC" w:rsidRDefault="007318BC" w:rsidP="007318BC">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270D8C">
        <w:rPr>
          <w:rFonts w:ascii="Palatino Linotype" w:hAnsi="Palatino Linotype"/>
          <w:sz w:val="18"/>
          <w:szCs w:val="18"/>
          <w:lang w:val="nl-NL"/>
        </w:rPr>
        <w:t>lands</w:t>
      </w:r>
      <w:r w:rsidR="00DA449C">
        <w:rPr>
          <w:rFonts w:ascii="Palatino Linotype" w:hAnsi="Palatino Linotype"/>
          <w:sz w:val="18"/>
          <w:szCs w:val="18"/>
          <w:lang w:val="nl-NL"/>
        </w:rPr>
        <w:t xml:space="preserve">verordening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14:paraId="3CF80003" w14:textId="77777777" w:rsidR="007318BC" w:rsidRPr="00DC6516" w:rsidRDefault="007318BC" w:rsidP="007318BC">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DC6516">
        <w:rPr>
          <w:rFonts w:ascii="Palatino Linotype" w:hAnsi="Palatino Linotype"/>
          <w:sz w:val="18"/>
          <w:szCs w:val="18"/>
          <w:lang w:val="es-ES"/>
        </w:rPr>
        <w:t xml:space="preserve"> </w:t>
      </w:r>
      <w:r w:rsidRPr="00DC6516">
        <w:rPr>
          <w:rFonts w:ascii="Palatino Linotype" w:hAnsi="Palatino Linotype"/>
          <w:sz w:val="18"/>
          <w:szCs w:val="18"/>
          <w:lang w:val="es-ES"/>
        </w:rPr>
        <w:tab/>
        <w:t xml:space="preserve">A.B. 2010, no. 87, </w:t>
      </w:r>
      <w:proofErr w:type="spellStart"/>
      <w:r w:rsidRPr="00DC6516">
        <w:rPr>
          <w:rFonts w:ascii="Palatino Linotype" w:hAnsi="Palatino Linotype"/>
          <w:sz w:val="18"/>
          <w:szCs w:val="18"/>
          <w:lang w:val="es-ES"/>
        </w:rPr>
        <w:t>bijlage</w:t>
      </w:r>
      <w:proofErr w:type="spellEnd"/>
      <w:r w:rsidRPr="00DC6516">
        <w:rPr>
          <w:rFonts w:ascii="Palatino Linotype" w:hAnsi="Palatino Linotype"/>
          <w:sz w:val="18"/>
          <w:szCs w:val="18"/>
          <w:lang w:val="es-ES"/>
        </w:rPr>
        <w:t xml:space="preserve"> a.</w:t>
      </w:r>
    </w:p>
  </w:footnote>
  <w:footnote w:id="3">
    <w:p w14:paraId="11253EC5" w14:textId="30D3D649" w:rsidR="007318BC" w:rsidRPr="00DC6516" w:rsidRDefault="007318BC" w:rsidP="007318BC">
      <w:pPr>
        <w:pStyle w:val="FootnoteText"/>
        <w:rPr>
          <w:rFonts w:ascii="Palatino Linotype" w:hAnsi="Palatino Linotype"/>
          <w:sz w:val="18"/>
          <w:szCs w:val="18"/>
          <w:lang w:val="es-ES"/>
        </w:rPr>
      </w:pPr>
      <w:r w:rsidRPr="000C51B6">
        <w:rPr>
          <w:rStyle w:val="FootnoteReference"/>
          <w:rFonts w:ascii="Palatino Linotype" w:hAnsi="Palatino Linotype"/>
          <w:sz w:val="18"/>
          <w:szCs w:val="18"/>
        </w:rPr>
        <w:footnoteRef/>
      </w:r>
      <w:r w:rsidR="005E1873">
        <w:rPr>
          <w:rFonts w:ascii="Palatino Linotype" w:hAnsi="Palatino Linotype"/>
          <w:sz w:val="18"/>
          <w:szCs w:val="18"/>
          <w:lang w:val="nl-NL"/>
        </w:rPr>
        <w:t xml:space="preserve"> </w:t>
      </w:r>
      <w:r w:rsidR="00F428C4" w:rsidRPr="00331CD8">
        <w:rPr>
          <w:rFonts w:ascii="Palatino Linotype" w:hAnsi="Palatino Linotype"/>
          <w:sz w:val="18"/>
          <w:szCs w:val="18"/>
          <w:lang w:val="nl-NL"/>
        </w:rPr>
        <w:t xml:space="preserve">P.B. </w:t>
      </w:r>
      <w:r w:rsidR="00DA449C">
        <w:rPr>
          <w:rFonts w:ascii="Palatino Linotype" w:hAnsi="Palatino Linotype"/>
          <w:sz w:val="18"/>
          <w:szCs w:val="18"/>
          <w:lang w:val="nl-NL"/>
        </w:rPr>
        <w:t>2008</w:t>
      </w:r>
      <w:r w:rsidR="00F428C4" w:rsidRPr="00331CD8">
        <w:rPr>
          <w:rFonts w:ascii="Palatino Linotype" w:hAnsi="Palatino Linotype"/>
          <w:sz w:val="18"/>
          <w:szCs w:val="18"/>
          <w:lang w:val="nl-NL"/>
        </w:rPr>
        <w:t>, no. 7</w:t>
      </w:r>
      <w:r w:rsidR="00DA449C">
        <w:rPr>
          <w:rFonts w:ascii="Palatino Linotype" w:hAnsi="Palatino Linotype"/>
          <w:sz w:val="18"/>
          <w:szCs w:val="18"/>
          <w:lang w:val="nl-NL"/>
        </w:rPr>
        <w:t>0</w:t>
      </w:r>
      <w:r w:rsidRPr="00DC6516">
        <w:rPr>
          <w:rFonts w:ascii="Palatino Linotype" w:hAnsi="Palatino Linotype"/>
          <w:sz w:val="18"/>
          <w:szCs w:val="18"/>
          <w:lang w:val="es-ES"/>
        </w:rPr>
        <w:t xml:space="preserve">. </w:t>
      </w:r>
    </w:p>
  </w:footnote>
  <w:footnote w:id="4">
    <w:p w14:paraId="45ACF4A6" w14:textId="77777777" w:rsidR="00DA449C" w:rsidRPr="000D58A1" w:rsidRDefault="00DA449C" w:rsidP="00DA449C">
      <w:pPr>
        <w:pStyle w:val="FootnoteText"/>
        <w:rPr>
          <w:rFonts w:ascii="Palatino Linotype" w:hAnsi="Palatino Linotype"/>
          <w:sz w:val="18"/>
          <w:szCs w:val="18"/>
        </w:rPr>
      </w:pPr>
      <w:r w:rsidRPr="00B9472A">
        <w:rPr>
          <w:rStyle w:val="FootnoteReference"/>
          <w:rFonts w:ascii="Palatino Linotype" w:hAnsi="Palatino Linotype"/>
          <w:sz w:val="18"/>
          <w:szCs w:val="18"/>
        </w:rPr>
        <w:footnoteRef/>
      </w:r>
      <w:r w:rsidRPr="000421EE">
        <w:rPr>
          <w:rFonts w:ascii="Palatino Linotype" w:hAnsi="Palatino Linotype"/>
          <w:sz w:val="18"/>
          <w:szCs w:val="18"/>
        </w:rPr>
        <w:t xml:space="preserve"> </w:t>
      </w:r>
      <w:r w:rsidRPr="000D58A1">
        <w:rPr>
          <w:rFonts w:ascii="Palatino Linotype" w:hAnsi="Palatino Linotype"/>
          <w:sz w:val="18"/>
          <w:szCs w:val="18"/>
        </w:rPr>
        <w:t xml:space="preserve">A.B. 2010, no. 87, </w:t>
      </w:r>
      <w:proofErr w:type="spellStart"/>
      <w:r w:rsidRPr="000D58A1">
        <w:rPr>
          <w:rFonts w:ascii="Palatino Linotype" w:hAnsi="Palatino Linotype"/>
          <w:sz w:val="18"/>
          <w:szCs w:val="18"/>
        </w:rPr>
        <w:t>bijlage</w:t>
      </w:r>
      <w:proofErr w:type="spellEnd"/>
      <w:r w:rsidRPr="000D58A1">
        <w:rPr>
          <w:rFonts w:ascii="Palatino Linotype" w:hAnsi="Palatino Linotype"/>
          <w:sz w:val="18"/>
          <w:szCs w:val="18"/>
        </w:rPr>
        <w:t xml:space="preserve"> 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A40C2" w14:textId="425692BB" w:rsidR="00022D76" w:rsidRDefault="007318BC">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4B143A40" wp14:editId="620B8B54">
              <wp:simplePos x="0" y="0"/>
              <wp:positionH relativeFrom="page">
                <wp:posOffset>824230</wp:posOffset>
              </wp:positionH>
              <wp:positionV relativeFrom="paragraph">
                <wp:posOffset>-635</wp:posOffset>
              </wp:positionV>
              <wp:extent cx="5914390" cy="15240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77F7C67" w14:textId="77777777" w:rsidR="007318BC" w:rsidRDefault="007318BC" w:rsidP="007318B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43A40" id="Rectangle 2" o:spid="_x0000_s1026" style="position:absolute;left:0;text-align:left;margin-left:64.9pt;margin-top:-.05pt;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Q884AIAAF4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" o:allowincell="f" filled="f" stroked="f" strokeweight="0">
              <v:textbox inset="0,0,0,0">
                <w:txbxContent>
                  <w:p w14:paraId="777F7C67" w14:textId="77777777" w:rsidR="007318BC" w:rsidRDefault="007318BC" w:rsidP="007318B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7A7596">
      <w:rPr>
        <w:rFonts w:ascii="Times New Roman" w:hAnsi="Times New Roman"/>
        <w:b/>
        <w:spacing w:val="-4"/>
        <w:sz w:val="36"/>
      </w:rPr>
      <w:t>10</w:t>
    </w:r>
    <w:r w:rsidR="00DA449C">
      <w:rPr>
        <w:rFonts w:ascii="Times New Roman" w:hAnsi="Times New Roman"/>
        <w:b/>
        <w:spacing w:val="-4"/>
        <w:sz w:val="36"/>
      </w:rPr>
      <w:t>8</w:t>
    </w:r>
    <w:r>
      <w:rPr>
        <w:rFonts w:ascii="Times New Roman" w:hAnsi="Times New Roman"/>
        <w:b/>
        <w:spacing w:val="-4"/>
        <w:sz w:val="36"/>
      </w:rPr>
      <w:t xml:space="preserve"> (GT)</w:t>
    </w:r>
  </w:p>
  <w:p w14:paraId="26430C40"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01C45" w14:textId="096BFE03"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6FED0CCD" wp14:editId="7410F4E7">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BCDE57"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D0CCD" 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14:paraId="21BCDE57"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7A7596">
      <w:rPr>
        <w:rFonts w:ascii="Times New Roman" w:hAnsi="Times New Roman"/>
        <w:b/>
        <w:spacing w:val="-4"/>
        <w:sz w:val="36"/>
      </w:rPr>
      <w:t>10</w:t>
    </w:r>
    <w:r w:rsidR="00DA449C">
      <w:rPr>
        <w:rFonts w:ascii="Times New Roman" w:hAnsi="Times New Roman"/>
        <w:b/>
        <w:spacing w:val="-4"/>
        <w:sz w:val="36"/>
      </w:rPr>
      <w:t>8</w:t>
    </w:r>
    <w:r w:rsidR="007318BC">
      <w:rPr>
        <w:rFonts w:ascii="Times New Roman" w:hAnsi="Times New Roman"/>
        <w:b/>
        <w:spacing w:val="-4"/>
        <w:sz w:val="36"/>
      </w:rPr>
      <w:t xml:space="preserve"> (GT)</w:t>
    </w:r>
  </w:p>
  <w:p w14:paraId="5F494A79" w14:textId="77777777" w:rsidR="00022D76" w:rsidRDefault="00022D76">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C74DC"/>
    <w:multiLevelType w:val="hybridMultilevel"/>
    <w:tmpl w:val="B7D85B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99024C"/>
    <w:multiLevelType w:val="hybridMultilevel"/>
    <w:tmpl w:val="FA5E8E16"/>
    <w:lvl w:ilvl="0" w:tplc="ECB8F76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D42B11"/>
    <w:multiLevelType w:val="hybridMultilevel"/>
    <w:tmpl w:val="D70CA7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712BB3"/>
    <w:multiLevelType w:val="hybridMultilevel"/>
    <w:tmpl w:val="E53A84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75137D"/>
    <w:multiLevelType w:val="hybridMultilevel"/>
    <w:tmpl w:val="98E4FC78"/>
    <w:lvl w:ilvl="0" w:tplc="0409000F">
      <w:start w:val="1"/>
      <w:numFmt w:val="decimal"/>
      <w:lvlText w:val="%1."/>
      <w:lvlJc w:val="left"/>
      <w:pPr>
        <w:tabs>
          <w:tab w:val="num" w:pos="720"/>
        </w:tabs>
        <w:ind w:left="720" w:hanging="360"/>
      </w:pPr>
    </w:lvl>
    <w:lvl w:ilvl="1" w:tplc="0FE645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DC1A1D"/>
    <w:multiLevelType w:val="hybridMultilevel"/>
    <w:tmpl w:val="209A0E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970BC4"/>
    <w:multiLevelType w:val="hybridMultilevel"/>
    <w:tmpl w:val="298684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A63B71"/>
    <w:multiLevelType w:val="hybridMultilevel"/>
    <w:tmpl w:val="928A4E2E"/>
    <w:lvl w:ilvl="0" w:tplc="0409000F">
      <w:start w:val="1"/>
      <w:numFmt w:val="decimal"/>
      <w:lvlText w:val="%1."/>
      <w:lvlJc w:val="left"/>
      <w:pPr>
        <w:tabs>
          <w:tab w:val="num" w:pos="720"/>
        </w:tabs>
        <w:ind w:left="720" w:hanging="360"/>
      </w:pPr>
    </w:lvl>
    <w:lvl w:ilvl="1" w:tplc="BBD43EA4">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581F91"/>
    <w:multiLevelType w:val="hybridMultilevel"/>
    <w:tmpl w:val="651436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131159"/>
    <w:multiLevelType w:val="hybridMultilevel"/>
    <w:tmpl w:val="B4969656"/>
    <w:lvl w:ilvl="0" w:tplc="0409000F">
      <w:start w:val="1"/>
      <w:numFmt w:val="decimal"/>
      <w:lvlText w:val="%1."/>
      <w:lvlJc w:val="left"/>
      <w:pPr>
        <w:tabs>
          <w:tab w:val="num" w:pos="720"/>
        </w:tabs>
        <w:ind w:left="720" w:hanging="360"/>
      </w:pPr>
    </w:lvl>
    <w:lvl w:ilvl="1" w:tplc="DE0CEEE2">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50739A"/>
    <w:multiLevelType w:val="hybridMultilevel"/>
    <w:tmpl w:val="66706A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1006CBF"/>
    <w:multiLevelType w:val="hybridMultilevel"/>
    <w:tmpl w:val="5A248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CD3476"/>
    <w:multiLevelType w:val="hybridMultilevel"/>
    <w:tmpl w:val="B0F89A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067019"/>
    <w:multiLevelType w:val="hybridMultilevel"/>
    <w:tmpl w:val="894EF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D37D37"/>
    <w:multiLevelType w:val="hybridMultilevel"/>
    <w:tmpl w:val="EB0812A2"/>
    <w:lvl w:ilvl="0" w:tplc="4D820330">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63178B"/>
    <w:multiLevelType w:val="hybridMultilevel"/>
    <w:tmpl w:val="CB5E8A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A15D31"/>
    <w:multiLevelType w:val="hybridMultilevel"/>
    <w:tmpl w:val="6B2847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AE0915"/>
    <w:multiLevelType w:val="hybridMultilevel"/>
    <w:tmpl w:val="1938F2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2E7980"/>
    <w:multiLevelType w:val="hybridMultilevel"/>
    <w:tmpl w:val="EA0A3F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6D6652"/>
    <w:multiLevelType w:val="hybridMultilevel"/>
    <w:tmpl w:val="645EC6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CAD256B"/>
    <w:multiLevelType w:val="hybridMultilevel"/>
    <w:tmpl w:val="F4620696"/>
    <w:lvl w:ilvl="0" w:tplc="04090019">
      <w:start w:val="1"/>
      <w:numFmt w:val="lowerLetter"/>
      <w:lvlText w:val="%1."/>
      <w:lvlJc w:val="left"/>
      <w:pPr>
        <w:ind w:left="4320" w:hanging="360"/>
      </w:pPr>
    </w:lvl>
    <w:lvl w:ilvl="1" w:tplc="04090019">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1" w15:restartNumberingAfterBreak="0">
    <w:nsid w:val="5E44203B"/>
    <w:multiLevelType w:val="hybridMultilevel"/>
    <w:tmpl w:val="24DEB5CA"/>
    <w:lvl w:ilvl="0" w:tplc="AB06A120">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FAD4433"/>
    <w:multiLevelType w:val="hybridMultilevel"/>
    <w:tmpl w:val="1D2C91E2"/>
    <w:lvl w:ilvl="0" w:tplc="02FE3B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2880A72"/>
    <w:multiLevelType w:val="hybridMultilevel"/>
    <w:tmpl w:val="F48066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BBD51F7"/>
    <w:multiLevelType w:val="hybridMultilevel"/>
    <w:tmpl w:val="28C67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16"/>
  </w:num>
  <w:num w:numId="4">
    <w:abstractNumId w:val="13"/>
  </w:num>
  <w:num w:numId="5">
    <w:abstractNumId w:val="11"/>
  </w:num>
  <w:num w:numId="6">
    <w:abstractNumId w:val="24"/>
  </w:num>
  <w:num w:numId="7">
    <w:abstractNumId w:val="18"/>
  </w:num>
  <w:num w:numId="8">
    <w:abstractNumId w:val="21"/>
  </w:num>
  <w:num w:numId="9">
    <w:abstractNumId w:val="22"/>
  </w:num>
  <w:num w:numId="10">
    <w:abstractNumId w:val="3"/>
  </w:num>
  <w:num w:numId="11">
    <w:abstractNumId w:val="17"/>
  </w:num>
  <w:num w:numId="12">
    <w:abstractNumId w:val="23"/>
  </w:num>
  <w:num w:numId="13">
    <w:abstractNumId w:val="6"/>
  </w:num>
  <w:num w:numId="14">
    <w:abstractNumId w:val="5"/>
  </w:num>
  <w:num w:numId="15">
    <w:abstractNumId w:val="19"/>
  </w:num>
  <w:num w:numId="16">
    <w:abstractNumId w:val="12"/>
  </w:num>
  <w:num w:numId="17">
    <w:abstractNumId w:val="8"/>
  </w:num>
  <w:num w:numId="18">
    <w:abstractNumId w:val="9"/>
  </w:num>
  <w:num w:numId="19">
    <w:abstractNumId w:val="2"/>
  </w:num>
  <w:num w:numId="20">
    <w:abstractNumId w:val="4"/>
  </w:num>
  <w:num w:numId="21">
    <w:abstractNumId w:val="7"/>
  </w:num>
  <w:num w:numId="22">
    <w:abstractNumId w:val="15"/>
  </w:num>
  <w:num w:numId="23">
    <w:abstractNumId w:val="20"/>
  </w:num>
  <w:num w:numId="24">
    <w:abstractNumId w:val="1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1282E"/>
    <w:rsid w:val="00022D76"/>
    <w:rsid w:val="00023DB3"/>
    <w:rsid w:val="000254C1"/>
    <w:rsid w:val="00033400"/>
    <w:rsid w:val="00064039"/>
    <w:rsid w:val="000829F9"/>
    <w:rsid w:val="000A0DBD"/>
    <w:rsid w:val="0014186C"/>
    <w:rsid w:val="00173FBA"/>
    <w:rsid w:val="001A5354"/>
    <w:rsid w:val="001A7D22"/>
    <w:rsid w:val="001C27B0"/>
    <w:rsid w:val="001C384D"/>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93143"/>
    <w:rsid w:val="005B7EA9"/>
    <w:rsid w:val="005D0989"/>
    <w:rsid w:val="005D39A3"/>
    <w:rsid w:val="005E1873"/>
    <w:rsid w:val="006111B3"/>
    <w:rsid w:val="006147F1"/>
    <w:rsid w:val="006169E6"/>
    <w:rsid w:val="006352D5"/>
    <w:rsid w:val="006725E6"/>
    <w:rsid w:val="006C19FE"/>
    <w:rsid w:val="006F659E"/>
    <w:rsid w:val="007130F8"/>
    <w:rsid w:val="007318BC"/>
    <w:rsid w:val="00781AD6"/>
    <w:rsid w:val="007953A4"/>
    <w:rsid w:val="007A6572"/>
    <w:rsid w:val="007A7596"/>
    <w:rsid w:val="007C7D7D"/>
    <w:rsid w:val="007D4D73"/>
    <w:rsid w:val="007F37E8"/>
    <w:rsid w:val="00803F56"/>
    <w:rsid w:val="008156EB"/>
    <w:rsid w:val="00831996"/>
    <w:rsid w:val="00853D6F"/>
    <w:rsid w:val="00862E7C"/>
    <w:rsid w:val="00864BBA"/>
    <w:rsid w:val="00870E7E"/>
    <w:rsid w:val="008A1329"/>
    <w:rsid w:val="008B0FBF"/>
    <w:rsid w:val="008B338B"/>
    <w:rsid w:val="008C60C3"/>
    <w:rsid w:val="008D67E9"/>
    <w:rsid w:val="008F0F71"/>
    <w:rsid w:val="008F676F"/>
    <w:rsid w:val="00910EBB"/>
    <w:rsid w:val="00957572"/>
    <w:rsid w:val="009E45FD"/>
    <w:rsid w:val="00A0173D"/>
    <w:rsid w:val="00AA53B3"/>
    <w:rsid w:val="00AC5F65"/>
    <w:rsid w:val="00B14BB9"/>
    <w:rsid w:val="00B21CF4"/>
    <w:rsid w:val="00B34BEA"/>
    <w:rsid w:val="00B41F4D"/>
    <w:rsid w:val="00B42035"/>
    <w:rsid w:val="00B73573"/>
    <w:rsid w:val="00B747D5"/>
    <w:rsid w:val="00B84E49"/>
    <w:rsid w:val="00B920FE"/>
    <w:rsid w:val="00BE36FD"/>
    <w:rsid w:val="00BF3E97"/>
    <w:rsid w:val="00C00533"/>
    <w:rsid w:val="00C06F82"/>
    <w:rsid w:val="00CC6CA3"/>
    <w:rsid w:val="00CD79A3"/>
    <w:rsid w:val="00CE18CE"/>
    <w:rsid w:val="00CE5C4F"/>
    <w:rsid w:val="00CE6C38"/>
    <w:rsid w:val="00D03575"/>
    <w:rsid w:val="00D03A15"/>
    <w:rsid w:val="00D34CAF"/>
    <w:rsid w:val="00D438E2"/>
    <w:rsid w:val="00D50DA5"/>
    <w:rsid w:val="00D67282"/>
    <w:rsid w:val="00D95F17"/>
    <w:rsid w:val="00DA449C"/>
    <w:rsid w:val="00DC4B4C"/>
    <w:rsid w:val="00E42D6B"/>
    <w:rsid w:val="00EB1834"/>
    <w:rsid w:val="00ED69A7"/>
    <w:rsid w:val="00EE4FD2"/>
    <w:rsid w:val="00F428C4"/>
    <w:rsid w:val="00F81906"/>
    <w:rsid w:val="00F87233"/>
    <w:rsid w:val="00FB09C1"/>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D7E75E3"/>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A7596"/>
    <w:pPr>
      <w:widowControl/>
      <w:jc w:val="center"/>
    </w:pPr>
    <w:rPr>
      <w:rFonts w:ascii="Arial" w:hAnsi="Arial"/>
      <w:b/>
      <w:snapToGrid/>
      <w:sz w:val="32"/>
    </w:rPr>
  </w:style>
  <w:style w:type="character" w:customStyle="1" w:styleId="TitleChar">
    <w:name w:val="Title Char"/>
    <w:basedOn w:val="DefaultParagraphFont"/>
    <w:link w:val="Title"/>
    <w:rsid w:val="007A7596"/>
    <w:rPr>
      <w:rFonts w:ascii="Arial" w:hAnsi="Arial"/>
      <w:b/>
      <w:sz w:val="32"/>
    </w:rPr>
  </w:style>
  <w:style w:type="paragraph" w:styleId="ListParagraph">
    <w:name w:val="List Paragraph"/>
    <w:basedOn w:val="Normal"/>
    <w:uiPriority w:val="34"/>
    <w:qFormat/>
    <w:rsid w:val="007A75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Werkmap%20Publicatieblad\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0</TotalTime>
  <Pages>9</Pages>
  <Words>2862</Words>
  <Characters>16737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Numidia Mercelina</cp:lastModifiedBy>
  <cp:revision>2</cp:revision>
  <cp:lastPrinted>2023-09-25T18:52:00Z</cp:lastPrinted>
  <dcterms:created xsi:type="dcterms:W3CDTF">2023-09-27T15:47:00Z</dcterms:created>
  <dcterms:modified xsi:type="dcterms:W3CDTF">2023-09-27T15:47:00Z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