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4508" w14:textId="77777777" w:rsidR="006E038B" w:rsidRPr="006E038B" w:rsidRDefault="006E038B" w:rsidP="006E038B">
      <w:pPr>
        <w:suppressAutoHyphens/>
        <w:jc w:val="both"/>
        <w:rPr>
          <w:rFonts w:ascii="Palatino Linotype" w:hAnsi="Palatino Linotype"/>
          <w:b/>
        </w:rPr>
      </w:pPr>
      <w:bookmarkStart w:id="0" w:name="_GoBack"/>
      <w:bookmarkEnd w:id="0"/>
      <w:r w:rsidRPr="00AB64F0">
        <w:rPr>
          <w:rFonts w:ascii="Palatino Linotype" w:hAnsi="Palatino Linotype"/>
          <w:b/>
          <w:bCs/>
        </w:rPr>
        <w:t xml:space="preserve">Bijlage bij aanschrijving </w:t>
      </w:r>
      <w:r w:rsidRPr="006E038B">
        <w:rPr>
          <w:rFonts w:ascii="Palatino Linotype" w:hAnsi="Palatino Linotype"/>
          <w:b/>
        </w:rPr>
        <w:t xml:space="preserve">Wijziging belastingtarief winstbelasting </w:t>
      </w:r>
    </w:p>
    <w:p w14:paraId="0E1A6329" w14:textId="51D3782A" w:rsidR="006E038B" w:rsidRDefault="006E038B" w:rsidP="00F55F61">
      <w:pPr>
        <w:jc w:val="both"/>
        <w:rPr>
          <w:rFonts w:ascii="Palatino Linotype" w:hAnsi="Palatino Linotype"/>
          <w:b/>
          <w:bCs/>
        </w:rPr>
      </w:pPr>
    </w:p>
    <w:p w14:paraId="41DDAC23" w14:textId="425F0DD2" w:rsidR="00AA29FD" w:rsidRDefault="004C54DE" w:rsidP="00F55F61">
      <w:pPr>
        <w:jc w:val="both"/>
        <w:rPr>
          <w:rFonts w:ascii="Palatino Linotype" w:hAnsi="Palatino Linotype"/>
          <w:b/>
          <w:bCs/>
        </w:rPr>
      </w:pPr>
      <w:r w:rsidRPr="00AB64F0">
        <w:rPr>
          <w:rFonts w:ascii="Palatino Linotype" w:hAnsi="Palatino Linotype"/>
          <w:b/>
          <w:bCs/>
        </w:rPr>
        <w:t xml:space="preserve">Voorbeeld </w:t>
      </w:r>
      <w:r w:rsidR="00F1090F" w:rsidRPr="00AB64F0">
        <w:rPr>
          <w:rFonts w:ascii="Palatino Linotype" w:hAnsi="Palatino Linotype"/>
          <w:b/>
          <w:bCs/>
        </w:rPr>
        <w:t xml:space="preserve">en berekening </w:t>
      </w:r>
      <w:r w:rsidRPr="00AB64F0">
        <w:rPr>
          <w:rFonts w:ascii="Palatino Linotype" w:hAnsi="Palatino Linotype"/>
          <w:b/>
          <w:bCs/>
        </w:rPr>
        <w:t>van causale kosten</w:t>
      </w:r>
      <w:r w:rsidR="00F1090F" w:rsidRPr="00AB64F0">
        <w:rPr>
          <w:rFonts w:ascii="Palatino Linotype" w:hAnsi="Palatino Linotype"/>
          <w:b/>
          <w:bCs/>
        </w:rPr>
        <w:t xml:space="preserve"> en binnenlandse winst</w:t>
      </w:r>
    </w:p>
    <w:p w14:paraId="53A1FF70" w14:textId="1539A733" w:rsidR="00AA29FD" w:rsidRPr="00C2139B" w:rsidRDefault="00AA29FD" w:rsidP="00F55F61">
      <w:pPr>
        <w:jc w:val="both"/>
        <w:rPr>
          <w:rFonts w:ascii="Palatino Linotype" w:hAnsi="Palatino Linotype"/>
        </w:rPr>
      </w:pPr>
      <w:r w:rsidRPr="00C2139B">
        <w:rPr>
          <w:rFonts w:ascii="Palatino Linotype" w:hAnsi="Palatino Linotype"/>
        </w:rPr>
        <w:t>Hierna volg</w:t>
      </w:r>
      <w:r w:rsidR="00857D9A" w:rsidRPr="00C2139B">
        <w:rPr>
          <w:rFonts w:ascii="Palatino Linotype" w:hAnsi="Palatino Linotype"/>
        </w:rPr>
        <w:t xml:space="preserve">en </w:t>
      </w:r>
      <w:r w:rsidR="002F7FE4" w:rsidRPr="00C2139B">
        <w:rPr>
          <w:rFonts w:ascii="Palatino Linotype" w:hAnsi="Palatino Linotype"/>
        </w:rPr>
        <w:t xml:space="preserve">een aantal </w:t>
      </w:r>
      <w:r w:rsidRPr="00C2139B">
        <w:rPr>
          <w:rFonts w:ascii="Palatino Linotype" w:hAnsi="Palatino Linotype"/>
        </w:rPr>
        <w:t>voorbeeld</w:t>
      </w:r>
      <w:r w:rsidR="00857D9A" w:rsidRPr="00C2139B">
        <w:rPr>
          <w:rFonts w:ascii="Palatino Linotype" w:hAnsi="Palatino Linotype"/>
        </w:rPr>
        <w:t>en</w:t>
      </w:r>
      <w:r w:rsidRPr="00C2139B">
        <w:rPr>
          <w:rFonts w:ascii="Palatino Linotype" w:hAnsi="Palatino Linotype"/>
        </w:rPr>
        <w:t xml:space="preserve"> van het toepassen van het territorialiteitsbeginsel waarbij </w:t>
      </w:r>
      <w:r w:rsidR="002B6E5B" w:rsidRPr="00C2139B">
        <w:rPr>
          <w:rFonts w:ascii="Palatino Linotype" w:hAnsi="Palatino Linotype"/>
        </w:rPr>
        <w:t>de</w:t>
      </w:r>
      <w:r w:rsidRPr="00C2139B">
        <w:rPr>
          <w:rFonts w:ascii="Palatino Linotype" w:hAnsi="Palatino Linotype"/>
        </w:rPr>
        <w:t xml:space="preserve"> effectieve belastingdruk verder </w:t>
      </w:r>
      <w:r w:rsidR="002B6E5B" w:rsidRPr="00C2139B">
        <w:rPr>
          <w:rFonts w:ascii="Palatino Linotype" w:hAnsi="Palatino Linotype"/>
        </w:rPr>
        <w:t xml:space="preserve">kan worden </w:t>
      </w:r>
      <w:r w:rsidRPr="00C2139B">
        <w:rPr>
          <w:rFonts w:ascii="Palatino Linotype" w:hAnsi="Palatino Linotype"/>
        </w:rPr>
        <w:t>verlaagd.</w:t>
      </w:r>
      <w:r w:rsidR="00857D9A" w:rsidRPr="00C2139B">
        <w:rPr>
          <w:rFonts w:ascii="Palatino Linotype" w:hAnsi="Palatino Linotype"/>
        </w:rPr>
        <w:t xml:space="preserve"> Uit deze voorbeelden volgt dat de effectieve winstbelastingdruk</w:t>
      </w:r>
      <w:r w:rsidR="00AE4F8F" w:rsidRPr="00C2139B">
        <w:rPr>
          <w:rFonts w:ascii="Palatino Linotype" w:hAnsi="Palatino Linotype"/>
        </w:rPr>
        <w:t xml:space="preserve"> van een actieve onderneming</w:t>
      </w:r>
      <w:r w:rsidR="00857D9A" w:rsidRPr="00C2139B">
        <w:rPr>
          <w:rFonts w:ascii="Palatino Linotype" w:hAnsi="Palatino Linotype"/>
        </w:rPr>
        <w:t>, afhankelijk van de</w:t>
      </w:r>
      <w:r w:rsidR="0052428B" w:rsidRPr="00C2139B">
        <w:rPr>
          <w:rFonts w:ascii="Palatino Linotype" w:hAnsi="Palatino Linotype"/>
        </w:rPr>
        <w:t xml:space="preserve"> </w:t>
      </w:r>
      <w:r w:rsidR="00857D9A" w:rsidRPr="00C2139B">
        <w:rPr>
          <w:rFonts w:ascii="Palatino Linotype" w:hAnsi="Palatino Linotype"/>
        </w:rPr>
        <w:t xml:space="preserve">situatie </w:t>
      </w:r>
      <w:r w:rsidR="007A108A" w:rsidRPr="00C2139B">
        <w:rPr>
          <w:rFonts w:ascii="Palatino Linotype" w:hAnsi="Palatino Linotype"/>
        </w:rPr>
        <w:t xml:space="preserve">en de hoogte van de belastbare winst uit binnenlandse </w:t>
      </w:r>
      <w:r w:rsidR="00857D9A" w:rsidRPr="00C2139B">
        <w:rPr>
          <w:rFonts w:ascii="Palatino Linotype" w:hAnsi="Palatino Linotype"/>
        </w:rPr>
        <w:t>van d</w:t>
      </w:r>
      <w:r w:rsidR="00AE4F8F" w:rsidRPr="00C2139B">
        <w:rPr>
          <w:rFonts w:ascii="Palatino Linotype" w:hAnsi="Palatino Linotype"/>
        </w:rPr>
        <w:t>i</w:t>
      </w:r>
      <w:r w:rsidR="00857D9A" w:rsidRPr="00C2139B">
        <w:rPr>
          <w:rFonts w:ascii="Palatino Linotype" w:hAnsi="Palatino Linotype"/>
        </w:rPr>
        <w:t>e onderneming</w:t>
      </w:r>
      <w:r w:rsidR="0052428B" w:rsidRPr="00C2139B">
        <w:rPr>
          <w:rFonts w:ascii="Palatino Linotype" w:hAnsi="Palatino Linotype"/>
        </w:rPr>
        <w:t>,</w:t>
      </w:r>
      <w:r w:rsidR="002F7FE4" w:rsidRPr="00C2139B">
        <w:rPr>
          <w:rFonts w:ascii="Palatino Linotype" w:hAnsi="Palatino Linotype"/>
        </w:rPr>
        <w:t xml:space="preserve"> </w:t>
      </w:r>
      <w:r w:rsidR="006A7A02" w:rsidRPr="00C2139B">
        <w:rPr>
          <w:rFonts w:ascii="Palatino Linotype" w:hAnsi="Palatino Linotype"/>
        </w:rPr>
        <w:t xml:space="preserve">minder kan bedragen dan </w:t>
      </w:r>
      <w:r w:rsidR="0052428B" w:rsidRPr="00C2139B">
        <w:rPr>
          <w:rFonts w:ascii="Palatino Linotype" w:hAnsi="Palatino Linotype"/>
        </w:rPr>
        <w:t xml:space="preserve">het nominale tarief van </w:t>
      </w:r>
      <w:r w:rsidR="006A7A02" w:rsidRPr="00C2139B">
        <w:rPr>
          <w:rFonts w:ascii="Palatino Linotype" w:hAnsi="Palatino Linotype"/>
        </w:rPr>
        <w:t xml:space="preserve">22%. </w:t>
      </w:r>
      <w:r w:rsidR="007A108A" w:rsidRPr="00C2139B">
        <w:rPr>
          <w:rFonts w:ascii="Palatino Linotype" w:hAnsi="Palatino Linotype"/>
        </w:rPr>
        <w:t xml:space="preserve">Op basis van onderstaande voorbeelden bedraagt de effectieve belastingdruk </w:t>
      </w:r>
      <w:r w:rsidR="00027355" w:rsidRPr="00C2139B">
        <w:rPr>
          <w:rFonts w:ascii="Palatino Linotype" w:hAnsi="Palatino Linotype"/>
        </w:rPr>
        <w:t xml:space="preserve">respectievelijk 11,3%, 7,2% en 17,3%. </w:t>
      </w:r>
      <w:r w:rsidR="00B91D48" w:rsidRPr="00C2139B">
        <w:rPr>
          <w:rFonts w:ascii="Palatino Linotype" w:hAnsi="Palatino Linotype"/>
        </w:rPr>
        <w:t xml:space="preserve">Ter bepaling van </w:t>
      </w:r>
      <w:r w:rsidR="006E100E" w:rsidRPr="00C2139B">
        <w:rPr>
          <w:rFonts w:ascii="Palatino Linotype" w:hAnsi="Palatino Linotype"/>
        </w:rPr>
        <w:t>het belastbare bedrag</w:t>
      </w:r>
      <w:r w:rsidR="00B91D48" w:rsidRPr="00C2139B">
        <w:rPr>
          <w:rFonts w:ascii="Palatino Linotype" w:hAnsi="Palatino Linotype"/>
        </w:rPr>
        <w:t xml:space="preserve"> uit binnenlandse onderneming </w:t>
      </w:r>
      <w:r w:rsidR="00AE4F8F" w:rsidRPr="00C2139B">
        <w:rPr>
          <w:rFonts w:ascii="Palatino Linotype" w:hAnsi="Palatino Linotype"/>
        </w:rPr>
        <w:t>wordt eerst de gehele fiscale winst van de onderneming bereken</w:t>
      </w:r>
      <w:r w:rsidR="000E4797" w:rsidRPr="00C2139B">
        <w:rPr>
          <w:rFonts w:ascii="Palatino Linotype" w:hAnsi="Palatino Linotype"/>
        </w:rPr>
        <w:t>d</w:t>
      </w:r>
      <w:r w:rsidR="00AE4F8F" w:rsidRPr="00C2139B">
        <w:rPr>
          <w:rFonts w:ascii="Palatino Linotype" w:hAnsi="Palatino Linotype"/>
        </w:rPr>
        <w:t xml:space="preserve">. Die wordt vervolgens verminderd met de aan het buitenland toe te rekenen winst. </w:t>
      </w:r>
      <w:r w:rsidR="00BA099B" w:rsidRPr="00C2139B">
        <w:rPr>
          <w:rFonts w:ascii="Palatino Linotype" w:hAnsi="Palatino Linotype"/>
        </w:rPr>
        <w:t>Bij het toerekenen van winst aan het buitenland dient</w:t>
      </w:r>
      <w:r w:rsidR="00AE4F8F" w:rsidRPr="00C2139B">
        <w:rPr>
          <w:rFonts w:ascii="Palatino Linotype" w:hAnsi="Palatino Linotype"/>
        </w:rPr>
        <w:t xml:space="preserve"> </w:t>
      </w:r>
      <w:r w:rsidR="00B91D48" w:rsidRPr="00C2139B">
        <w:rPr>
          <w:rFonts w:ascii="Palatino Linotype" w:hAnsi="Palatino Linotype"/>
        </w:rPr>
        <w:t>er o</w:t>
      </w:r>
      <w:r w:rsidR="00EC00DE" w:rsidRPr="00C2139B">
        <w:rPr>
          <w:rFonts w:ascii="Palatino Linotype" w:hAnsi="Palatino Linotype"/>
        </w:rPr>
        <w:t xml:space="preserve">nderscheid </w:t>
      </w:r>
      <w:r w:rsidR="00F27879" w:rsidRPr="00C2139B">
        <w:rPr>
          <w:rFonts w:ascii="Palatino Linotype" w:hAnsi="Palatino Linotype"/>
        </w:rPr>
        <w:t xml:space="preserve">te </w:t>
      </w:r>
      <w:r w:rsidR="00EC00DE" w:rsidRPr="00C2139B">
        <w:rPr>
          <w:rFonts w:ascii="Palatino Linotype" w:hAnsi="Palatino Linotype"/>
        </w:rPr>
        <w:t>worden gemaakt tussen causale, niet-causale en materiaalkosten.</w:t>
      </w:r>
      <w:r w:rsidR="0012678C" w:rsidRPr="00C2139B">
        <w:rPr>
          <w:rFonts w:ascii="Palatino Linotype" w:hAnsi="Palatino Linotype"/>
        </w:rPr>
        <w:t xml:space="preserve"> Ten aanzien van causale kosten moet </w:t>
      </w:r>
      <w:r w:rsidR="005B5462" w:rsidRPr="00C2139B">
        <w:rPr>
          <w:rFonts w:ascii="Palatino Linotype" w:hAnsi="Palatino Linotype"/>
        </w:rPr>
        <w:t xml:space="preserve">vervolgens </w:t>
      </w:r>
      <w:r w:rsidR="0012678C" w:rsidRPr="00C2139B">
        <w:rPr>
          <w:rFonts w:ascii="Palatino Linotype" w:hAnsi="Palatino Linotype"/>
        </w:rPr>
        <w:t>de locatie van deze kosten worden bepaald.</w:t>
      </w:r>
      <w:r w:rsidR="00BA099B" w:rsidRPr="00C2139B">
        <w:rPr>
          <w:rFonts w:ascii="Palatino Linotype" w:hAnsi="Palatino Linotype"/>
        </w:rPr>
        <w:t xml:space="preserve"> </w:t>
      </w:r>
    </w:p>
    <w:p w14:paraId="0F4E6BC0" w14:textId="77777777" w:rsidR="00A25C5F" w:rsidRDefault="00A25C5F" w:rsidP="00F55F61">
      <w:pPr>
        <w:jc w:val="both"/>
        <w:rPr>
          <w:rFonts w:ascii="Palatino Linotype" w:hAnsi="Palatino Linotype"/>
        </w:rPr>
      </w:pPr>
    </w:p>
    <w:p w14:paraId="0C7007F4" w14:textId="77777777" w:rsidR="00EC00DE" w:rsidRPr="00AB64F0" w:rsidRDefault="00BA099B" w:rsidP="00791D86">
      <w:pPr>
        <w:jc w:val="both"/>
        <w:rPr>
          <w:rFonts w:ascii="Palatino Linotype" w:hAnsi="Palatino Linotype"/>
        </w:rPr>
      </w:pPr>
      <w:r>
        <w:rPr>
          <w:rFonts w:ascii="Palatino Linotype" w:hAnsi="Palatino Linotype"/>
        </w:rPr>
        <w:t xml:space="preserve">Passieve inkomsten, zoals beleggingsinkomsten of royalty’s, behoren </w:t>
      </w:r>
      <w:r w:rsidR="0052428B">
        <w:rPr>
          <w:rFonts w:ascii="Palatino Linotype" w:hAnsi="Palatino Linotype"/>
        </w:rPr>
        <w:t xml:space="preserve">overigens </w:t>
      </w:r>
      <w:r>
        <w:rPr>
          <w:rFonts w:ascii="Palatino Linotype" w:hAnsi="Palatino Linotype"/>
        </w:rPr>
        <w:t xml:space="preserve">altijd tot de binnenlandse winst. </w:t>
      </w:r>
    </w:p>
    <w:p w14:paraId="40EDDA35" w14:textId="77777777" w:rsidR="00B91D48" w:rsidRDefault="00B91D48" w:rsidP="00791D86">
      <w:pPr>
        <w:jc w:val="both"/>
        <w:rPr>
          <w:rFonts w:ascii="Palatino Linotype" w:hAnsi="Palatino Linotype"/>
        </w:rPr>
      </w:pPr>
    </w:p>
    <w:p w14:paraId="1FAB614C" w14:textId="194450BE" w:rsidR="00EC00DE" w:rsidRPr="00AB64F0" w:rsidRDefault="00EC00DE" w:rsidP="00AB64F0">
      <w:pPr>
        <w:jc w:val="both"/>
        <w:rPr>
          <w:rFonts w:ascii="Palatino Linotype" w:hAnsi="Palatino Linotype"/>
        </w:rPr>
      </w:pPr>
      <w:r w:rsidRPr="00AB64F0">
        <w:rPr>
          <w:rFonts w:ascii="Palatino Linotype" w:hAnsi="Palatino Linotype"/>
          <w:b/>
        </w:rPr>
        <w:t>Materiaalkosten</w:t>
      </w:r>
      <w:r w:rsidRPr="00AB64F0">
        <w:rPr>
          <w:rFonts w:ascii="Palatino Linotype" w:hAnsi="Palatino Linotype"/>
        </w:rPr>
        <w:t xml:space="preserve"> kunnen in het algemeen worden omschreven als de inkoopprijs van goederen voor de verkoop. Als een meubelhandel stoelen inkoopt voor de verkoop, dan zijn de kosten van die stoelenmateriaalkosten. De grondstoffen die een fabriek koopt om in het productieproces te verwerken tot producten voor de verkoop vormen ook materiaalkosten</w:t>
      </w:r>
      <w:r w:rsidR="00F1090F" w:rsidRPr="00AB64F0">
        <w:rPr>
          <w:rFonts w:ascii="Palatino Linotype" w:hAnsi="Palatino Linotype"/>
        </w:rPr>
        <w:t>, bijvoorbeeld het hout en de schroeven die door een meubelfabriek worden gebruikt om meubels te produceren</w:t>
      </w:r>
      <w:r w:rsidRPr="00AB64F0">
        <w:rPr>
          <w:rFonts w:ascii="Palatino Linotype" w:hAnsi="Palatino Linotype"/>
        </w:rPr>
        <w:t>.</w:t>
      </w:r>
      <w:r w:rsidR="00FB6E2C" w:rsidRPr="006558F2">
        <w:rPr>
          <w:rFonts w:ascii="Palatino Linotype" w:hAnsi="Palatino Linotype"/>
        </w:rPr>
        <w:t xml:space="preserve"> </w:t>
      </w:r>
    </w:p>
    <w:p w14:paraId="4B67D3D2" w14:textId="77777777" w:rsidR="00B91D48" w:rsidRDefault="00B91D48" w:rsidP="00791D86">
      <w:pPr>
        <w:jc w:val="both"/>
        <w:rPr>
          <w:rFonts w:ascii="Palatino Linotype" w:hAnsi="Palatino Linotype"/>
        </w:rPr>
      </w:pPr>
    </w:p>
    <w:p w14:paraId="1F098298" w14:textId="69F2DA5A" w:rsidR="00F20E7F" w:rsidRDefault="004C54DE" w:rsidP="00791D86">
      <w:pPr>
        <w:jc w:val="both"/>
        <w:rPr>
          <w:rFonts w:ascii="Palatino Linotype" w:hAnsi="Palatino Linotype"/>
        </w:rPr>
      </w:pPr>
      <w:r w:rsidRPr="00AB64F0">
        <w:rPr>
          <w:rFonts w:ascii="Palatino Linotype" w:hAnsi="Palatino Linotype"/>
          <w:b/>
        </w:rPr>
        <w:t>Causale kosten</w:t>
      </w:r>
      <w:r w:rsidRPr="00AB64F0">
        <w:rPr>
          <w:rFonts w:ascii="Palatino Linotype" w:hAnsi="Palatino Linotype"/>
        </w:rPr>
        <w:t xml:space="preserve"> zijn kosten die rechtstreeks verband houden met inkomstengenererende activiteiten van de onderneming, of anders gezegd, met de omzet. Dit kan per onderneming anders zijn. Zo zal in geval van de meeste bedrijven het salaris van de </w:t>
      </w:r>
      <w:r w:rsidR="00B6136A">
        <w:rPr>
          <w:rFonts w:ascii="Palatino Linotype" w:hAnsi="Palatino Linotype"/>
        </w:rPr>
        <w:t xml:space="preserve">interne </w:t>
      </w:r>
      <w:r w:rsidRPr="00AB64F0">
        <w:rPr>
          <w:rFonts w:ascii="Palatino Linotype" w:hAnsi="Palatino Linotype"/>
        </w:rPr>
        <w:t xml:space="preserve">boekhouder </w:t>
      </w:r>
      <w:r w:rsidR="00B6136A">
        <w:rPr>
          <w:rFonts w:ascii="Palatino Linotype" w:hAnsi="Palatino Linotype"/>
        </w:rPr>
        <w:t xml:space="preserve">of de vergoeding van de externe </w:t>
      </w:r>
      <w:r w:rsidRPr="00AB64F0">
        <w:rPr>
          <w:rFonts w:ascii="Palatino Linotype" w:hAnsi="Palatino Linotype"/>
        </w:rPr>
        <w:t xml:space="preserve">boekhouder niet rechtstreeks verband houden met </w:t>
      </w:r>
      <w:r w:rsidR="0013438E">
        <w:rPr>
          <w:rFonts w:ascii="Palatino Linotype" w:hAnsi="Palatino Linotype"/>
        </w:rPr>
        <w:t>het genereren van</w:t>
      </w:r>
      <w:r w:rsidRPr="00AB64F0">
        <w:rPr>
          <w:rFonts w:ascii="Palatino Linotype" w:hAnsi="Palatino Linotype"/>
        </w:rPr>
        <w:t xml:space="preserve"> omzet</w:t>
      </w:r>
      <w:r w:rsidR="00EC00DE" w:rsidRPr="00AB64F0">
        <w:rPr>
          <w:rFonts w:ascii="Palatino Linotype" w:hAnsi="Palatino Linotype"/>
        </w:rPr>
        <w:t>. De kosten van deze boekhouder</w:t>
      </w:r>
      <w:r w:rsidR="00B6136A">
        <w:rPr>
          <w:rFonts w:ascii="Palatino Linotype" w:hAnsi="Palatino Linotype"/>
        </w:rPr>
        <w:t>s</w:t>
      </w:r>
      <w:r w:rsidR="00EC00DE" w:rsidRPr="00AB64F0">
        <w:rPr>
          <w:rFonts w:ascii="Palatino Linotype" w:hAnsi="Palatino Linotype"/>
        </w:rPr>
        <w:t xml:space="preserve"> zijn dan niet-causale kosten</w:t>
      </w:r>
      <w:r w:rsidRPr="00AB64F0">
        <w:rPr>
          <w:rFonts w:ascii="Palatino Linotype" w:hAnsi="Palatino Linotype"/>
        </w:rPr>
        <w:t xml:space="preserve">. Bij een boekhoudkantoor zal het salaris van een boekhouder </w:t>
      </w:r>
      <w:r w:rsidR="00B6136A">
        <w:rPr>
          <w:rFonts w:ascii="Palatino Linotype" w:hAnsi="Palatino Linotype"/>
        </w:rPr>
        <w:t>die ten behoeve van de cliënten van het boekhoudkantoor werkt</w:t>
      </w:r>
      <w:r w:rsidRPr="00AB64F0">
        <w:rPr>
          <w:rFonts w:ascii="Palatino Linotype" w:hAnsi="Palatino Linotype"/>
        </w:rPr>
        <w:t xml:space="preserve"> echter vrijwel altijd een causale kostenpost zijn</w:t>
      </w:r>
      <w:r w:rsidR="00DC5A81">
        <w:rPr>
          <w:rFonts w:ascii="Palatino Linotype" w:hAnsi="Palatino Linotype"/>
        </w:rPr>
        <w:t>,</w:t>
      </w:r>
      <w:r w:rsidRPr="00AB64F0">
        <w:rPr>
          <w:rFonts w:ascii="Palatino Linotype" w:hAnsi="Palatino Linotype"/>
        </w:rPr>
        <w:t xml:space="preserve"> omdat de gewerkte uren van de boekhouder in rekening worden gebracht aan </w:t>
      </w:r>
      <w:r w:rsidR="00AB3E67" w:rsidRPr="00AB3E67">
        <w:rPr>
          <w:rFonts w:ascii="Palatino Linotype" w:hAnsi="Palatino Linotype"/>
        </w:rPr>
        <w:t>cliënten</w:t>
      </w:r>
      <w:r w:rsidRPr="00AB64F0">
        <w:rPr>
          <w:rFonts w:ascii="Palatino Linotype" w:hAnsi="Palatino Linotype"/>
        </w:rPr>
        <w:t xml:space="preserve"> en dus rechtstreeks verband houden met </w:t>
      </w:r>
      <w:r w:rsidR="0013438E">
        <w:rPr>
          <w:rFonts w:ascii="Palatino Linotype" w:hAnsi="Palatino Linotype"/>
        </w:rPr>
        <w:t>het genereren van</w:t>
      </w:r>
      <w:r w:rsidRPr="00AB64F0">
        <w:rPr>
          <w:rFonts w:ascii="Palatino Linotype" w:hAnsi="Palatino Linotype"/>
        </w:rPr>
        <w:t xml:space="preserve"> omzet. Andere voorbeelden van </w:t>
      </w:r>
      <w:r w:rsidR="00AB3E67">
        <w:rPr>
          <w:rFonts w:ascii="Palatino Linotype" w:hAnsi="Palatino Linotype"/>
        </w:rPr>
        <w:t xml:space="preserve">causale </w:t>
      </w:r>
      <w:r w:rsidRPr="00AB64F0">
        <w:rPr>
          <w:rFonts w:ascii="Palatino Linotype" w:hAnsi="Palatino Linotype"/>
        </w:rPr>
        <w:t xml:space="preserve">kosten zijn onder meer de kosten van het winkelpand waar de omzet wordt behaald, de opslagruimte voor goederen die bestemd zijn voor de verkoop, het personeel in de winkel dat zich bezighoudt met </w:t>
      </w:r>
      <w:r w:rsidR="00772501">
        <w:rPr>
          <w:rFonts w:ascii="Palatino Linotype" w:hAnsi="Palatino Linotype"/>
        </w:rPr>
        <w:t xml:space="preserve">de verkoop en met </w:t>
      </w:r>
      <w:r w:rsidRPr="00AB64F0">
        <w:rPr>
          <w:rFonts w:ascii="Palatino Linotype" w:hAnsi="Palatino Linotype"/>
        </w:rPr>
        <w:t xml:space="preserve">het vullen van de rekken en met de kassa. Daarentegen </w:t>
      </w:r>
      <w:r w:rsidR="00D9140F">
        <w:rPr>
          <w:rFonts w:ascii="Palatino Linotype" w:hAnsi="Palatino Linotype"/>
        </w:rPr>
        <w:t>zullen</w:t>
      </w:r>
      <w:r w:rsidRPr="00AB64F0">
        <w:rPr>
          <w:rFonts w:ascii="Palatino Linotype" w:hAnsi="Palatino Linotype"/>
        </w:rPr>
        <w:t xml:space="preserve"> de</w:t>
      </w:r>
      <w:r w:rsidR="00D9140F">
        <w:rPr>
          <w:rFonts w:ascii="Palatino Linotype" w:hAnsi="Palatino Linotype"/>
        </w:rPr>
        <w:t xml:space="preserve"> kosten van een</w:t>
      </w:r>
      <w:r w:rsidRPr="00AB64F0">
        <w:rPr>
          <w:rFonts w:ascii="Palatino Linotype" w:hAnsi="Palatino Linotype"/>
        </w:rPr>
        <w:t xml:space="preserve"> kantoorruimte van de onderneming </w:t>
      </w:r>
      <w:r w:rsidR="0013438E">
        <w:rPr>
          <w:rFonts w:ascii="Palatino Linotype" w:hAnsi="Palatino Linotype"/>
        </w:rPr>
        <w:t xml:space="preserve">waar de </w:t>
      </w:r>
      <w:r w:rsidR="00B6136A">
        <w:rPr>
          <w:rFonts w:ascii="Palatino Linotype" w:hAnsi="Palatino Linotype"/>
        </w:rPr>
        <w:t xml:space="preserve">interne </w:t>
      </w:r>
      <w:r w:rsidR="0013438E">
        <w:rPr>
          <w:rFonts w:ascii="Palatino Linotype" w:hAnsi="Palatino Linotype"/>
        </w:rPr>
        <w:t>boekhouders zitten</w:t>
      </w:r>
      <w:r w:rsidR="00AB3E67">
        <w:rPr>
          <w:rFonts w:ascii="Palatino Linotype" w:hAnsi="Palatino Linotype"/>
        </w:rPr>
        <w:t xml:space="preserve"> </w:t>
      </w:r>
      <w:r w:rsidR="00EC00DE" w:rsidRPr="00AB64F0">
        <w:rPr>
          <w:rFonts w:ascii="Palatino Linotype" w:hAnsi="Palatino Linotype"/>
        </w:rPr>
        <w:t xml:space="preserve">een </w:t>
      </w:r>
      <w:r w:rsidR="00EC00DE" w:rsidRPr="00AB64F0">
        <w:rPr>
          <w:rFonts w:ascii="Palatino Linotype" w:hAnsi="Palatino Linotype"/>
          <w:b/>
        </w:rPr>
        <w:t>niet-</w:t>
      </w:r>
      <w:r w:rsidRPr="00AB64F0">
        <w:rPr>
          <w:rFonts w:ascii="Palatino Linotype" w:hAnsi="Palatino Linotype"/>
          <w:b/>
        </w:rPr>
        <w:t>causale kostenpost</w:t>
      </w:r>
      <w:r w:rsidRPr="00AB64F0">
        <w:rPr>
          <w:rFonts w:ascii="Palatino Linotype" w:hAnsi="Palatino Linotype"/>
        </w:rPr>
        <w:t xml:space="preserve"> zijn, omdat d</w:t>
      </w:r>
      <w:r w:rsidR="0013438E">
        <w:rPr>
          <w:rFonts w:ascii="Palatino Linotype" w:hAnsi="Palatino Linotype"/>
        </w:rPr>
        <w:t>e</w:t>
      </w:r>
      <w:r w:rsidR="00D9140F">
        <w:rPr>
          <w:rFonts w:ascii="Palatino Linotype" w:hAnsi="Palatino Linotype"/>
        </w:rPr>
        <w:t xml:space="preserve"> activiteiten van de boekhouding</w:t>
      </w:r>
      <w:r w:rsidRPr="00AB64F0">
        <w:rPr>
          <w:rFonts w:ascii="Palatino Linotype" w:hAnsi="Palatino Linotype"/>
        </w:rPr>
        <w:t xml:space="preserve"> </w:t>
      </w:r>
      <w:r w:rsidR="00705F30">
        <w:rPr>
          <w:rFonts w:ascii="Palatino Linotype" w:hAnsi="Palatino Linotype"/>
        </w:rPr>
        <w:t>geen</w:t>
      </w:r>
      <w:r w:rsidRPr="00AB64F0">
        <w:rPr>
          <w:rFonts w:ascii="Palatino Linotype" w:hAnsi="Palatino Linotype"/>
        </w:rPr>
        <w:t xml:space="preserve"> rechtstreeks verband houdt met </w:t>
      </w:r>
      <w:r w:rsidR="00D9140F">
        <w:rPr>
          <w:rFonts w:ascii="Palatino Linotype" w:hAnsi="Palatino Linotype"/>
        </w:rPr>
        <w:t>het genereren van</w:t>
      </w:r>
      <w:r w:rsidR="00D9140F" w:rsidRPr="00AB64F0">
        <w:rPr>
          <w:rFonts w:ascii="Palatino Linotype" w:hAnsi="Palatino Linotype"/>
        </w:rPr>
        <w:t xml:space="preserve"> </w:t>
      </w:r>
      <w:r w:rsidRPr="00AB64F0">
        <w:rPr>
          <w:rFonts w:ascii="Palatino Linotype" w:hAnsi="Palatino Linotype"/>
        </w:rPr>
        <w:lastRenderedPageBreak/>
        <w:t xml:space="preserve">omzet. </w:t>
      </w:r>
      <w:r w:rsidR="009716DC">
        <w:rPr>
          <w:rFonts w:ascii="Palatino Linotype" w:hAnsi="Palatino Linotype"/>
        </w:rPr>
        <w:t xml:space="preserve">Ook de kosten van het besturen van een onderneming </w:t>
      </w:r>
      <w:r w:rsidR="00EF097A">
        <w:rPr>
          <w:rFonts w:ascii="Palatino Linotype" w:hAnsi="Palatino Linotype"/>
        </w:rPr>
        <w:t xml:space="preserve">worden geacht geen rechtstreeks verband te houden met het genereren van omzet. </w:t>
      </w:r>
    </w:p>
    <w:p w14:paraId="4AE3BC7D" w14:textId="77777777" w:rsidR="00F20E7F" w:rsidRDefault="00F20E7F">
      <w:pPr>
        <w:jc w:val="both"/>
        <w:rPr>
          <w:rFonts w:ascii="Palatino Linotype" w:hAnsi="Palatino Linotype"/>
        </w:rPr>
      </w:pPr>
    </w:p>
    <w:p w14:paraId="5DB72FF0" w14:textId="45D59EFA" w:rsidR="004C54DE" w:rsidRPr="00AB64F0" w:rsidRDefault="004C54DE" w:rsidP="00AB64F0">
      <w:pPr>
        <w:jc w:val="both"/>
        <w:rPr>
          <w:rFonts w:ascii="Palatino Linotype" w:hAnsi="Palatino Linotype"/>
        </w:rPr>
      </w:pPr>
      <w:r w:rsidRPr="00AB64F0">
        <w:rPr>
          <w:rFonts w:ascii="Palatino Linotype" w:hAnsi="Palatino Linotype"/>
        </w:rPr>
        <w:t>Bij een advocatenkantoor of een IT</w:t>
      </w:r>
      <w:r w:rsidR="00AB3E67">
        <w:rPr>
          <w:rFonts w:ascii="Palatino Linotype" w:hAnsi="Palatino Linotype"/>
        </w:rPr>
        <w:t>-</w:t>
      </w:r>
      <w:r w:rsidRPr="00AB64F0">
        <w:rPr>
          <w:rFonts w:ascii="Palatino Linotype" w:hAnsi="Palatino Linotype"/>
        </w:rPr>
        <w:t xml:space="preserve">bedrijf daarentegen zullen de </w:t>
      </w:r>
      <w:r w:rsidR="00B13CED">
        <w:rPr>
          <w:rFonts w:ascii="Palatino Linotype" w:hAnsi="Palatino Linotype"/>
        </w:rPr>
        <w:t xml:space="preserve">meeste </w:t>
      </w:r>
      <w:r w:rsidRPr="00AB64F0">
        <w:rPr>
          <w:rFonts w:ascii="Palatino Linotype" w:hAnsi="Palatino Linotype"/>
        </w:rPr>
        <w:t xml:space="preserve">kantoorkosten </w:t>
      </w:r>
      <w:r w:rsidR="00D671C6">
        <w:rPr>
          <w:rFonts w:ascii="Palatino Linotype" w:hAnsi="Palatino Linotype"/>
        </w:rPr>
        <w:t xml:space="preserve">echter </w:t>
      </w:r>
      <w:r w:rsidR="00B13CED">
        <w:rPr>
          <w:rFonts w:ascii="Palatino Linotype" w:hAnsi="Palatino Linotype"/>
        </w:rPr>
        <w:t xml:space="preserve">wel </w:t>
      </w:r>
      <w:r w:rsidRPr="00AB64F0">
        <w:rPr>
          <w:rFonts w:ascii="Palatino Linotype" w:hAnsi="Palatino Linotype"/>
        </w:rPr>
        <w:t xml:space="preserve">grotendeels dan wel uitsluitend verband houden met </w:t>
      </w:r>
      <w:r w:rsidR="00D671C6">
        <w:rPr>
          <w:rFonts w:ascii="Palatino Linotype" w:hAnsi="Palatino Linotype"/>
        </w:rPr>
        <w:t>het genereren van</w:t>
      </w:r>
      <w:r w:rsidRPr="00AB64F0">
        <w:rPr>
          <w:rFonts w:ascii="Palatino Linotype" w:hAnsi="Palatino Linotype"/>
        </w:rPr>
        <w:t xml:space="preserve"> omzet</w:t>
      </w:r>
      <w:r w:rsidR="00B13CED">
        <w:rPr>
          <w:rFonts w:ascii="Palatino Linotype" w:hAnsi="Palatino Linotype"/>
        </w:rPr>
        <w:t>.</w:t>
      </w:r>
      <w:r w:rsidRPr="00AB64F0">
        <w:rPr>
          <w:rFonts w:ascii="Palatino Linotype" w:hAnsi="Palatino Linotype"/>
        </w:rPr>
        <w:t xml:space="preserve"> </w:t>
      </w:r>
      <w:r w:rsidR="00B13CED">
        <w:rPr>
          <w:rFonts w:ascii="Palatino Linotype" w:hAnsi="Palatino Linotype"/>
        </w:rPr>
        <w:t>H</w:t>
      </w:r>
      <w:r w:rsidRPr="00AB64F0">
        <w:rPr>
          <w:rFonts w:ascii="Palatino Linotype" w:hAnsi="Palatino Linotype"/>
        </w:rPr>
        <w:t xml:space="preserve">et personeel dat in dat kantoorpand werkt </w:t>
      </w:r>
      <w:r w:rsidR="00B13CED">
        <w:rPr>
          <w:rFonts w:ascii="Palatino Linotype" w:hAnsi="Palatino Linotype"/>
        </w:rPr>
        <w:t xml:space="preserve">houdt </w:t>
      </w:r>
      <w:r w:rsidRPr="00AB64F0">
        <w:rPr>
          <w:rFonts w:ascii="Palatino Linotype" w:hAnsi="Palatino Linotype"/>
        </w:rPr>
        <w:t xml:space="preserve">zich </w:t>
      </w:r>
      <w:r w:rsidR="00B13CED">
        <w:rPr>
          <w:rFonts w:ascii="Palatino Linotype" w:hAnsi="Palatino Linotype"/>
        </w:rPr>
        <w:t>immers</w:t>
      </w:r>
      <w:r w:rsidR="00B6136A">
        <w:rPr>
          <w:rFonts w:ascii="Palatino Linotype" w:hAnsi="Palatino Linotype"/>
        </w:rPr>
        <w:t xml:space="preserve"> </w:t>
      </w:r>
      <w:r w:rsidR="00B6136A" w:rsidRPr="00AB64F0">
        <w:rPr>
          <w:rFonts w:ascii="Palatino Linotype" w:hAnsi="Palatino Linotype"/>
        </w:rPr>
        <w:t>grotendeels dan wel uitsluitend</w:t>
      </w:r>
      <w:r w:rsidR="00B13CED">
        <w:rPr>
          <w:rFonts w:ascii="Palatino Linotype" w:hAnsi="Palatino Linotype"/>
        </w:rPr>
        <w:t xml:space="preserve"> bezig</w:t>
      </w:r>
      <w:r w:rsidRPr="00AB64F0">
        <w:rPr>
          <w:rFonts w:ascii="Palatino Linotype" w:hAnsi="Palatino Linotype"/>
        </w:rPr>
        <w:t xml:space="preserve"> met het genereren van omzet. Een personenauto zal in het algemeen een </w:t>
      </w:r>
      <w:r w:rsidR="00AB3E67">
        <w:rPr>
          <w:rFonts w:ascii="Palatino Linotype" w:hAnsi="Palatino Linotype"/>
        </w:rPr>
        <w:t xml:space="preserve">niet-causale </w:t>
      </w:r>
      <w:r w:rsidRPr="00AB64F0">
        <w:rPr>
          <w:rFonts w:ascii="Palatino Linotype" w:hAnsi="Palatino Linotype"/>
        </w:rPr>
        <w:t>kostenpost zijn</w:t>
      </w:r>
      <w:r w:rsidR="00DC5A81">
        <w:rPr>
          <w:rFonts w:ascii="Palatino Linotype" w:hAnsi="Palatino Linotype"/>
        </w:rPr>
        <w:t>,</w:t>
      </w:r>
      <w:r w:rsidRPr="00AB64F0">
        <w:rPr>
          <w:rFonts w:ascii="Palatino Linotype" w:hAnsi="Palatino Linotype"/>
        </w:rPr>
        <w:t xml:space="preserve"> tenzij deze wordt gebruikt door een verkoper die met zijn auto klanten bezoekt</w:t>
      </w:r>
      <w:r w:rsidR="0059531D" w:rsidRPr="00AB64F0">
        <w:rPr>
          <w:rFonts w:ascii="Palatino Linotype" w:hAnsi="Palatino Linotype"/>
        </w:rPr>
        <w:t>, of een taxichauffeur</w:t>
      </w:r>
      <w:r w:rsidRPr="00AB64F0">
        <w:rPr>
          <w:rFonts w:ascii="Palatino Linotype" w:hAnsi="Palatino Linotype"/>
        </w:rPr>
        <w:t xml:space="preserve">. Daarentegen zullen vrachtwagens in het algemeen rechtstreeks verband houden met </w:t>
      </w:r>
      <w:r w:rsidR="00D671C6">
        <w:rPr>
          <w:rFonts w:ascii="Palatino Linotype" w:hAnsi="Palatino Linotype"/>
        </w:rPr>
        <w:t>het genereren van</w:t>
      </w:r>
      <w:r w:rsidRPr="00AB64F0">
        <w:rPr>
          <w:rFonts w:ascii="Palatino Linotype" w:hAnsi="Palatino Linotype"/>
        </w:rPr>
        <w:t xml:space="preserve"> omzet omdat zij goederen vervoeren die bestemd zijn voor de verkoop.</w:t>
      </w:r>
      <w:r w:rsidR="00EC00DE" w:rsidRPr="00AB64F0">
        <w:rPr>
          <w:rFonts w:ascii="Palatino Linotype" w:hAnsi="Palatino Linotype"/>
        </w:rPr>
        <w:t xml:space="preserve"> Hetzelfde geldt bijvoorbeeld voor bussen voor het vervoer van toeristen.</w:t>
      </w:r>
      <w:r w:rsidR="00D9140F">
        <w:rPr>
          <w:rFonts w:ascii="Palatino Linotype" w:hAnsi="Palatino Linotype"/>
        </w:rPr>
        <w:t xml:space="preserve"> Deze kwalificatie geldt vervolgens dan ook voor de afschrijving en het onderhoud aan deze auto</w:t>
      </w:r>
      <w:r w:rsidR="00D671C6">
        <w:rPr>
          <w:rFonts w:ascii="Palatino Linotype" w:hAnsi="Palatino Linotype"/>
        </w:rPr>
        <w:t>’</w:t>
      </w:r>
      <w:r w:rsidR="00D9140F">
        <w:rPr>
          <w:rFonts w:ascii="Palatino Linotype" w:hAnsi="Palatino Linotype"/>
        </w:rPr>
        <w:t>s</w:t>
      </w:r>
      <w:r w:rsidR="005271EC">
        <w:rPr>
          <w:rFonts w:ascii="Palatino Linotype" w:hAnsi="Palatino Linotype"/>
        </w:rPr>
        <w:t>.</w:t>
      </w:r>
    </w:p>
    <w:p w14:paraId="358A2BE8" w14:textId="77777777" w:rsidR="00B91D48" w:rsidRDefault="00B91D48" w:rsidP="00791D86">
      <w:pPr>
        <w:jc w:val="both"/>
        <w:rPr>
          <w:rFonts w:ascii="Palatino Linotype" w:hAnsi="Palatino Linotype"/>
        </w:rPr>
      </w:pPr>
    </w:p>
    <w:p w14:paraId="10C3211A" w14:textId="77777777" w:rsidR="00D671C6" w:rsidRDefault="00103DB8" w:rsidP="00791D86">
      <w:pPr>
        <w:jc w:val="both"/>
        <w:rPr>
          <w:rFonts w:ascii="Palatino Linotype" w:hAnsi="Palatino Linotype"/>
        </w:rPr>
      </w:pPr>
      <w:r>
        <w:rPr>
          <w:rFonts w:ascii="Palatino Linotype" w:hAnsi="Palatino Linotype"/>
        </w:rPr>
        <w:t xml:space="preserve">Sommige kosten kunnen een gemengd causaal/niet-causaal karakter dragen. Als de winkel en </w:t>
      </w:r>
      <w:r w:rsidR="005B7762">
        <w:rPr>
          <w:rFonts w:ascii="Palatino Linotype" w:hAnsi="Palatino Linotype"/>
        </w:rPr>
        <w:t xml:space="preserve">het kantoor voor de administratie in hetzelfde pand zitten zullen bijvoorbeeld utiliteitskosten, </w:t>
      </w:r>
      <w:r w:rsidR="00394379">
        <w:rPr>
          <w:rFonts w:ascii="Palatino Linotype" w:hAnsi="Palatino Linotype"/>
        </w:rPr>
        <w:t>afschrijving en onderhoud een gemengd karakter hebben. De belastingplichtige dient dan deze kosten toe te rekenen aan de hand van een redelijke verdeelsleutel</w:t>
      </w:r>
      <w:r w:rsidR="00E33F39">
        <w:rPr>
          <w:rFonts w:ascii="Palatino Linotype" w:hAnsi="Palatino Linotype"/>
        </w:rPr>
        <w:t xml:space="preserve"> en deze verdeelsleutel consistent in de verschillende belastingjaren te gebruiken. </w:t>
      </w:r>
    </w:p>
    <w:p w14:paraId="5A9D75DE" w14:textId="77777777" w:rsidR="00B91D48" w:rsidRDefault="00B91D48" w:rsidP="00F55F61">
      <w:pPr>
        <w:jc w:val="both"/>
        <w:rPr>
          <w:rFonts w:ascii="Palatino Linotype" w:hAnsi="Palatino Linotype"/>
        </w:rPr>
      </w:pPr>
    </w:p>
    <w:p w14:paraId="28D9904E" w14:textId="4451996A" w:rsidR="00D263C5" w:rsidRDefault="004C54DE" w:rsidP="00791D86">
      <w:pPr>
        <w:jc w:val="both"/>
        <w:rPr>
          <w:rFonts w:ascii="Palatino Linotype" w:hAnsi="Palatino Linotype"/>
        </w:rPr>
      </w:pPr>
      <w:r w:rsidRPr="00AB64F0">
        <w:rPr>
          <w:rFonts w:ascii="Palatino Linotype" w:hAnsi="Palatino Linotype"/>
        </w:rPr>
        <w:t xml:space="preserve">Vervolgens moet </w:t>
      </w:r>
      <w:r w:rsidR="00EC00DE" w:rsidRPr="00AB64F0">
        <w:rPr>
          <w:rFonts w:ascii="Palatino Linotype" w:hAnsi="Palatino Linotype"/>
        </w:rPr>
        <w:t xml:space="preserve">onderscheid worden gemaakt tussen </w:t>
      </w:r>
      <w:r w:rsidR="00EC00DE" w:rsidRPr="00AB64F0">
        <w:rPr>
          <w:rFonts w:ascii="Palatino Linotype" w:hAnsi="Palatino Linotype"/>
          <w:b/>
        </w:rPr>
        <w:t>binnen- en buitenlandse causale kosten</w:t>
      </w:r>
      <w:r w:rsidR="00EC00DE" w:rsidRPr="00AB64F0">
        <w:rPr>
          <w:rFonts w:ascii="Palatino Linotype" w:hAnsi="Palatino Linotype"/>
        </w:rPr>
        <w:t xml:space="preserve">. Dit is afhankelijk van de vraag waar de </w:t>
      </w:r>
      <w:r w:rsidR="00D636C5">
        <w:rPr>
          <w:rFonts w:ascii="Palatino Linotype" w:hAnsi="Palatino Linotype"/>
        </w:rPr>
        <w:t>waarde</w:t>
      </w:r>
      <w:r w:rsidR="00D263C5">
        <w:rPr>
          <w:rFonts w:ascii="Palatino Linotype" w:hAnsi="Palatino Linotype"/>
        </w:rPr>
        <w:t>-</w:t>
      </w:r>
      <w:r w:rsidR="00D636C5">
        <w:rPr>
          <w:rFonts w:ascii="Palatino Linotype" w:hAnsi="Palatino Linotype"/>
        </w:rPr>
        <w:t>toevoegende handelingen plaatsvinden.</w:t>
      </w:r>
      <w:r w:rsidR="00EC00DE" w:rsidRPr="00AB64F0">
        <w:rPr>
          <w:rFonts w:ascii="Palatino Linotype" w:hAnsi="Palatino Linotype"/>
        </w:rPr>
        <w:t xml:space="preserve"> </w:t>
      </w:r>
    </w:p>
    <w:p w14:paraId="3D81BA1B" w14:textId="77777777" w:rsidR="00D263C5" w:rsidRDefault="00D263C5">
      <w:pPr>
        <w:jc w:val="both"/>
        <w:rPr>
          <w:rFonts w:ascii="Palatino Linotype" w:hAnsi="Palatino Linotype"/>
        </w:rPr>
      </w:pPr>
    </w:p>
    <w:p w14:paraId="7A7E192B" w14:textId="0E9B3DCF" w:rsidR="004C54DE" w:rsidRPr="00AB64F0" w:rsidRDefault="00EC00DE" w:rsidP="00AB64F0">
      <w:pPr>
        <w:jc w:val="both"/>
        <w:rPr>
          <w:rFonts w:ascii="Palatino Linotype" w:hAnsi="Palatino Linotype"/>
        </w:rPr>
      </w:pPr>
      <w:r w:rsidRPr="00AB64F0">
        <w:rPr>
          <w:rFonts w:ascii="Palatino Linotype" w:hAnsi="Palatino Linotype"/>
        </w:rPr>
        <w:t xml:space="preserve">Zo zal vervoer van goederen voor de verkoop altijd een causale kostenpost zijn, en aangezien het vervoer vrijwel uitsluitend in het buitenland plaatsvindt, vanuit de Verenigde Staten, Europa of elders naar </w:t>
      </w:r>
      <w:r w:rsidR="00B91D48" w:rsidRPr="00B91D48">
        <w:rPr>
          <w:rFonts w:ascii="Palatino Linotype" w:hAnsi="Palatino Linotype"/>
        </w:rPr>
        <w:t>Curaçao</w:t>
      </w:r>
      <w:r w:rsidRPr="00AB64F0">
        <w:rPr>
          <w:rFonts w:ascii="Palatino Linotype" w:hAnsi="Palatino Linotype"/>
        </w:rPr>
        <w:t>, zullen deze vervoerskosten aangemerkt worden als buitenlandse causale kosten.</w:t>
      </w:r>
      <w:r w:rsidR="004647E3">
        <w:rPr>
          <w:rFonts w:ascii="Palatino Linotype" w:hAnsi="Palatino Linotype"/>
        </w:rPr>
        <w:t xml:space="preserve"> </w:t>
      </w:r>
      <w:r w:rsidRPr="00AB64F0">
        <w:rPr>
          <w:rFonts w:ascii="Palatino Linotype" w:hAnsi="Palatino Linotype"/>
        </w:rPr>
        <w:t>Een</w:t>
      </w:r>
      <w:r w:rsidR="00EE15FD">
        <w:rPr>
          <w:rFonts w:ascii="Palatino Linotype" w:hAnsi="Palatino Linotype"/>
        </w:rPr>
        <w:t xml:space="preserve"> in het</w:t>
      </w:r>
      <w:r w:rsidRPr="00AB64F0">
        <w:rPr>
          <w:rFonts w:ascii="Palatino Linotype" w:hAnsi="Palatino Linotype"/>
        </w:rPr>
        <w:t xml:space="preserve"> buitenland</w:t>
      </w:r>
      <w:r w:rsidR="00EE15FD">
        <w:rPr>
          <w:rFonts w:ascii="Palatino Linotype" w:hAnsi="Palatino Linotype"/>
        </w:rPr>
        <w:t xml:space="preserve"> gevestigde </w:t>
      </w:r>
      <w:r w:rsidRPr="00AB64F0">
        <w:rPr>
          <w:rFonts w:ascii="Palatino Linotype" w:hAnsi="Palatino Linotype"/>
        </w:rPr>
        <w:t>IT</w:t>
      </w:r>
      <w:r w:rsidR="00EE15FD">
        <w:rPr>
          <w:rFonts w:ascii="Palatino Linotype" w:hAnsi="Palatino Linotype"/>
        </w:rPr>
        <w:t>-</w:t>
      </w:r>
      <w:r w:rsidRPr="00AB64F0">
        <w:rPr>
          <w:rFonts w:ascii="Palatino Linotype" w:hAnsi="Palatino Linotype"/>
        </w:rPr>
        <w:t xml:space="preserve">provider die diensten verleent op het gebied van website hosting of computerprogrammatuur zal in het algemeen buitenlandse causale kosten opleveren voor de ondernemer. Hetzelfde geldt voor een werknemer </w:t>
      </w:r>
      <w:r w:rsidR="00461CCF">
        <w:rPr>
          <w:rFonts w:ascii="Palatino Linotype" w:hAnsi="Palatino Linotype"/>
        </w:rPr>
        <w:t>voor</w:t>
      </w:r>
      <w:r w:rsidR="00132C6B">
        <w:rPr>
          <w:rFonts w:ascii="Palatino Linotype" w:hAnsi="Palatino Linotype"/>
        </w:rPr>
        <w:t xml:space="preserve"> </w:t>
      </w:r>
      <w:r w:rsidR="00461CCF">
        <w:rPr>
          <w:rFonts w:ascii="Palatino Linotype" w:hAnsi="Palatino Linotype"/>
        </w:rPr>
        <w:t>zover deze</w:t>
      </w:r>
      <w:r w:rsidRPr="00AB64F0">
        <w:rPr>
          <w:rFonts w:ascii="Palatino Linotype" w:hAnsi="Palatino Linotype"/>
        </w:rPr>
        <w:t xml:space="preserve"> in het buitenland werkzaam is om omzet te behalen, bijvoorbeeld als inkoper of verkoper. Deelname aan een buitenlandse </w:t>
      </w:r>
      <w:r w:rsidR="00E80B78" w:rsidRPr="00AB64F0">
        <w:rPr>
          <w:rFonts w:ascii="Palatino Linotype" w:hAnsi="Palatino Linotype"/>
        </w:rPr>
        <w:t xml:space="preserve">bedrijfstentoonstelling, of het bijwonen van een training </w:t>
      </w:r>
      <w:r w:rsidR="00EE15FD">
        <w:rPr>
          <w:rFonts w:ascii="Palatino Linotype" w:hAnsi="Palatino Linotype"/>
        </w:rPr>
        <w:t xml:space="preserve">in het buitenland door het </w:t>
      </w:r>
      <w:r w:rsidR="00E80B78" w:rsidRPr="00AB64F0">
        <w:rPr>
          <w:rFonts w:ascii="Palatino Linotype" w:hAnsi="Palatino Linotype"/>
        </w:rPr>
        <w:t>personeel gericht op de kennis voor hun vakgebied, zal eveneens als buitenlandse causale kosten kunnen worden aangemerkt.</w:t>
      </w:r>
      <w:r w:rsidR="00461CCF">
        <w:rPr>
          <w:rFonts w:ascii="Palatino Linotype" w:hAnsi="Palatino Linotype"/>
        </w:rPr>
        <w:t xml:space="preserve"> </w:t>
      </w:r>
      <w:r w:rsidR="002F19BE">
        <w:rPr>
          <w:rFonts w:ascii="Palatino Linotype" w:hAnsi="Palatino Linotype"/>
        </w:rPr>
        <w:t xml:space="preserve">In beginsel kunnen de salariskosten van werknemers </w:t>
      </w:r>
      <w:r w:rsidR="004C379B">
        <w:rPr>
          <w:rFonts w:ascii="Palatino Linotype" w:hAnsi="Palatino Linotype"/>
        </w:rPr>
        <w:t xml:space="preserve">die zich uitsluitend bezighouden met </w:t>
      </w:r>
      <w:r w:rsidR="00111F3E">
        <w:rPr>
          <w:rFonts w:ascii="Palatino Linotype" w:hAnsi="Palatino Linotype"/>
        </w:rPr>
        <w:t>causale activiteiten</w:t>
      </w:r>
      <w:r w:rsidR="004C379B">
        <w:rPr>
          <w:rFonts w:ascii="Palatino Linotype" w:hAnsi="Palatino Linotype"/>
        </w:rPr>
        <w:t xml:space="preserve"> </w:t>
      </w:r>
      <w:r w:rsidR="005F7D0E">
        <w:rPr>
          <w:rFonts w:ascii="Palatino Linotype" w:hAnsi="Palatino Linotype"/>
        </w:rPr>
        <w:t xml:space="preserve">worden toegerekend op basis van de werkdagen dat zij in Curaçao of in het buitenland verblijven. </w:t>
      </w:r>
      <w:r w:rsidR="00D11870">
        <w:rPr>
          <w:rFonts w:ascii="Palatino Linotype" w:hAnsi="Palatino Linotype"/>
        </w:rPr>
        <w:t>Indien de werknemers ook niet</w:t>
      </w:r>
      <w:r w:rsidR="002257FD">
        <w:rPr>
          <w:rFonts w:ascii="Palatino Linotype" w:hAnsi="Palatino Linotype"/>
        </w:rPr>
        <w:t>-</w:t>
      </w:r>
      <w:r w:rsidR="00D11870">
        <w:rPr>
          <w:rFonts w:ascii="Palatino Linotype" w:hAnsi="Palatino Linotype"/>
        </w:rPr>
        <w:t>causale activiteiten verrichten zal een redelijke</w:t>
      </w:r>
      <w:r w:rsidR="00111F3E">
        <w:rPr>
          <w:rFonts w:ascii="Palatino Linotype" w:hAnsi="Palatino Linotype"/>
        </w:rPr>
        <w:t xml:space="preserve"> verdeelsleutel moeten worden gevonden die consistent wordt toegepast.</w:t>
      </w:r>
      <w:r w:rsidR="006F71F5">
        <w:rPr>
          <w:rFonts w:ascii="Palatino Linotype" w:hAnsi="Palatino Linotype"/>
        </w:rPr>
        <w:t xml:space="preserve"> Commissies </w:t>
      </w:r>
      <w:r w:rsidR="004E39E4">
        <w:rPr>
          <w:rFonts w:ascii="Palatino Linotype" w:hAnsi="Palatino Linotype"/>
        </w:rPr>
        <w:t>betaal</w:t>
      </w:r>
      <w:r w:rsidR="00C44020">
        <w:rPr>
          <w:rFonts w:ascii="Palatino Linotype" w:hAnsi="Palatino Linotype"/>
        </w:rPr>
        <w:t>d</w:t>
      </w:r>
      <w:r w:rsidR="004E39E4">
        <w:rPr>
          <w:rFonts w:ascii="Palatino Linotype" w:hAnsi="Palatino Linotype"/>
        </w:rPr>
        <w:t xml:space="preserve"> ter</w:t>
      </w:r>
      <w:r w:rsidR="00564141">
        <w:rPr>
          <w:rFonts w:ascii="Palatino Linotype" w:hAnsi="Palatino Linotype"/>
        </w:rPr>
        <w:t xml:space="preserve"> </w:t>
      </w:r>
      <w:r w:rsidR="004E39E4">
        <w:rPr>
          <w:rFonts w:ascii="Palatino Linotype" w:hAnsi="Palatino Linotype"/>
        </w:rPr>
        <w:t>zake van</w:t>
      </w:r>
      <w:r w:rsidR="00B32B21">
        <w:rPr>
          <w:rFonts w:ascii="Palatino Linotype" w:hAnsi="Palatino Linotype"/>
        </w:rPr>
        <w:t xml:space="preserve"> in het buitenland geleverde diensten van </w:t>
      </w:r>
      <w:r w:rsidR="006F71F5">
        <w:rPr>
          <w:rFonts w:ascii="Palatino Linotype" w:hAnsi="Palatino Linotype"/>
        </w:rPr>
        <w:lastRenderedPageBreak/>
        <w:t xml:space="preserve">buitenlandse verkoopagenten en </w:t>
      </w:r>
      <w:r w:rsidR="0065627D">
        <w:rPr>
          <w:rFonts w:ascii="Palatino Linotype" w:hAnsi="Palatino Linotype"/>
        </w:rPr>
        <w:t>amortisatie van merkrechten</w:t>
      </w:r>
      <w:r w:rsidR="004E39E4">
        <w:rPr>
          <w:rFonts w:ascii="Palatino Linotype" w:hAnsi="Palatino Linotype"/>
        </w:rPr>
        <w:t xml:space="preserve"> of andere immateriële activa</w:t>
      </w:r>
      <w:r w:rsidR="0065627D">
        <w:rPr>
          <w:rFonts w:ascii="Palatino Linotype" w:hAnsi="Palatino Linotype"/>
        </w:rPr>
        <w:t xml:space="preserve"> voor</w:t>
      </w:r>
      <w:r w:rsidR="007E49E4">
        <w:rPr>
          <w:rFonts w:ascii="Palatino Linotype" w:hAnsi="Palatino Linotype"/>
        </w:rPr>
        <w:t xml:space="preserve"> </w:t>
      </w:r>
      <w:r w:rsidR="0065627D">
        <w:rPr>
          <w:rFonts w:ascii="Palatino Linotype" w:hAnsi="Palatino Linotype"/>
        </w:rPr>
        <w:t xml:space="preserve">zover die in het buitenland worden gebruikt zijn eveneens </w:t>
      </w:r>
      <w:r w:rsidR="00B32B21">
        <w:rPr>
          <w:rFonts w:ascii="Palatino Linotype" w:hAnsi="Palatino Linotype"/>
        </w:rPr>
        <w:t>buitenlandse causale kosten.</w:t>
      </w:r>
      <w:r w:rsidR="00791D86">
        <w:rPr>
          <w:rFonts w:ascii="Palatino Linotype" w:hAnsi="Palatino Linotype"/>
        </w:rPr>
        <w:t xml:space="preserve"> Een eventueel resultaat (winst of verlies) bij de verkoop van materiële of immateriële bedrijfsmiddelen wordt toegerekend aan de locatie waar dat bedrijfsmiddel is gebruikt. </w:t>
      </w:r>
    </w:p>
    <w:p w14:paraId="41770232" w14:textId="610B4A7B" w:rsidR="00E80B78" w:rsidRDefault="00E80B78" w:rsidP="00F55F61">
      <w:pPr>
        <w:jc w:val="both"/>
        <w:rPr>
          <w:rFonts w:ascii="Palatino Linotype" w:hAnsi="Palatino Linotype"/>
        </w:rPr>
      </w:pPr>
    </w:p>
    <w:p w14:paraId="5BE5F7B9" w14:textId="79F8230B" w:rsidR="00396C47" w:rsidRPr="00F55F61" w:rsidRDefault="00396C47" w:rsidP="00A87B71">
      <w:pPr>
        <w:jc w:val="both"/>
        <w:rPr>
          <w:rFonts w:ascii="Palatino Linotype" w:hAnsi="Palatino Linotype"/>
        </w:rPr>
      </w:pPr>
      <w:r w:rsidRPr="00AB64F0">
        <w:rPr>
          <w:rFonts w:ascii="Palatino Linotype" w:hAnsi="Palatino Linotype"/>
        </w:rPr>
        <w:t xml:space="preserve">Vervolgens is van belang om te zien hoe de berekening van </w:t>
      </w:r>
      <w:r w:rsidR="006E100E">
        <w:rPr>
          <w:rFonts w:ascii="Palatino Linotype" w:hAnsi="Palatino Linotype"/>
        </w:rPr>
        <w:t xml:space="preserve">het belastbare bedrag </w:t>
      </w:r>
      <w:r w:rsidRPr="00AB64F0">
        <w:rPr>
          <w:rFonts w:ascii="Palatino Linotype" w:hAnsi="Palatino Linotype"/>
        </w:rPr>
        <w:t xml:space="preserve"> </w:t>
      </w:r>
      <w:r>
        <w:rPr>
          <w:rFonts w:ascii="Palatino Linotype" w:hAnsi="Palatino Linotype"/>
        </w:rPr>
        <w:t xml:space="preserve">uit binnenlandse onderneming </w:t>
      </w:r>
      <w:r w:rsidRPr="00AB64F0">
        <w:rPr>
          <w:rFonts w:ascii="Palatino Linotype" w:hAnsi="Palatino Linotype"/>
        </w:rPr>
        <w:t xml:space="preserve">op basis van deze causale kostentoedeling in de praktijk werkt. Hiervoor kan het volgende </w:t>
      </w:r>
      <w:r w:rsidR="00190E45">
        <w:rPr>
          <w:rFonts w:ascii="Palatino Linotype" w:hAnsi="Palatino Linotype"/>
        </w:rPr>
        <w:t xml:space="preserve">vereenvoudigde </w:t>
      </w:r>
      <w:r w:rsidRPr="00AB64F0">
        <w:rPr>
          <w:rFonts w:ascii="Palatino Linotype" w:hAnsi="Palatino Linotype"/>
        </w:rPr>
        <w:t>voorbeeld dienen.</w:t>
      </w:r>
      <w:r w:rsidRPr="00F25D87" w:rsidDel="00F25D87">
        <w:rPr>
          <w:rFonts w:ascii="Palatino Linotype" w:hAnsi="Palatino Linotype"/>
        </w:rPr>
        <w:t xml:space="preserve"> </w:t>
      </w:r>
    </w:p>
    <w:p w14:paraId="093546B3" w14:textId="77777777" w:rsidR="00396C47" w:rsidRPr="00AB64F0" w:rsidRDefault="00396C47" w:rsidP="00F55F61">
      <w:pPr>
        <w:jc w:val="both"/>
        <w:rPr>
          <w:rFonts w:ascii="Palatino Linotype" w:hAnsi="Palatino Linotype"/>
        </w:rPr>
      </w:pPr>
    </w:p>
    <w:p w14:paraId="576A20B5" w14:textId="77777777" w:rsidR="00396C47" w:rsidRDefault="00396C47" w:rsidP="00F55F61">
      <w:pPr>
        <w:rPr>
          <w:rFonts w:ascii="Palatino Linotype" w:hAnsi="Palatino Linotype"/>
          <w:b/>
        </w:rPr>
      </w:pPr>
      <w:r w:rsidRPr="00AB64F0">
        <w:rPr>
          <w:rFonts w:ascii="Palatino Linotype" w:hAnsi="Palatino Linotype"/>
        </w:rPr>
        <w:t>De volgende bedragen dienen als uitgangspunt</w:t>
      </w:r>
      <w:r>
        <w:rPr>
          <w:rFonts w:ascii="Palatino Linotype" w:hAnsi="Palatino Linotype"/>
        </w:rPr>
        <w:t>:</w:t>
      </w:r>
      <w:r w:rsidRPr="00F25D87" w:rsidDel="00F25D87">
        <w:rPr>
          <w:rFonts w:ascii="Palatino Linotype" w:hAnsi="Palatino Linotype"/>
        </w:rPr>
        <w:t xml:space="preserve"> </w:t>
      </w:r>
    </w:p>
    <w:p w14:paraId="1D75A489" w14:textId="77777777" w:rsidR="00396C47" w:rsidRPr="00AB64F0" w:rsidRDefault="00396C47" w:rsidP="00791D86">
      <w:pPr>
        <w:jc w:val="both"/>
        <w:rPr>
          <w:rFonts w:ascii="Palatino Linotype" w:hAnsi="Palatino Linotype"/>
        </w:rPr>
      </w:pPr>
    </w:p>
    <w:tbl>
      <w:tblPr>
        <w:tblStyle w:val="TableGrid"/>
        <w:tblW w:w="0" w:type="auto"/>
        <w:tblLook w:val="04A0" w:firstRow="1" w:lastRow="0" w:firstColumn="1" w:lastColumn="0" w:noHBand="0" w:noVBand="1"/>
      </w:tblPr>
      <w:tblGrid>
        <w:gridCol w:w="4765"/>
        <w:gridCol w:w="2160"/>
        <w:gridCol w:w="4410"/>
      </w:tblGrid>
      <w:tr w:rsidR="009B0F8E" w14:paraId="7787BB49" w14:textId="7A7DEF25" w:rsidTr="00AB64F0">
        <w:tc>
          <w:tcPr>
            <w:tcW w:w="4765" w:type="dxa"/>
          </w:tcPr>
          <w:p w14:paraId="3F777F7E" w14:textId="2F5ED7B8" w:rsidR="009B0F8E" w:rsidRPr="00AB64F0" w:rsidRDefault="009B0F8E" w:rsidP="00F55F61">
            <w:pPr>
              <w:jc w:val="both"/>
              <w:rPr>
                <w:rFonts w:ascii="Palatino Linotype" w:hAnsi="Palatino Linotype"/>
                <w:b/>
              </w:rPr>
            </w:pPr>
            <w:r w:rsidRPr="00AB64F0">
              <w:rPr>
                <w:rFonts w:ascii="Palatino Linotype" w:hAnsi="Palatino Linotype"/>
                <w:b/>
              </w:rPr>
              <w:t xml:space="preserve">Dushi </w:t>
            </w:r>
            <w:r w:rsidR="00132C6B">
              <w:rPr>
                <w:rFonts w:ascii="Palatino Linotype" w:hAnsi="Palatino Linotype"/>
                <w:b/>
              </w:rPr>
              <w:t>B</w:t>
            </w:r>
            <w:r w:rsidR="00132C6B" w:rsidRPr="00AB64F0">
              <w:rPr>
                <w:rFonts w:ascii="Palatino Linotype" w:hAnsi="Palatino Linotype"/>
                <w:b/>
              </w:rPr>
              <w:t>ida</w:t>
            </w:r>
            <w:r w:rsidRPr="00AB64F0">
              <w:rPr>
                <w:rFonts w:ascii="Palatino Linotype" w:hAnsi="Palatino Linotype"/>
                <w:b/>
              </w:rPr>
              <w:t xml:space="preserve"> B.V.</w:t>
            </w:r>
          </w:p>
        </w:tc>
        <w:tc>
          <w:tcPr>
            <w:tcW w:w="2160" w:type="dxa"/>
          </w:tcPr>
          <w:p w14:paraId="3EA50FCC" w14:textId="49C0C683" w:rsidR="009B0F8E" w:rsidRPr="00AB64F0" w:rsidRDefault="009B0F8E" w:rsidP="00F55F61">
            <w:pPr>
              <w:jc w:val="both"/>
              <w:rPr>
                <w:rFonts w:ascii="Palatino Linotype" w:hAnsi="Palatino Linotype"/>
                <w:b/>
              </w:rPr>
            </w:pPr>
            <w:r w:rsidRPr="00AB64F0">
              <w:rPr>
                <w:rFonts w:ascii="Palatino Linotype" w:hAnsi="Palatino Linotype"/>
                <w:b/>
              </w:rPr>
              <w:t>TAX P/L</w:t>
            </w:r>
          </w:p>
        </w:tc>
        <w:tc>
          <w:tcPr>
            <w:tcW w:w="4410" w:type="dxa"/>
          </w:tcPr>
          <w:p w14:paraId="6662CE0D" w14:textId="29A1C8E7" w:rsidR="009B0F8E" w:rsidRDefault="009B0F8E" w:rsidP="00F55F61">
            <w:pPr>
              <w:jc w:val="both"/>
              <w:rPr>
                <w:rFonts w:ascii="Palatino Linotype" w:hAnsi="Palatino Linotype"/>
              </w:rPr>
            </w:pPr>
          </w:p>
        </w:tc>
      </w:tr>
      <w:tr w:rsidR="009B0F8E" w14:paraId="1FE34B54" w14:textId="286A769B" w:rsidTr="00AB64F0">
        <w:tc>
          <w:tcPr>
            <w:tcW w:w="4765" w:type="dxa"/>
          </w:tcPr>
          <w:p w14:paraId="2D28D54F" w14:textId="5648BECE" w:rsidR="009B0F8E" w:rsidRDefault="009B0F8E" w:rsidP="00F55F61">
            <w:pPr>
              <w:jc w:val="both"/>
              <w:rPr>
                <w:rFonts w:ascii="Palatino Linotype" w:hAnsi="Palatino Linotype"/>
              </w:rPr>
            </w:pPr>
            <w:r>
              <w:rPr>
                <w:rFonts w:ascii="Palatino Linotype" w:hAnsi="Palatino Linotype"/>
              </w:rPr>
              <w:t>Omzet</w:t>
            </w:r>
          </w:p>
        </w:tc>
        <w:tc>
          <w:tcPr>
            <w:tcW w:w="2160" w:type="dxa"/>
          </w:tcPr>
          <w:p w14:paraId="29149B7C" w14:textId="64868835" w:rsidR="009B0F8E" w:rsidRDefault="009B0F8E" w:rsidP="00F55F61">
            <w:pPr>
              <w:tabs>
                <w:tab w:val="right" w:pos="1600"/>
              </w:tabs>
              <w:jc w:val="both"/>
              <w:rPr>
                <w:rFonts w:ascii="Palatino Linotype" w:hAnsi="Palatino Linotype"/>
              </w:rPr>
            </w:pPr>
            <w:r>
              <w:rPr>
                <w:rFonts w:ascii="Palatino Linotype" w:hAnsi="Palatino Linotype"/>
              </w:rPr>
              <w:t>NAf</w:t>
            </w:r>
            <w:r w:rsidR="00132C6B">
              <w:rPr>
                <w:rFonts w:ascii="Palatino Linotype" w:hAnsi="Palatino Linotype"/>
              </w:rPr>
              <w:tab/>
            </w:r>
            <w:r w:rsidR="00990835">
              <w:rPr>
                <w:rFonts w:ascii="Palatino Linotype" w:hAnsi="Palatino Linotype"/>
              </w:rPr>
              <w:t>1.200.</w:t>
            </w:r>
            <w:r>
              <w:rPr>
                <w:rFonts w:ascii="Palatino Linotype" w:hAnsi="Palatino Linotype"/>
              </w:rPr>
              <w:t>000</w:t>
            </w:r>
          </w:p>
        </w:tc>
        <w:tc>
          <w:tcPr>
            <w:tcW w:w="4410" w:type="dxa"/>
          </w:tcPr>
          <w:p w14:paraId="128BFFDC" w14:textId="5D5BE2B1" w:rsidR="009B0F8E" w:rsidRDefault="009B0F8E" w:rsidP="00F55F61">
            <w:pPr>
              <w:jc w:val="both"/>
              <w:rPr>
                <w:rFonts w:ascii="Palatino Linotype" w:hAnsi="Palatino Linotype"/>
              </w:rPr>
            </w:pPr>
          </w:p>
        </w:tc>
      </w:tr>
      <w:tr w:rsidR="009B0F8E" w14:paraId="69B69B47" w14:textId="2C8D7F03" w:rsidTr="00AB64F0">
        <w:tc>
          <w:tcPr>
            <w:tcW w:w="4765" w:type="dxa"/>
          </w:tcPr>
          <w:p w14:paraId="6DCD9607" w14:textId="18243558" w:rsidR="009B0F8E" w:rsidRDefault="00B94A08" w:rsidP="00F55F61">
            <w:pPr>
              <w:jc w:val="both"/>
              <w:rPr>
                <w:rFonts w:ascii="Palatino Linotype" w:hAnsi="Palatino Linotype"/>
              </w:rPr>
            </w:pPr>
            <w:r>
              <w:rPr>
                <w:rFonts w:ascii="Palatino Linotype" w:hAnsi="Palatino Linotype"/>
              </w:rPr>
              <w:t>Af: m</w:t>
            </w:r>
            <w:r w:rsidR="009B0F8E">
              <w:rPr>
                <w:rFonts w:ascii="Palatino Linotype" w:hAnsi="Palatino Linotype"/>
              </w:rPr>
              <w:t xml:space="preserve">ateriaalkosten </w:t>
            </w:r>
          </w:p>
        </w:tc>
        <w:tc>
          <w:tcPr>
            <w:tcW w:w="2160" w:type="dxa"/>
          </w:tcPr>
          <w:p w14:paraId="3A57187C" w14:textId="0721CB71" w:rsidR="009B0F8E" w:rsidRDefault="009B0F8E" w:rsidP="00F55F61">
            <w:pPr>
              <w:tabs>
                <w:tab w:val="right" w:pos="1600"/>
              </w:tabs>
              <w:jc w:val="both"/>
              <w:rPr>
                <w:rFonts w:ascii="Palatino Linotype" w:hAnsi="Palatino Linotype"/>
              </w:rPr>
            </w:pPr>
            <w:r>
              <w:rPr>
                <w:rFonts w:ascii="Palatino Linotype" w:hAnsi="Palatino Linotype"/>
              </w:rPr>
              <w:t>NAf</w:t>
            </w:r>
            <w:r w:rsidR="00132C6B">
              <w:rPr>
                <w:rFonts w:ascii="Palatino Linotype" w:hAnsi="Palatino Linotype"/>
              </w:rPr>
              <w:tab/>
            </w:r>
            <w:r w:rsidR="00990835">
              <w:rPr>
                <w:rFonts w:ascii="Palatino Linotype" w:hAnsi="Palatino Linotype"/>
              </w:rPr>
              <w:t>5</w:t>
            </w:r>
            <w:r>
              <w:rPr>
                <w:rFonts w:ascii="Palatino Linotype" w:hAnsi="Palatino Linotype"/>
              </w:rPr>
              <w:t>00.000</w:t>
            </w:r>
          </w:p>
        </w:tc>
        <w:tc>
          <w:tcPr>
            <w:tcW w:w="4410" w:type="dxa"/>
          </w:tcPr>
          <w:p w14:paraId="03017372" w14:textId="169DAF34" w:rsidR="009B0F8E" w:rsidRDefault="009B0F8E" w:rsidP="00F55F61">
            <w:pPr>
              <w:jc w:val="both"/>
              <w:rPr>
                <w:rFonts w:ascii="Palatino Linotype" w:hAnsi="Palatino Linotype"/>
              </w:rPr>
            </w:pPr>
          </w:p>
        </w:tc>
      </w:tr>
      <w:tr w:rsidR="009B0F8E" w14:paraId="48D6422C" w14:textId="1629A8B0" w:rsidTr="00AB64F0">
        <w:tc>
          <w:tcPr>
            <w:tcW w:w="4765" w:type="dxa"/>
          </w:tcPr>
          <w:p w14:paraId="1D6FDBD9" w14:textId="6ED81167" w:rsidR="009B0F8E" w:rsidRDefault="009B0F8E" w:rsidP="00F55F61">
            <w:pPr>
              <w:jc w:val="both"/>
              <w:rPr>
                <w:rFonts w:ascii="Palatino Linotype" w:hAnsi="Palatino Linotype"/>
              </w:rPr>
            </w:pPr>
            <w:r>
              <w:rPr>
                <w:rFonts w:ascii="Palatino Linotype" w:hAnsi="Palatino Linotype"/>
              </w:rPr>
              <w:t>Brutowinst</w:t>
            </w:r>
          </w:p>
        </w:tc>
        <w:tc>
          <w:tcPr>
            <w:tcW w:w="2160" w:type="dxa"/>
          </w:tcPr>
          <w:p w14:paraId="2346E14B" w14:textId="77777777" w:rsidR="009B0F8E" w:rsidRDefault="009B0F8E" w:rsidP="00F55F61">
            <w:pPr>
              <w:tabs>
                <w:tab w:val="right" w:pos="610"/>
              </w:tabs>
              <w:jc w:val="both"/>
              <w:rPr>
                <w:rFonts w:ascii="Palatino Linotype" w:hAnsi="Palatino Linotype"/>
              </w:rPr>
            </w:pPr>
          </w:p>
        </w:tc>
        <w:tc>
          <w:tcPr>
            <w:tcW w:w="4410" w:type="dxa"/>
          </w:tcPr>
          <w:p w14:paraId="6751D145" w14:textId="169DE215" w:rsidR="009B0F8E" w:rsidRDefault="009B0F8E" w:rsidP="00F55F61">
            <w:pPr>
              <w:jc w:val="both"/>
              <w:rPr>
                <w:rFonts w:ascii="Palatino Linotype" w:hAnsi="Palatino Linotype"/>
              </w:rPr>
            </w:pPr>
            <w:r>
              <w:rPr>
                <w:rFonts w:ascii="Palatino Linotype" w:hAnsi="Palatino Linotype"/>
              </w:rPr>
              <w:t xml:space="preserve">NAf </w:t>
            </w:r>
            <w:r w:rsidR="00990835">
              <w:rPr>
                <w:rFonts w:ascii="Palatino Linotype" w:hAnsi="Palatino Linotype"/>
              </w:rPr>
              <w:t>700</w:t>
            </w:r>
            <w:r>
              <w:rPr>
                <w:rFonts w:ascii="Palatino Linotype" w:hAnsi="Palatino Linotype"/>
              </w:rPr>
              <w:t>.000</w:t>
            </w:r>
          </w:p>
        </w:tc>
      </w:tr>
      <w:tr w:rsidR="009B0F8E" w14:paraId="4C38B345" w14:textId="43A9F105" w:rsidTr="00AB64F0">
        <w:tc>
          <w:tcPr>
            <w:tcW w:w="4765" w:type="dxa"/>
          </w:tcPr>
          <w:p w14:paraId="5EB5605C" w14:textId="1D41D2F4" w:rsidR="009B0F8E" w:rsidRDefault="009B0F8E" w:rsidP="00F55F61">
            <w:pPr>
              <w:jc w:val="both"/>
              <w:rPr>
                <w:rFonts w:ascii="Palatino Linotype" w:hAnsi="Palatino Linotype"/>
              </w:rPr>
            </w:pPr>
            <w:r>
              <w:rPr>
                <w:rFonts w:ascii="Palatino Linotype" w:hAnsi="Palatino Linotype"/>
              </w:rPr>
              <w:t>Lokale causale kosten (LCK)</w:t>
            </w:r>
          </w:p>
        </w:tc>
        <w:tc>
          <w:tcPr>
            <w:tcW w:w="2160" w:type="dxa"/>
          </w:tcPr>
          <w:p w14:paraId="69D63A7E" w14:textId="36866127" w:rsidR="009B0F8E" w:rsidRDefault="009B0F8E" w:rsidP="00F55F61">
            <w:pPr>
              <w:tabs>
                <w:tab w:val="right" w:pos="1600"/>
              </w:tabs>
              <w:jc w:val="both"/>
              <w:rPr>
                <w:rFonts w:ascii="Palatino Linotype" w:hAnsi="Palatino Linotype"/>
              </w:rPr>
            </w:pPr>
            <w:r>
              <w:rPr>
                <w:rFonts w:ascii="Palatino Linotype" w:hAnsi="Palatino Linotype"/>
              </w:rPr>
              <w:t>NAf</w:t>
            </w:r>
            <w:r w:rsidR="00132C6B">
              <w:rPr>
                <w:rFonts w:ascii="Palatino Linotype" w:hAnsi="Palatino Linotype"/>
              </w:rPr>
              <w:tab/>
            </w:r>
            <w:r w:rsidR="00990835">
              <w:rPr>
                <w:rFonts w:ascii="Palatino Linotype" w:hAnsi="Palatino Linotype"/>
              </w:rPr>
              <w:t>300</w:t>
            </w:r>
            <w:r>
              <w:rPr>
                <w:rFonts w:ascii="Palatino Linotype" w:hAnsi="Palatino Linotype"/>
              </w:rPr>
              <w:t>.000</w:t>
            </w:r>
          </w:p>
        </w:tc>
        <w:tc>
          <w:tcPr>
            <w:tcW w:w="4410" w:type="dxa"/>
          </w:tcPr>
          <w:p w14:paraId="6F3E831C" w14:textId="713DC5B2" w:rsidR="009B0F8E" w:rsidRDefault="009B0F8E" w:rsidP="00F55F61">
            <w:pPr>
              <w:jc w:val="both"/>
              <w:rPr>
                <w:rFonts w:ascii="Palatino Linotype" w:hAnsi="Palatino Linotype"/>
              </w:rPr>
            </w:pPr>
          </w:p>
        </w:tc>
      </w:tr>
      <w:tr w:rsidR="009B0F8E" w14:paraId="5DCBBEA8" w14:textId="572E0EF9" w:rsidTr="00AB64F0">
        <w:tc>
          <w:tcPr>
            <w:tcW w:w="4765" w:type="dxa"/>
          </w:tcPr>
          <w:p w14:paraId="36423FB3" w14:textId="4C68C9DB" w:rsidR="009B0F8E" w:rsidRDefault="009B0F8E" w:rsidP="00F55F61">
            <w:pPr>
              <w:jc w:val="both"/>
              <w:rPr>
                <w:rFonts w:ascii="Palatino Linotype" w:hAnsi="Palatino Linotype"/>
              </w:rPr>
            </w:pPr>
            <w:r w:rsidRPr="0076456D">
              <w:rPr>
                <w:rFonts w:ascii="Palatino Linotype" w:hAnsi="Palatino Linotype"/>
              </w:rPr>
              <w:t>Buitenlandse causale kosten</w:t>
            </w:r>
            <w:r>
              <w:rPr>
                <w:rFonts w:ascii="Palatino Linotype" w:hAnsi="Palatino Linotype"/>
              </w:rPr>
              <w:t xml:space="preserve"> (BCK)</w:t>
            </w:r>
          </w:p>
        </w:tc>
        <w:tc>
          <w:tcPr>
            <w:tcW w:w="2160" w:type="dxa"/>
          </w:tcPr>
          <w:p w14:paraId="36FF28D7" w14:textId="1AB0B96B" w:rsidR="009B0F8E" w:rsidRDefault="009B0F8E" w:rsidP="00F55F61">
            <w:pPr>
              <w:tabs>
                <w:tab w:val="right" w:pos="1600"/>
              </w:tabs>
              <w:jc w:val="both"/>
              <w:rPr>
                <w:rFonts w:ascii="Palatino Linotype" w:hAnsi="Palatino Linotype"/>
              </w:rPr>
            </w:pPr>
            <w:r>
              <w:rPr>
                <w:rFonts w:ascii="Palatino Linotype" w:hAnsi="Palatino Linotype"/>
              </w:rPr>
              <w:t>NAf</w:t>
            </w:r>
            <w:r w:rsidR="00132C6B">
              <w:rPr>
                <w:rFonts w:ascii="Palatino Linotype" w:hAnsi="Palatino Linotype"/>
              </w:rPr>
              <w:tab/>
            </w:r>
            <w:r w:rsidR="00990835">
              <w:rPr>
                <w:rFonts w:ascii="Palatino Linotype" w:hAnsi="Palatino Linotype"/>
              </w:rPr>
              <w:t>100.000</w:t>
            </w:r>
          </w:p>
        </w:tc>
        <w:tc>
          <w:tcPr>
            <w:tcW w:w="4410" w:type="dxa"/>
          </w:tcPr>
          <w:p w14:paraId="26928381" w14:textId="5A8EE54A" w:rsidR="009B0F8E" w:rsidRDefault="009B0F8E" w:rsidP="00F55F61">
            <w:pPr>
              <w:jc w:val="both"/>
              <w:rPr>
                <w:rFonts w:ascii="Palatino Linotype" w:hAnsi="Palatino Linotype"/>
              </w:rPr>
            </w:pPr>
          </w:p>
        </w:tc>
      </w:tr>
      <w:tr w:rsidR="009B0F8E" w14:paraId="0AF34522" w14:textId="56AA3726" w:rsidTr="00AB64F0">
        <w:tc>
          <w:tcPr>
            <w:tcW w:w="4765" w:type="dxa"/>
          </w:tcPr>
          <w:p w14:paraId="6C5E2837" w14:textId="08C60A3A" w:rsidR="009B0F8E" w:rsidRDefault="00B94A08" w:rsidP="00F55F61">
            <w:pPr>
              <w:jc w:val="both"/>
              <w:rPr>
                <w:rFonts w:ascii="Palatino Linotype" w:hAnsi="Palatino Linotype"/>
              </w:rPr>
            </w:pPr>
            <w:r>
              <w:rPr>
                <w:rFonts w:ascii="Palatino Linotype" w:hAnsi="Palatino Linotype"/>
              </w:rPr>
              <w:t>Af: t</w:t>
            </w:r>
            <w:r w:rsidR="009B0F8E" w:rsidRPr="0076456D">
              <w:rPr>
                <w:rFonts w:ascii="Palatino Linotype" w:hAnsi="Palatino Linotype"/>
              </w:rPr>
              <w:t>otale causale kosten</w:t>
            </w:r>
            <w:r w:rsidR="009B0F8E">
              <w:rPr>
                <w:rFonts w:ascii="Palatino Linotype" w:hAnsi="Palatino Linotype"/>
              </w:rPr>
              <w:t xml:space="preserve"> (TCK)</w:t>
            </w:r>
          </w:p>
        </w:tc>
        <w:tc>
          <w:tcPr>
            <w:tcW w:w="2160" w:type="dxa"/>
          </w:tcPr>
          <w:p w14:paraId="1233E7BE" w14:textId="1A6E6A90" w:rsidR="009B0F8E" w:rsidRDefault="009B0F8E" w:rsidP="00F55F61">
            <w:pPr>
              <w:jc w:val="both"/>
              <w:rPr>
                <w:rFonts w:ascii="Palatino Linotype" w:hAnsi="Palatino Linotype"/>
              </w:rPr>
            </w:pPr>
          </w:p>
        </w:tc>
        <w:tc>
          <w:tcPr>
            <w:tcW w:w="4410" w:type="dxa"/>
          </w:tcPr>
          <w:p w14:paraId="7339C97A" w14:textId="2EBB72A2" w:rsidR="009B0F8E" w:rsidRDefault="009B0F8E" w:rsidP="00F55F61">
            <w:pPr>
              <w:jc w:val="both"/>
              <w:rPr>
                <w:rFonts w:ascii="Palatino Linotype" w:hAnsi="Palatino Linotype"/>
              </w:rPr>
            </w:pPr>
            <w:r>
              <w:rPr>
                <w:rFonts w:ascii="Palatino Linotype" w:hAnsi="Palatino Linotype"/>
              </w:rPr>
              <w:t xml:space="preserve">NAf </w:t>
            </w:r>
            <w:r w:rsidR="00990835">
              <w:rPr>
                <w:rFonts w:ascii="Palatino Linotype" w:hAnsi="Palatino Linotype"/>
              </w:rPr>
              <w:t>40</w:t>
            </w:r>
            <w:r>
              <w:rPr>
                <w:rFonts w:ascii="Palatino Linotype" w:hAnsi="Palatino Linotype"/>
              </w:rPr>
              <w:t>0.000 -</w:t>
            </w:r>
          </w:p>
        </w:tc>
      </w:tr>
      <w:tr w:rsidR="009B0F8E" w14:paraId="4BD3C266" w14:textId="7087DC54" w:rsidTr="00AB64F0">
        <w:tc>
          <w:tcPr>
            <w:tcW w:w="4765" w:type="dxa"/>
          </w:tcPr>
          <w:p w14:paraId="31AFEDEA" w14:textId="4BD4143C" w:rsidR="009B0F8E" w:rsidRDefault="009B0F8E" w:rsidP="00F55F61">
            <w:pPr>
              <w:jc w:val="both"/>
              <w:rPr>
                <w:rFonts w:ascii="Palatino Linotype" w:hAnsi="Palatino Linotype"/>
              </w:rPr>
            </w:pPr>
            <w:r w:rsidRPr="0076456D">
              <w:rPr>
                <w:rFonts w:ascii="Palatino Linotype" w:hAnsi="Palatino Linotype"/>
              </w:rPr>
              <w:t>Winst na causale kosten</w:t>
            </w:r>
          </w:p>
        </w:tc>
        <w:tc>
          <w:tcPr>
            <w:tcW w:w="2160" w:type="dxa"/>
          </w:tcPr>
          <w:p w14:paraId="0E8031CA" w14:textId="77777777" w:rsidR="009B0F8E" w:rsidRDefault="009B0F8E" w:rsidP="00F55F61">
            <w:pPr>
              <w:jc w:val="both"/>
              <w:rPr>
                <w:rFonts w:ascii="Palatino Linotype" w:hAnsi="Palatino Linotype"/>
              </w:rPr>
            </w:pPr>
          </w:p>
        </w:tc>
        <w:tc>
          <w:tcPr>
            <w:tcW w:w="4410" w:type="dxa"/>
          </w:tcPr>
          <w:p w14:paraId="4546E533" w14:textId="3CAB5756" w:rsidR="009B0F8E" w:rsidRDefault="009B0F8E" w:rsidP="00F55F61">
            <w:pPr>
              <w:jc w:val="both"/>
              <w:rPr>
                <w:rFonts w:ascii="Palatino Linotype" w:hAnsi="Palatino Linotype"/>
              </w:rPr>
            </w:pPr>
            <w:r>
              <w:rPr>
                <w:rFonts w:ascii="Palatino Linotype" w:hAnsi="Palatino Linotype"/>
              </w:rPr>
              <w:t xml:space="preserve">NAf </w:t>
            </w:r>
            <w:r w:rsidR="00990835">
              <w:rPr>
                <w:rFonts w:ascii="Palatino Linotype" w:hAnsi="Palatino Linotype"/>
              </w:rPr>
              <w:t>300</w:t>
            </w:r>
            <w:r>
              <w:rPr>
                <w:rFonts w:ascii="Palatino Linotype" w:hAnsi="Palatino Linotype"/>
              </w:rPr>
              <w:t>.000</w:t>
            </w:r>
            <w:r w:rsidR="003D690D">
              <w:rPr>
                <w:rFonts w:ascii="Palatino Linotype" w:hAnsi="Palatino Linotype"/>
              </w:rPr>
              <w:t xml:space="preserve"> </w:t>
            </w:r>
          </w:p>
        </w:tc>
      </w:tr>
      <w:tr w:rsidR="009B0F8E" w14:paraId="6A78B943" w14:textId="07773092" w:rsidTr="00AB64F0">
        <w:tc>
          <w:tcPr>
            <w:tcW w:w="4765" w:type="dxa"/>
          </w:tcPr>
          <w:p w14:paraId="6A82ABF0" w14:textId="7D23D394" w:rsidR="009B0F8E" w:rsidRDefault="003D690D" w:rsidP="00F55F61">
            <w:pPr>
              <w:jc w:val="both"/>
              <w:rPr>
                <w:rFonts w:ascii="Palatino Linotype" w:hAnsi="Palatino Linotype"/>
              </w:rPr>
            </w:pPr>
            <w:r>
              <w:rPr>
                <w:rFonts w:ascii="Palatino Linotype" w:hAnsi="Palatino Linotype"/>
              </w:rPr>
              <w:t>Af: n</w:t>
            </w:r>
            <w:r w:rsidR="009B0F8E" w:rsidRPr="0076456D">
              <w:rPr>
                <w:rFonts w:ascii="Palatino Linotype" w:hAnsi="Palatino Linotype"/>
              </w:rPr>
              <w:t>iet-causale kosten</w:t>
            </w:r>
            <w:r w:rsidR="009B0F8E">
              <w:rPr>
                <w:rFonts w:ascii="Palatino Linotype" w:hAnsi="Palatino Linotype"/>
              </w:rPr>
              <w:t xml:space="preserve"> (NCK)</w:t>
            </w:r>
          </w:p>
        </w:tc>
        <w:tc>
          <w:tcPr>
            <w:tcW w:w="2160" w:type="dxa"/>
          </w:tcPr>
          <w:p w14:paraId="73F9B1B9" w14:textId="77777777" w:rsidR="009B0F8E" w:rsidRDefault="009B0F8E" w:rsidP="00F55F61">
            <w:pPr>
              <w:jc w:val="both"/>
              <w:rPr>
                <w:rFonts w:ascii="Palatino Linotype" w:hAnsi="Palatino Linotype"/>
              </w:rPr>
            </w:pPr>
          </w:p>
        </w:tc>
        <w:tc>
          <w:tcPr>
            <w:tcW w:w="4410" w:type="dxa"/>
          </w:tcPr>
          <w:p w14:paraId="320AFC2B" w14:textId="4DDE4A75" w:rsidR="009B0F8E" w:rsidRDefault="009B0F8E" w:rsidP="00F55F61">
            <w:pPr>
              <w:jc w:val="both"/>
              <w:rPr>
                <w:rFonts w:ascii="Palatino Linotype" w:hAnsi="Palatino Linotype"/>
              </w:rPr>
            </w:pPr>
            <w:r>
              <w:rPr>
                <w:rFonts w:ascii="Palatino Linotype" w:hAnsi="Palatino Linotype"/>
              </w:rPr>
              <w:t xml:space="preserve">NAf </w:t>
            </w:r>
            <w:r w:rsidR="00990835">
              <w:rPr>
                <w:rFonts w:ascii="Palatino Linotype" w:hAnsi="Palatino Linotype"/>
              </w:rPr>
              <w:t>2</w:t>
            </w:r>
            <w:r>
              <w:rPr>
                <w:rFonts w:ascii="Palatino Linotype" w:hAnsi="Palatino Linotype"/>
              </w:rPr>
              <w:t>00.000 -</w:t>
            </w:r>
          </w:p>
        </w:tc>
      </w:tr>
      <w:tr w:rsidR="009B0F8E" w14:paraId="1CAEC1F4" w14:textId="41264AB9" w:rsidTr="00AB64F0">
        <w:tc>
          <w:tcPr>
            <w:tcW w:w="4765" w:type="dxa"/>
          </w:tcPr>
          <w:p w14:paraId="3FFD5F31" w14:textId="30830A12" w:rsidR="009B0F8E" w:rsidRDefault="009B0F8E" w:rsidP="00F55F61">
            <w:pPr>
              <w:jc w:val="both"/>
              <w:rPr>
                <w:rFonts w:ascii="Palatino Linotype" w:hAnsi="Palatino Linotype"/>
              </w:rPr>
            </w:pPr>
            <w:r w:rsidRPr="0076456D">
              <w:rPr>
                <w:rFonts w:ascii="Palatino Linotype" w:hAnsi="Palatino Linotype"/>
              </w:rPr>
              <w:t>Nettowinst</w:t>
            </w:r>
          </w:p>
        </w:tc>
        <w:tc>
          <w:tcPr>
            <w:tcW w:w="2160" w:type="dxa"/>
          </w:tcPr>
          <w:p w14:paraId="7A55F90B" w14:textId="77777777" w:rsidR="009B0F8E" w:rsidRDefault="009B0F8E" w:rsidP="00F55F61">
            <w:pPr>
              <w:jc w:val="both"/>
              <w:rPr>
                <w:rFonts w:ascii="Palatino Linotype" w:hAnsi="Palatino Linotype"/>
              </w:rPr>
            </w:pPr>
          </w:p>
        </w:tc>
        <w:tc>
          <w:tcPr>
            <w:tcW w:w="4410" w:type="dxa"/>
          </w:tcPr>
          <w:p w14:paraId="7639A653" w14:textId="70FE916D" w:rsidR="009B0F8E" w:rsidRDefault="009B0F8E" w:rsidP="00F55F61">
            <w:pPr>
              <w:jc w:val="both"/>
              <w:rPr>
                <w:rFonts w:ascii="Palatino Linotype" w:hAnsi="Palatino Linotype"/>
              </w:rPr>
            </w:pPr>
            <w:r>
              <w:rPr>
                <w:rFonts w:ascii="Palatino Linotype" w:hAnsi="Palatino Linotype"/>
              </w:rPr>
              <w:t>NAf 10</w:t>
            </w:r>
            <w:r w:rsidR="00990835">
              <w:rPr>
                <w:rFonts w:ascii="Palatino Linotype" w:hAnsi="Palatino Linotype"/>
              </w:rPr>
              <w:t>0</w:t>
            </w:r>
            <w:r>
              <w:rPr>
                <w:rFonts w:ascii="Palatino Linotype" w:hAnsi="Palatino Linotype"/>
              </w:rPr>
              <w:t>.000</w:t>
            </w:r>
          </w:p>
        </w:tc>
      </w:tr>
      <w:tr w:rsidR="009B0F8E" w14:paraId="7A50A518" w14:textId="21390B90" w:rsidTr="00AB64F0">
        <w:tc>
          <w:tcPr>
            <w:tcW w:w="4765" w:type="dxa"/>
          </w:tcPr>
          <w:p w14:paraId="3AA36363" w14:textId="77777777" w:rsidR="009B0F8E" w:rsidRPr="0076456D" w:rsidRDefault="009B0F8E" w:rsidP="00F55F61">
            <w:pPr>
              <w:jc w:val="both"/>
              <w:rPr>
                <w:rFonts w:ascii="Palatino Linotype" w:hAnsi="Palatino Linotype"/>
              </w:rPr>
            </w:pPr>
          </w:p>
        </w:tc>
        <w:tc>
          <w:tcPr>
            <w:tcW w:w="2160" w:type="dxa"/>
          </w:tcPr>
          <w:p w14:paraId="2928A3BC" w14:textId="77777777" w:rsidR="009B0F8E" w:rsidRDefault="009B0F8E" w:rsidP="00F55F61">
            <w:pPr>
              <w:jc w:val="both"/>
              <w:rPr>
                <w:rFonts w:ascii="Palatino Linotype" w:hAnsi="Palatino Linotype"/>
              </w:rPr>
            </w:pPr>
          </w:p>
        </w:tc>
        <w:tc>
          <w:tcPr>
            <w:tcW w:w="4410" w:type="dxa"/>
          </w:tcPr>
          <w:p w14:paraId="171E23D0" w14:textId="77777777" w:rsidR="009B0F8E" w:rsidRDefault="009B0F8E" w:rsidP="00F55F61">
            <w:pPr>
              <w:jc w:val="both"/>
              <w:rPr>
                <w:rFonts w:ascii="Palatino Linotype" w:hAnsi="Palatino Linotype"/>
              </w:rPr>
            </w:pPr>
          </w:p>
        </w:tc>
      </w:tr>
      <w:tr w:rsidR="009B0F8E" w14:paraId="2F5074E4" w14:textId="7562016E" w:rsidTr="00AB64F0">
        <w:tc>
          <w:tcPr>
            <w:tcW w:w="4765" w:type="dxa"/>
          </w:tcPr>
          <w:p w14:paraId="0FA0DAE9" w14:textId="09E7A4BC" w:rsidR="009B0F8E" w:rsidRPr="00AB64F0" w:rsidRDefault="009B0F8E" w:rsidP="00F55F61">
            <w:pPr>
              <w:jc w:val="both"/>
              <w:rPr>
                <w:rFonts w:ascii="Palatino Linotype" w:hAnsi="Palatino Linotype"/>
                <w:b/>
              </w:rPr>
            </w:pPr>
            <w:r w:rsidRPr="00AB64F0">
              <w:rPr>
                <w:rFonts w:ascii="Palatino Linotype" w:hAnsi="Palatino Linotype"/>
                <w:b/>
              </w:rPr>
              <w:t>Binnenlandse winst</w:t>
            </w:r>
          </w:p>
        </w:tc>
        <w:tc>
          <w:tcPr>
            <w:tcW w:w="2160" w:type="dxa"/>
          </w:tcPr>
          <w:p w14:paraId="28FAE806" w14:textId="77777777" w:rsidR="009B0F8E" w:rsidRDefault="009B0F8E" w:rsidP="00F55F61">
            <w:pPr>
              <w:jc w:val="both"/>
              <w:rPr>
                <w:rFonts w:ascii="Palatino Linotype" w:hAnsi="Palatino Linotype"/>
              </w:rPr>
            </w:pPr>
          </w:p>
        </w:tc>
        <w:tc>
          <w:tcPr>
            <w:tcW w:w="4410" w:type="dxa"/>
          </w:tcPr>
          <w:p w14:paraId="3CA3FDAE" w14:textId="77777777" w:rsidR="009B0F8E" w:rsidRDefault="009B0F8E" w:rsidP="00F55F61">
            <w:pPr>
              <w:jc w:val="both"/>
              <w:rPr>
                <w:rFonts w:ascii="Palatino Linotype" w:hAnsi="Palatino Linotype"/>
              </w:rPr>
            </w:pPr>
          </w:p>
        </w:tc>
      </w:tr>
      <w:tr w:rsidR="009B0F8E" w14:paraId="08EC4482" w14:textId="18C4334D" w:rsidTr="00AB64F0">
        <w:tc>
          <w:tcPr>
            <w:tcW w:w="4765" w:type="dxa"/>
          </w:tcPr>
          <w:p w14:paraId="3C3E4383" w14:textId="2A4BFD31" w:rsidR="009B0F8E" w:rsidRPr="0076456D" w:rsidRDefault="009B0F8E" w:rsidP="00F55F61">
            <w:pPr>
              <w:jc w:val="both"/>
              <w:rPr>
                <w:rFonts w:ascii="Palatino Linotype" w:hAnsi="Palatino Linotype"/>
              </w:rPr>
            </w:pPr>
            <w:r>
              <w:rPr>
                <w:rFonts w:ascii="Palatino Linotype" w:hAnsi="Palatino Linotype"/>
              </w:rPr>
              <w:t>Toerekening winst na causale kosten</w:t>
            </w:r>
          </w:p>
        </w:tc>
        <w:tc>
          <w:tcPr>
            <w:tcW w:w="2160" w:type="dxa"/>
          </w:tcPr>
          <w:p w14:paraId="3BB0D13B" w14:textId="77777777" w:rsidR="009B0F8E" w:rsidRDefault="009B0F8E" w:rsidP="00F55F61">
            <w:pPr>
              <w:jc w:val="both"/>
              <w:rPr>
                <w:rFonts w:ascii="Palatino Linotype" w:hAnsi="Palatino Linotype"/>
              </w:rPr>
            </w:pPr>
          </w:p>
        </w:tc>
        <w:tc>
          <w:tcPr>
            <w:tcW w:w="4410" w:type="dxa"/>
          </w:tcPr>
          <w:p w14:paraId="095799B5" w14:textId="48336C14" w:rsidR="009B0F8E" w:rsidRDefault="00990835" w:rsidP="00F55F61">
            <w:pPr>
              <w:jc w:val="both"/>
              <w:rPr>
                <w:rFonts w:ascii="Palatino Linotype" w:hAnsi="Palatino Linotype"/>
              </w:rPr>
            </w:pPr>
            <w:r>
              <w:rPr>
                <w:rFonts w:ascii="Palatino Linotype" w:hAnsi="Palatino Linotype"/>
              </w:rPr>
              <w:t>300</w:t>
            </w:r>
            <w:r w:rsidR="009B0F8E">
              <w:rPr>
                <w:rFonts w:ascii="Palatino Linotype" w:hAnsi="Palatino Linotype"/>
              </w:rPr>
              <w:t xml:space="preserve">.000 x </w:t>
            </w:r>
            <w:r w:rsidR="00B94A08">
              <w:rPr>
                <w:rFonts w:ascii="Palatino Linotype" w:hAnsi="Palatino Linotype"/>
              </w:rPr>
              <w:t>(</w:t>
            </w:r>
            <w:r>
              <w:rPr>
                <w:rFonts w:ascii="Palatino Linotype" w:hAnsi="Palatino Linotype"/>
              </w:rPr>
              <w:t>300.</w:t>
            </w:r>
            <w:r w:rsidR="009B0F8E">
              <w:rPr>
                <w:rFonts w:ascii="Palatino Linotype" w:hAnsi="Palatino Linotype"/>
              </w:rPr>
              <w:t>000/</w:t>
            </w:r>
            <w:r>
              <w:rPr>
                <w:rFonts w:ascii="Palatino Linotype" w:hAnsi="Palatino Linotype"/>
              </w:rPr>
              <w:t>400</w:t>
            </w:r>
            <w:r w:rsidR="009B0F8E">
              <w:rPr>
                <w:rFonts w:ascii="Palatino Linotype" w:hAnsi="Palatino Linotype"/>
              </w:rPr>
              <w:t>.000</w:t>
            </w:r>
            <w:r w:rsidR="00B94A08">
              <w:rPr>
                <w:rFonts w:ascii="Palatino Linotype" w:hAnsi="Palatino Linotype"/>
              </w:rPr>
              <w:t>)</w:t>
            </w:r>
            <w:r w:rsidR="009B0F8E">
              <w:rPr>
                <w:rFonts w:ascii="Palatino Linotype" w:hAnsi="Palatino Linotype"/>
              </w:rPr>
              <w:t xml:space="preserve"> = </w:t>
            </w:r>
            <w:r w:rsidR="00953375">
              <w:rPr>
                <w:rFonts w:ascii="Palatino Linotype" w:hAnsi="Palatino Linotype"/>
              </w:rPr>
              <w:t xml:space="preserve">NAf </w:t>
            </w:r>
            <w:r>
              <w:rPr>
                <w:rFonts w:ascii="Palatino Linotype" w:hAnsi="Palatino Linotype"/>
              </w:rPr>
              <w:t>225</w:t>
            </w:r>
            <w:r w:rsidR="009B0F8E">
              <w:rPr>
                <w:rFonts w:ascii="Palatino Linotype" w:hAnsi="Palatino Linotype"/>
              </w:rPr>
              <w:t>.</w:t>
            </w:r>
            <w:r>
              <w:rPr>
                <w:rFonts w:ascii="Palatino Linotype" w:hAnsi="Palatino Linotype"/>
              </w:rPr>
              <w:t>0</w:t>
            </w:r>
            <w:r w:rsidR="009B0F8E">
              <w:rPr>
                <w:rFonts w:ascii="Palatino Linotype" w:hAnsi="Palatino Linotype"/>
              </w:rPr>
              <w:t>00</w:t>
            </w:r>
          </w:p>
        </w:tc>
      </w:tr>
      <w:tr w:rsidR="009B0F8E" w14:paraId="104DD637" w14:textId="66149148" w:rsidTr="00AB64F0">
        <w:tc>
          <w:tcPr>
            <w:tcW w:w="4765" w:type="dxa"/>
          </w:tcPr>
          <w:p w14:paraId="2ACC1298" w14:textId="5B1DD8EB" w:rsidR="009B0F8E" w:rsidRPr="0076456D" w:rsidRDefault="003D690D" w:rsidP="00F55F61">
            <w:pPr>
              <w:jc w:val="both"/>
              <w:rPr>
                <w:rFonts w:ascii="Palatino Linotype" w:hAnsi="Palatino Linotype"/>
              </w:rPr>
            </w:pPr>
            <w:r>
              <w:rPr>
                <w:rFonts w:ascii="Palatino Linotype" w:hAnsi="Palatino Linotype"/>
              </w:rPr>
              <w:t>Af: t</w:t>
            </w:r>
            <w:r w:rsidR="009B0F8E">
              <w:rPr>
                <w:rFonts w:ascii="Palatino Linotype" w:hAnsi="Palatino Linotype"/>
              </w:rPr>
              <w:t>oerekening niet-causale kosten</w:t>
            </w:r>
          </w:p>
        </w:tc>
        <w:tc>
          <w:tcPr>
            <w:tcW w:w="2160" w:type="dxa"/>
          </w:tcPr>
          <w:p w14:paraId="71F20BBC" w14:textId="77777777" w:rsidR="009B0F8E" w:rsidRDefault="009B0F8E" w:rsidP="00F55F61">
            <w:pPr>
              <w:jc w:val="both"/>
              <w:rPr>
                <w:rFonts w:ascii="Palatino Linotype" w:hAnsi="Palatino Linotype"/>
              </w:rPr>
            </w:pPr>
          </w:p>
        </w:tc>
        <w:tc>
          <w:tcPr>
            <w:tcW w:w="4410" w:type="dxa"/>
          </w:tcPr>
          <w:p w14:paraId="6DB9262D" w14:textId="07D65F72" w:rsidR="009B0F8E" w:rsidRDefault="00990835" w:rsidP="00F55F61">
            <w:pPr>
              <w:jc w:val="both"/>
              <w:rPr>
                <w:rFonts w:ascii="Palatino Linotype" w:hAnsi="Palatino Linotype"/>
              </w:rPr>
            </w:pPr>
            <w:r>
              <w:rPr>
                <w:rFonts w:ascii="Palatino Linotype" w:hAnsi="Palatino Linotype"/>
              </w:rPr>
              <w:t>2</w:t>
            </w:r>
            <w:r w:rsidR="009B0F8E">
              <w:rPr>
                <w:rFonts w:ascii="Palatino Linotype" w:hAnsi="Palatino Linotype"/>
              </w:rPr>
              <w:t xml:space="preserve">00.000 x </w:t>
            </w:r>
            <w:r w:rsidR="00B94A08">
              <w:rPr>
                <w:rFonts w:ascii="Palatino Linotype" w:hAnsi="Palatino Linotype"/>
              </w:rPr>
              <w:t>(</w:t>
            </w:r>
            <w:r>
              <w:rPr>
                <w:rFonts w:ascii="Palatino Linotype" w:hAnsi="Palatino Linotype"/>
              </w:rPr>
              <w:t>300.</w:t>
            </w:r>
            <w:r w:rsidR="009B0F8E">
              <w:rPr>
                <w:rFonts w:ascii="Palatino Linotype" w:hAnsi="Palatino Linotype"/>
              </w:rPr>
              <w:t>000/</w:t>
            </w:r>
            <w:r>
              <w:rPr>
                <w:rFonts w:ascii="Palatino Linotype" w:hAnsi="Palatino Linotype"/>
              </w:rPr>
              <w:t>400</w:t>
            </w:r>
            <w:r w:rsidR="009B0F8E">
              <w:rPr>
                <w:rFonts w:ascii="Palatino Linotype" w:hAnsi="Palatino Linotype"/>
              </w:rPr>
              <w:t>.000</w:t>
            </w:r>
            <w:r w:rsidR="00B94A08">
              <w:rPr>
                <w:rFonts w:ascii="Palatino Linotype" w:hAnsi="Palatino Linotype"/>
              </w:rPr>
              <w:t>)</w:t>
            </w:r>
            <w:r w:rsidR="009B0F8E">
              <w:rPr>
                <w:rFonts w:ascii="Palatino Linotype" w:hAnsi="Palatino Linotype"/>
              </w:rPr>
              <w:t xml:space="preserve"> = </w:t>
            </w:r>
            <w:r w:rsidR="00953375">
              <w:rPr>
                <w:rFonts w:ascii="Palatino Linotype" w:hAnsi="Palatino Linotype"/>
              </w:rPr>
              <w:t xml:space="preserve">NAf </w:t>
            </w:r>
            <w:r>
              <w:rPr>
                <w:rFonts w:ascii="Palatino Linotype" w:hAnsi="Palatino Linotype"/>
              </w:rPr>
              <w:t>150</w:t>
            </w:r>
            <w:r w:rsidR="009B0F8E">
              <w:rPr>
                <w:rFonts w:ascii="Palatino Linotype" w:hAnsi="Palatino Linotype"/>
              </w:rPr>
              <w:t>.000 -</w:t>
            </w:r>
          </w:p>
        </w:tc>
      </w:tr>
      <w:tr w:rsidR="009B0F8E" w14:paraId="5018772E" w14:textId="7C671330" w:rsidTr="00AB64F0">
        <w:tc>
          <w:tcPr>
            <w:tcW w:w="4765" w:type="dxa"/>
          </w:tcPr>
          <w:p w14:paraId="5FF22898" w14:textId="617E3828" w:rsidR="009B0F8E" w:rsidRPr="0076456D" w:rsidRDefault="009B0F8E" w:rsidP="00F55F61">
            <w:pPr>
              <w:jc w:val="both"/>
              <w:rPr>
                <w:rFonts w:ascii="Palatino Linotype" w:hAnsi="Palatino Linotype"/>
              </w:rPr>
            </w:pPr>
            <w:r>
              <w:rPr>
                <w:rFonts w:ascii="Palatino Linotype" w:hAnsi="Palatino Linotype"/>
                <w:b/>
              </w:rPr>
              <w:t>B</w:t>
            </w:r>
            <w:r w:rsidRPr="00097143">
              <w:rPr>
                <w:rFonts w:ascii="Palatino Linotype" w:hAnsi="Palatino Linotype"/>
                <w:b/>
              </w:rPr>
              <w:t xml:space="preserve">elastbare </w:t>
            </w:r>
            <w:r>
              <w:rPr>
                <w:rFonts w:ascii="Palatino Linotype" w:hAnsi="Palatino Linotype"/>
                <w:b/>
              </w:rPr>
              <w:t xml:space="preserve">winst uit </w:t>
            </w:r>
            <w:r w:rsidRPr="00097143">
              <w:rPr>
                <w:rFonts w:ascii="Palatino Linotype" w:hAnsi="Palatino Linotype"/>
                <w:b/>
              </w:rPr>
              <w:t xml:space="preserve">binnenlandse </w:t>
            </w:r>
            <w:r>
              <w:rPr>
                <w:rFonts w:ascii="Palatino Linotype" w:hAnsi="Palatino Linotype"/>
                <w:b/>
              </w:rPr>
              <w:t>onderneming</w:t>
            </w:r>
          </w:p>
        </w:tc>
        <w:tc>
          <w:tcPr>
            <w:tcW w:w="2160" w:type="dxa"/>
          </w:tcPr>
          <w:p w14:paraId="680C2B61" w14:textId="77777777" w:rsidR="009B0F8E" w:rsidRDefault="009B0F8E" w:rsidP="00F55F61">
            <w:pPr>
              <w:jc w:val="both"/>
              <w:rPr>
                <w:rFonts w:ascii="Palatino Linotype" w:hAnsi="Palatino Linotype"/>
              </w:rPr>
            </w:pPr>
          </w:p>
        </w:tc>
        <w:tc>
          <w:tcPr>
            <w:tcW w:w="4410" w:type="dxa"/>
          </w:tcPr>
          <w:p w14:paraId="3E7B206E" w14:textId="77777777" w:rsidR="009B0F8E" w:rsidRDefault="009B0F8E" w:rsidP="00F55F61">
            <w:pPr>
              <w:jc w:val="both"/>
              <w:rPr>
                <w:rFonts w:ascii="Palatino Linotype" w:hAnsi="Palatino Linotype"/>
              </w:rPr>
            </w:pPr>
          </w:p>
          <w:p w14:paraId="35E9121D" w14:textId="0A73AE1E" w:rsidR="009B0F8E" w:rsidRDefault="009B0F8E" w:rsidP="00F55F61">
            <w:pPr>
              <w:jc w:val="both"/>
              <w:rPr>
                <w:rFonts w:ascii="Palatino Linotype" w:hAnsi="Palatino Linotype"/>
              </w:rPr>
            </w:pPr>
            <w:r>
              <w:rPr>
                <w:rFonts w:ascii="Palatino Linotype" w:hAnsi="Palatino Linotype"/>
              </w:rPr>
              <w:t>NAf 75.</w:t>
            </w:r>
            <w:r w:rsidR="00990835">
              <w:rPr>
                <w:rFonts w:ascii="Palatino Linotype" w:hAnsi="Palatino Linotype"/>
              </w:rPr>
              <w:t>0</w:t>
            </w:r>
            <w:r>
              <w:rPr>
                <w:rFonts w:ascii="Palatino Linotype" w:hAnsi="Palatino Linotype"/>
              </w:rPr>
              <w:t>00</w:t>
            </w:r>
          </w:p>
        </w:tc>
      </w:tr>
      <w:tr w:rsidR="009B0F8E" w14:paraId="66C5BD93" w14:textId="77777777" w:rsidTr="00AB64F0">
        <w:tc>
          <w:tcPr>
            <w:tcW w:w="4765" w:type="dxa"/>
          </w:tcPr>
          <w:p w14:paraId="2531BE2C" w14:textId="77777777" w:rsidR="009B0F8E" w:rsidRDefault="009B0F8E" w:rsidP="00F55F61">
            <w:pPr>
              <w:jc w:val="both"/>
              <w:rPr>
                <w:rFonts w:ascii="Palatino Linotype" w:hAnsi="Palatino Linotype"/>
                <w:b/>
              </w:rPr>
            </w:pPr>
          </w:p>
        </w:tc>
        <w:tc>
          <w:tcPr>
            <w:tcW w:w="2160" w:type="dxa"/>
          </w:tcPr>
          <w:p w14:paraId="00595D14" w14:textId="77777777" w:rsidR="009B0F8E" w:rsidRDefault="009B0F8E" w:rsidP="00F55F61">
            <w:pPr>
              <w:jc w:val="both"/>
              <w:rPr>
                <w:rFonts w:ascii="Palatino Linotype" w:hAnsi="Palatino Linotype"/>
              </w:rPr>
            </w:pPr>
          </w:p>
        </w:tc>
        <w:tc>
          <w:tcPr>
            <w:tcW w:w="4410" w:type="dxa"/>
          </w:tcPr>
          <w:p w14:paraId="7F54797D" w14:textId="77777777" w:rsidR="009B0F8E" w:rsidRDefault="009B0F8E" w:rsidP="00F55F61">
            <w:pPr>
              <w:jc w:val="both"/>
              <w:rPr>
                <w:rFonts w:ascii="Palatino Linotype" w:hAnsi="Palatino Linotype"/>
              </w:rPr>
            </w:pPr>
          </w:p>
        </w:tc>
      </w:tr>
      <w:tr w:rsidR="009B0F8E" w14:paraId="48A52387" w14:textId="77777777" w:rsidTr="00AB64F0">
        <w:tc>
          <w:tcPr>
            <w:tcW w:w="4765" w:type="dxa"/>
          </w:tcPr>
          <w:p w14:paraId="50E14F84" w14:textId="461853FB" w:rsidR="009B0F8E" w:rsidRPr="0076456D" w:rsidRDefault="009B0F8E" w:rsidP="00F55F61">
            <w:pPr>
              <w:jc w:val="both"/>
              <w:rPr>
                <w:rFonts w:ascii="Palatino Linotype" w:hAnsi="Palatino Linotype"/>
              </w:rPr>
            </w:pPr>
            <w:r>
              <w:rPr>
                <w:rFonts w:ascii="Palatino Linotype" w:hAnsi="Palatino Linotype"/>
              </w:rPr>
              <w:t>Verschuldigde winstbelasting</w:t>
            </w:r>
            <w:r w:rsidR="00B94A08">
              <w:rPr>
                <w:rFonts w:ascii="Palatino Linotype" w:hAnsi="Palatino Linotype"/>
              </w:rPr>
              <w:t xml:space="preserve"> (15%)</w:t>
            </w:r>
          </w:p>
        </w:tc>
        <w:tc>
          <w:tcPr>
            <w:tcW w:w="2160" w:type="dxa"/>
          </w:tcPr>
          <w:p w14:paraId="6EB451DE" w14:textId="77777777" w:rsidR="009B0F8E" w:rsidRDefault="009B0F8E" w:rsidP="00F55F61">
            <w:pPr>
              <w:jc w:val="both"/>
              <w:rPr>
                <w:rFonts w:ascii="Palatino Linotype" w:hAnsi="Palatino Linotype"/>
              </w:rPr>
            </w:pPr>
          </w:p>
        </w:tc>
        <w:tc>
          <w:tcPr>
            <w:tcW w:w="4410" w:type="dxa"/>
          </w:tcPr>
          <w:p w14:paraId="16B5A677" w14:textId="0D948634" w:rsidR="009B0F8E" w:rsidRDefault="009B0F8E" w:rsidP="00F55F61">
            <w:pPr>
              <w:jc w:val="both"/>
              <w:rPr>
                <w:rFonts w:ascii="Palatino Linotype" w:hAnsi="Palatino Linotype"/>
              </w:rPr>
            </w:pPr>
            <w:r>
              <w:rPr>
                <w:rFonts w:ascii="Palatino Linotype" w:hAnsi="Palatino Linotype"/>
              </w:rPr>
              <w:t>NAf 11.</w:t>
            </w:r>
            <w:r w:rsidR="00990835">
              <w:rPr>
                <w:rFonts w:ascii="Palatino Linotype" w:hAnsi="Palatino Linotype"/>
              </w:rPr>
              <w:t>250</w:t>
            </w:r>
          </w:p>
        </w:tc>
      </w:tr>
      <w:tr w:rsidR="009B0F8E" w14:paraId="2C50A3EB" w14:textId="77777777" w:rsidTr="00AB64F0">
        <w:tc>
          <w:tcPr>
            <w:tcW w:w="4765" w:type="dxa"/>
          </w:tcPr>
          <w:p w14:paraId="04663FD2" w14:textId="71515B3A" w:rsidR="009B0F8E" w:rsidRPr="0076456D" w:rsidRDefault="009B0F8E" w:rsidP="00F55F61">
            <w:pPr>
              <w:jc w:val="both"/>
              <w:rPr>
                <w:rFonts w:ascii="Palatino Linotype" w:hAnsi="Palatino Linotype"/>
              </w:rPr>
            </w:pPr>
            <w:r>
              <w:rPr>
                <w:rFonts w:ascii="Palatino Linotype" w:hAnsi="Palatino Linotype"/>
              </w:rPr>
              <w:t>Effectieve belastingdruk</w:t>
            </w:r>
          </w:p>
        </w:tc>
        <w:tc>
          <w:tcPr>
            <w:tcW w:w="2160" w:type="dxa"/>
          </w:tcPr>
          <w:p w14:paraId="61AB1A01" w14:textId="77777777" w:rsidR="009B0F8E" w:rsidRDefault="009B0F8E" w:rsidP="00F55F61">
            <w:pPr>
              <w:jc w:val="both"/>
              <w:rPr>
                <w:rFonts w:ascii="Palatino Linotype" w:hAnsi="Palatino Linotype"/>
              </w:rPr>
            </w:pPr>
          </w:p>
        </w:tc>
        <w:tc>
          <w:tcPr>
            <w:tcW w:w="4410" w:type="dxa"/>
          </w:tcPr>
          <w:p w14:paraId="7C117379" w14:textId="2E261474" w:rsidR="009B0F8E" w:rsidRDefault="009B0F8E" w:rsidP="00F55F61">
            <w:pPr>
              <w:jc w:val="both"/>
              <w:rPr>
                <w:rFonts w:ascii="Palatino Linotype" w:hAnsi="Palatino Linotype"/>
              </w:rPr>
            </w:pPr>
            <w:r>
              <w:rPr>
                <w:rFonts w:ascii="Palatino Linotype" w:hAnsi="Palatino Linotype"/>
              </w:rPr>
              <w:t>Effectieve belastingdruk 1</w:t>
            </w:r>
            <w:r w:rsidR="00F478DB">
              <w:rPr>
                <w:rFonts w:ascii="Palatino Linotype" w:hAnsi="Palatino Linotype"/>
              </w:rPr>
              <w:t>1,</w:t>
            </w:r>
            <w:r w:rsidR="00B94A08">
              <w:rPr>
                <w:rFonts w:ascii="Palatino Linotype" w:hAnsi="Palatino Linotype"/>
              </w:rPr>
              <w:t>25</w:t>
            </w:r>
            <w:r>
              <w:rPr>
                <w:rFonts w:ascii="Palatino Linotype" w:hAnsi="Palatino Linotype"/>
              </w:rPr>
              <w:t>%</w:t>
            </w:r>
          </w:p>
        </w:tc>
      </w:tr>
    </w:tbl>
    <w:p w14:paraId="67C02314" w14:textId="77777777" w:rsidR="001F4C2D" w:rsidRDefault="001F4C2D" w:rsidP="009716DC">
      <w:pPr>
        <w:jc w:val="both"/>
        <w:rPr>
          <w:rFonts w:ascii="Palatino Linotype" w:hAnsi="Palatino Linotype"/>
        </w:rPr>
      </w:pPr>
    </w:p>
    <w:p w14:paraId="6A256C00" w14:textId="364075DE" w:rsidR="00A218B5" w:rsidRDefault="0043273A" w:rsidP="00AB64F0">
      <w:pPr>
        <w:jc w:val="both"/>
        <w:rPr>
          <w:rFonts w:ascii="Palatino Linotype" w:hAnsi="Palatino Linotype"/>
        </w:rPr>
      </w:pPr>
      <w:r>
        <w:rPr>
          <w:rFonts w:ascii="Palatino Linotype" w:hAnsi="Palatino Linotype"/>
        </w:rPr>
        <w:t xml:space="preserve">Bij het </w:t>
      </w:r>
      <w:r w:rsidR="00E80B78" w:rsidRPr="00AB64F0">
        <w:rPr>
          <w:rFonts w:ascii="Palatino Linotype" w:hAnsi="Palatino Linotype"/>
        </w:rPr>
        <w:t>bereken</w:t>
      </w:r>
      <w:r>
        <w:rPr>
          <w:rFonts w:ascii="Palatino Linotype" w:hAnsi="Palatino Linotype"/>
        </w:rPr>
        <w:t xml:space="preserve">en </w:t>
      </w:r>
      <w:r w:rsidR="00E80B78" w:rsidRPr="00AB64F0">
        <w:rPr>
          <w:rFonts w:ascii="Palatino Linotype" w:hAnsi="Palatino Linotype"/>
        </w:rPr>
        <w:t xml:space="preserve">van de binnenlandse </w:t>
      </w:r>
      <w:r w:rsidR="006E100E">
        <w:rPr>
          <w:rFonts w:ascii="Palatino Linotype" w:hAnsi="Palatino Linotype"/>
        </w:rPr>
        <w:t>belastbare bedrag</w:t>
      </w:r>
      <w:r w:rsidR="00E80B78" w:rsidRPr="00AB64F0">
        <w:rPr>
          <w:rFonts w:ascii="Palatino Linotype" w:hAnsi="Palatino Linotype"/>
        </w:rPr>
        <w:t xml:space="preserve"> </w:t>
      </w:r>
      <w:r>
        <w:rPr>
          <w:rFonts w:ascii="Palatino Linotype" w:hAnsi="Palatino Linotype"/>
        </w:rPr>
        <w:t>valt uit bovenstaande voorbeeld af te leiden dat de niet-causale</w:t>
      </w:r>
      <w:r w:rsidR="00E174A7">
        <w:rPr>
          <w:rFonts w:ascii="Palatino Linotype" w:hAnsi="Palatino Linotype"/>
        </w:rPr>
        <w:t xml:space="preserve"> </w:t>
      </w:r>
      <w:r>
        <w:rPr>
          <w:rFonts w:ascii="Palatino Linotype" w:hAnsi="Palatino Linotype"/>
        </w:rPr>
        <w:t>kosten apart aan het binnenland/buitenland diene</w:t>
      </w:r>
      <w:r w:rsidR="00E174A7">
        <w:rPr>
          <w:rFonts w:ascii="Palatino Linotype" w:hAnsi="Palatino Linotype"/>
        </w:rPr>
        <w:t>n</w:t>
      </w:r>
      <w:r>
        <w:rPr>
          <w:rFonts w:ascii="Palatino Linotype" w:hAnsi="Palatino Linotype"/>
        </w:rPr>
        <w:t xml:space="preserve"> te worden toegerekend. In bovens</w:t>
      </w:r>
      <w:r w:rsidR="00E174A7">
        <w:rPr>
          <w:rFonts w:ascii="Palatino Linotype" w:hAnsi="Palatino Linotype"/>
        </w:rPr>
        <w:t>t</w:t>
      </w:r>
      <w:r>
        <w:rPr>
          <w:rFonts w:ascii="Palatino Linotype" w:hAnsi="Palatino Linotype"/>
        </w:rPr>
        <w:t xml:space="preserve">aande voorbeeld </w:t>
      </w:r>
      <w:r w:rsidR="00E174A7">
        <w:rPr>
          <w:rFonts w:ascii="Palatino Linotype" w:hAnsi="Palatino Linotype"/>
        </w:rPr>
        <w:t>geschiedt</w:t>
      </w:r>
      <w:r>
        <w:rPr>
          <w:rFonts w:ascii="Palatino Linotype" w:hAnsi="Palatino Linotype"/>
        </w:rPr>
        <w:t xml:space="preserve"> dat op basis van dezelfde breuk als de toerekening van de winst</w:t>
      </w:r>
      <w:r w:rsidR="00E174A7">
        <w:rPr>
          <w:rFonts w:ascii="Palatino Linotype" w:hAnsi="Palatino Linotype"/>
        </w:rPr>
        <w:t xml:space="preserve"> na causale kosten</w:t>
      </w:r>
      <w:r>
        <w:rPr>
          <w:rFonts w:ascii="Palatino Linotype" w:hAnsi="Palatino Linotype"/>
        </w:rPr>
        <w:t xml:space="preserve">. </w:t>
      </w:r>
      <w:r w:rsidR="00E174A7">
        <w:rPr>
          <w:rFonts w:ascii="Palatino Linotype" w:hAnsi="Palatino Linotype"/>
        </w:rPr>
        <w:t xml:space="preserve">Het uitgangspunt is hier dat er in Curaçao verder geen andere winstbelastingplichtige lichamen zijn die tot hetzelfde concern van de onderneming behoren. </w:t>
      </w:r>
      <w:r>
        <w:rPr>
          <w:rFonts w:ascii="Palatino Linotype" w:hAnsi="Palatino Linotype"/>
        </w:rPr>
        <w:t>D</w:t>
      </w:r>
      <w:r w:rsidR="00E174A7">
        <w:rPr>
          <w:rFonts w:ascii="Palatino Linotype" w:hAnsi="Palatino Linotype"/>
        </w:rPr>
        <w:t xml:space="preserve">e toerekening van de niet-causale kosten verandert echter </w:t>
      </w:r>
      <w:r>
        <w:rPr>
          <w:rFonts w:ascii="Palatino Linotype" w:hAnsi="Palatino Linotype"/>
        </w:rPr>
        <w:t xml:space="preserve">indien </w:t>
      </w:r>
      <w:r w:rsidR="00E174A7">
        <w:rPr>
          <w:rFonts w:ascii="Palatino Linotype" w:hAnsi="Palatino Linotype"/>
        </w:rPr>
        <w:t>een concern binnen Curaçao meerdere winstbelastingplichtige lichamen heeft.</w:t>
      </w:r>
      <w:r w:rsidR="00797B25">
        <w:rPr>
          <w:rFonts w:ascii="Palatino Linotype" w:hAnsi="Palatino Linotype"/>
        </w:rPr>
        <w:t xml:space="preserve"> </w:t>
      </w:r>
      <w:r w:rsidR="00A218B5">
        <w:rPr>
          <w:rFonts w:ascii="Palatino Linotype" w:hAnsi="Palatino Linotype"/>
        </w:rPr>
        <w:t xml:space="preserve">Deze wordt dan namelijk toegerekend op basis van de verhouding tussen de totale lokale causale kosten </w:t>
      </w:r>
      <w:r w:rsidR="00A518F0">
        <w:rPr>
          <w:rFonts w:ascii="Palatino Linotype" w:hAnsi="Palatino Linotype"/>
        </w:rPr>
        <w:t>concern/</w:t>
      </w:r>
      <w:r w:rsidR="00A218B5">
        <w:rPr>
          <w:rFonts w:ascii="Palatino Linotype" w:hAnsi="Palatino Linotype"/>
        </w:rPr>
        <w:t xml:space="preserve"> totale causale kosten concern. </w:t>
      </w:r>
      <w:r w:rsidR="000C3B84">
        <w:rPr>
          <w:rFonts w:ascii="Palatino Linotype" w:hAnsi="Palatino Linotype"/>
        </w:rPr>
        <w:t xml:space="preserve">Hieronder een voorbeeld van de berekening van </w:t>
      </w:r>
      <w:r w:rsidR="006E100E">
        <w:rPr>
          <w:rFonts w:ascii="Palatino Linotype" w:hAnsi="Palatino Linotype"/>
        </w:rPr>
        <w:t xml:space="preserve">het belastbare bedrag </w:t>
      </w:r>
      <w:r w:rsidR="000C3B84">
        <w:rPr>
          <w:rFonts w:ascii="Palatino Linotype" w:hAnsi="Palatino Linotype"/>
        </w:rPr>
        <w:t xml:space="preserve"> uit binnenlandse onderneming in het geval dat het concern twee winstbelastingplichtige lichamen heeft in Curaçao.</w:t>
      </w:r>
    </w:p>
    <w:p w14:paraId="16C0FADF" w14:textId="1A4D657F" w:rsidR="000C3B84" w:rsidRPr="00BF3EEC" w:rsidDel="000C3B84" w:rsidRDefault="000C3B84" w:rsidP="00F55F61">
      <w:pPr>
        <w:jc w:val="both"/>
        <w:rPr>
          <w:rFonts w:ascii="Palatino Linotype" w:hAnsi="Palatino Linotype"/>
        </w:rPr>
      </w:pPr>
    </w:p>
    <w:tbl>
      <w:tblPr>
        <w:tblStyle w:val="TableGrid"/>
        <w:tblW w:w="13135" w:type="dxa"/>
        <w:tblLook w:val="04A0" w:firstRow="1" w:lastRow="0" w:firstColumn="1" w:lastColumn="0" w:noHBand="0" w:noVBand="1"/>
      </w:tblPr>
      <w:tblGrid>
        <w:gridCol w:w="3415"/>
        <w:gridCol w:w="1890"/>
        <w:gridCol w:w="2880"/>
        <w:gridCol w:w="2070"/>
        <w:gridCol w:w="2880"/>
      </w:tblGrid>
      <w:tr w:rsidR="000C263D" w14:paraId="15009137" w14:textId="1271400C" w:rsidTr="00AB64F0">
        <w:tc>
          <w:tcPr>
            <w:tcW w:w="3415" w:type="dxa"/>
          </w:tcPr>
          <w:p w14:paraId="0464FA88" w14:textId="0A60B05C" w:rsidR="000C3B84" w:rsidRPr="0076456D" w:rsidRDefault="000C3B84" w:rsidP="00F55F61">
            <w:pPr>
              <w:jc w:val="both"/>
              <w:rPr>
                <w:rFonts w:ascii="Palatino Linotype" w:hAnsi="Palatino Linotype"/>
                <w:b/>
              </w:rPr>
            </w:pPr>
          </w:p>
        </w:tc>
        <w:tc>
          <w:tcPr>
            <w:tcW w:w="1890" w:type="dxa"/>
          </w:tcPr>
          <w:p w14:paraId="30EBEBC1" w14:textId="77777777" w:rsidR="000C3B84" w:rsidRPr="0076456D" w:rsidRDefault="000C3B84" w:rsidP="00F55F61">
            <w:pPr>
              <w:jc w:val="both"/>
              <w:rPr>
                <w:rFonts w:ascii="Palatino Linotype" w:hAnsi="Palatino Linotype"/>
                <w:b/>
              </w:rPr>
            </w:pPr>
            <w:r w:rsidRPr="0076456D">
              <w:rPr>
                <w:rFonts w:ascii="Palatino Linotype" w:hAnsi="Palatino Linotype"/>
                <w:b/>
              </w:rPr>
              <w:t>TAX P/L</w:t>
            </w:r>
          </w:p>
        </w:tc>
        <w:tc>
          <w:tcPr>
            <w:tcW w:w="2880" w:type="dxa"/>
          </w:tcPr>
          <w:p w14:paraId="65C0155E" w14:textId="77777777" w:rsidR="000C3B84" w:rsidRDefault="000C3B84" w:rsidP="00F55F61">
            <w:pPr>
              <w:jc w:val="both"/>
              <w:rPr>
                <w:rFonts w:ascii="Palatino Linotype" w:hAnsi="Palatino Linotype"/>
              </w:rPr>
            </w:pPr>
          </w:p>
        </w:tc>
        <w:tc>
          <w:tcPr>
            <w:tcW w:w="2070" w:type="dxa"/>
          </w:tcPr>
          <w:p w14:paraId="4EB5BF35" w14:textId="7E405455" w:rsidR="000C3B84" w:rsidRPr="00AB64F0" w:rsidRDefault="000C3B84" w:rsidP="00F55F61">
            <w:pPr>
              <w:jc w:val="both"/>
              <w:rPr>
                <w:rFonts w:ascii="Palatino Linotype" w:hAnsi="Palatino Linotype"/>
                <w:b/>
              </w:rPr>
            </w:pPr>
            <w:r w:rsidRPr="00AB64F0">
              <w:rPr>
                <w:rFonts w:ascii="Palatino Linotype" w:hAnsi="Palatino Linotype"/>
                <w:b/>
              </w:rPr>
              <w:t>TA</w:t>
            </w:r>
            <w:r w:rsidR="00942B63" w:rsidRPr="00AB64F0">
              <w:rPr>
                <w:rFonts w:ascii="Palatino Linotype" w:hAnsi="Palatino Linotype"/>
                <w:b/>
              </w:rPr>
              <w:t>X</w:t>
            </w:r>
            <w:r w:rsidRPr="00AB64F0">
              <w:rPr>
                <w:rFonts w:ascii="Palatino Linotype" w:hAnsi="Palatino Linotype"/>
                <w:b/>
              </w:rPr>
              <w:t xml:space="preserve"> P/L</w:t>
            </w:r>
          </w:p>
        </w:tc>
        <w:tc>
          <w:tcPr>
            <w:tcW w:w="2880" w:type="dxa"/>
          </w:tcPr>
          <w:p w14:paraId="1DB2BDAA" w14:textId="77777777" w:rsidR="000C3B84" w:rsidRDefault="000C3B84" w:rsidP="00F55F61">
            <w:pPr>
              <w:jc w:val="both"/>
              <w:rPr>
                <w:rFonts w:ascii="Palatino Linotype" w:hAnsi="Palatino Linotype"/>
              </w:rPr>
            </w:pPr>
          </w:p>
        </w:tc>
      </w:tr>
      <w:tr w:rsidR="000C263D" w14:paraId="3F6FC955" w14:textId="6D22EA29" w:rsidTr="00AB64F0">
        <w:tc>
          <w:tcPr>
            <w:tcW w:w="3415" w:type="dxa"/>
          </w:tcPr>
          <w:p w14:paraId="37BB2BCB" w14:textId="77777777" w:rsidR="000C3B84" w:rsidRPr="0076456D" w:rsidRDefault="000C3B84" w:rsidP="00F55F61">
            <w:pPr>
              <w:jc w:val="both"/>
              <w:rPr>
                <w:rFonts w:ascii="Palatino Linotype" w:hAnsi="Palatino Linotype"/>
                <w:b/>
              </w:rPr>
            </w:pPr>
          </w:p>
        </w:tc>
        <w:tc>
          <w:tcPr>
            <w:tcW w:w="1890" w:type="dxa"/>
          </w:tcPr>
          <w:p w14:paraId="228BDBE5" w14:textId="61F68556" w:rsidR="000C3B84" w:rsidRPr="0076456D" w:rsidRDefault="000C3B84" w:rsidP="00F55F61">
            <w:pPr>
              <w:jc w:val="both"/>
              <w:rPr>
                <w:rFonts w:ascii="Palatino Linotype" w:hAnsi="Palatino Linotype"/>
                <w:b/>
              </w:rPr>
            </w:pPr>
            <w:r w:rsidRPr="0076456D">
              <w:rPr>
                <w:rFonts w:ascii="Palatino Linotype" w:hAnsi="Palatino Linotype"/>
                <w:b/>
              </w:rPr>
              <w:t xml:space="preserve">Dushi </w:t>
            </w:r>
            <w:r w:rsidR="00B94A08">
              <w:rPr>
                <w:rFonts w:ascii="Palatino Linotype" w:hAnsi="Palatino Linotype"/>
                <w:b/>
              </w:rPr>
              <w:t>B</w:t>
            </w:r>
            <w:r w:rsidRPr="0076456D">
              <w:rPr>
                <w:rFonts w:ascii="Palatino Linotype" w:hAnsi="Palatino Linotype"/>
                <w:b/>
              </w:rPr>
              <w:t>ida B.V.</w:t>
            </w:r>
          </w:p>
        </w:tc>
        <w:tc>
          <w:tcPr>
            <w:tcW w:w="2880" w:type="dxa"/>
          </w:tcPr>
          <w:p w14:paraId="6A7FAF2A" w14:textId="77777777" w:rsidR="000C3B84" w:rsidRDefault="000C3B84" w:rsidP="00F55F61">
            <w:pPr>
              <w:jc w:val="both"/>
              <w:rPr>
                <w:rFonts w:ascii="Palatino Linotype" w:hAnsi="Palatino Linotype"/>
              </w:rPr>
            </w:pPr>
          </w:p>
        </w:tc>
        <w:tc>
          <w:tcPr>
            <w:tcW w:w="2070" w:type="dxa"/>
          </w:tcPr>
          <w:p w14:paraId="03EEDAF7" w14:textId="49661D37" w:rsidR="000C3B84" w:rsidRPr="00AB64F0" w:rsidRDefault="000C3B84" w:rsidP="00F55F61">
            <w:pPr>
              <w:jc w:val="both"/>
              <w:rPr>
                <w:rFonts w:ascii="Palatino Linotype" w:hAnsi="Palatino Linotype"/>
                <w:b/>
              </w:rPr>
            </w:pPr>
            <w:r w:rsidRPr="00AB64F0">
              <w:rPr>
                <w:rFonts w:ascii="Palatino Linotype" w:hAnsi="Palatino Linotype"/>
                <w:b/>
              </w:rPr>
              <w:t xml:space="preserve">Dushi </w:t>
            </w:r>
            <w:r w:rsidR="00B94A08">
              <w:rPr>
                <w:rFonts w:ascii="Palatino Linotype" w:hAnsi="Palatino Linotype"/>
                <w:b/>
              </w:rPr>
              <w:t>L</w:t>
            </w:r>
            <w:r w:rsidRPr="00AB64F0">
              <w:rPr>
                <w:rFonts w:ascii="Palatino Linotype" w:hAnsi="Palatino Linotype"/>
                <w:b/>
              </w:rPr>
              <w:t>aman B.V.</w:t>
            </w:r>
          </w:p>
        </w:tc>
        <w:tc>
          <w:tcPr>
            <w:tcW w:w="2880" w:type="dxa"/>
          </w:tcPr>
          <w:p w14:paraId="6F7E2B11" w14:textId="77777777" w:rsidR="000C3B84" w:rsidRDefault="000C3B84" w:rsidP="00F55F61">
            <w:pPr>
              <w:jc w:val="both"/>
              <w:rPr>
                <w:rFonts w:ascii="Palatino Linotype" w:hAnsi="Palatino Linotype"/>
              </w:rPr>
            </w:pPr>
          </w:p>
        </w:tc>
      </w:tr>
      <w:tr w:rsidR="000C263D" w14:paraId="6A22FE5A" w14:textId="564714E6" w:rsidTr="00AB64F0">
        <w:tc>
          <w:tcPr>
            <w:tcW w:w="3415" w:type="dxa"/>
          </w:tcPr>
          <w:p w14:paraId="51CFAB31" w14:textId="77777777" w:rsidR="000C263D" w:rsidRDefault="000C263D" w:rsidP="00F55F61">
            <w:pPr>
              <w:jc w:val="both"/>
              <w:rPr>
                <w:rFonts w:ascii="Palatino Linotype" w:hAnsi="Palatino Linotype"/>
              </w:rPr>
            </w:pPr>
            <w:r>
              <w:rPr>
                <w:rFonts w:ascii="Palatino Linotype" w:hAnsi="Palatino Linotype"/>
              </w:rPr>
              <w:t>Omzet</w:t>
            </w:r>
          </w:p>
        </w:tc>
        <w:tc>
          <w:tcPr>
            <w:tcW w:w="1890" w:type="dxa"/>
          </w:tcPr>
          <w:p w14:paraId="26E76A31" w14:textId="6D7BB32D" w:rsidR="000C263D" w:rsidRDefault="000C263D" w:rsidP="00F55F61">
            <w:pPr>
              <w:tabs>
                <w:tab w:val="right" w:pos="1510"/>
              </w:tabs>
              <w:jc w:val="both"/>
              <w:rPr>
                <w:rFonts w:ascii="Palatino Linotype" w:hAnsi="Palatino Linotype"/>
              </w:rPr>
            </w:pPr>
            <w:r>
              <w:rPr>
                <w:rFonts w:ascii="Palatino Linotype" w:hAnsi="Palatino Linotype"/>
              </w:rPr>
              <w:t>NAf</w:t>
            </w:r>
            <w:r w:rsidR="00B94A08">
              <w:rPr>
                <w:rFonts w:ascii="Palatino Linotype" w:hAnsi="Palatino Linotype"/>
              </w:rPr>
              <w:tab/>
            </w:r>
            <w:r>
              <w:rPr>
                <w:rFonts w:ascii="Palatino Linotype" w:hAnsi="Palatino Linotype"/>
              </w:rPr>
              <w:t>1.200.000</w:t>
            </w:r>
          </w:p>
        </w:tc>
        <w:tc>
          <w:tcPr>
            <w:tcW w:w="2880" w:type="dxa"/>
          </w:tcPr>
          <w:p w14:paraId="16E1A927" w14:textId="77777777" w:rsidR="000C263D" w:rsidRDefault="000C263D" w:rsidP="00F55F61">
            <w:pPr>
              <w:jc w:val="both"/>
              <w:rPr>
                <w:rFonts w:ascii="Palatino Linotype" w:hAnsi="Palatino Linotype"/>
              </w:rPr>
            </w:pPr>
          </w:p>
        </w:tc>
        <w:tc>
          <w:tcPr>
            <w:tcW w:w="2070" w:type="dxa"/>
          </w:tcPr>
          <w:p w14:paraId="6DC70A95" w14:textId="3D95AA47" w:rsidR="000C263D" w:rsidRDefault="000C263D" w:rsidP="00F55F61">
            <w:pPr>
              <w:tabs>
                <w:tab w:val="right" w:pos="1600"/>
              </w:tabs>
              <w:jc w:val="both"/>
              <w:rPr>
                <w:rFonts w:ascii="Palatino Linotype" w:hAnsi="Palatino Linotype"/>
              </w:rPr>
            </w:pPr>
            <w:r>
              <w:rPr>
                <w:rFonts w:ascii="Palatino Linotype" w:hAnsi="Palatino Linotype"/>
              </w:rPr>
              <w:t>NAf</w:t>
            </w:r>
            <w:r w:rsidR="00B94A08">
              <w:rPr>
                <w:rFonts w:ascii="Palatino Linotype" w:hAnsi="Palatino Linotype"/>
              </w:rPr>
              <w:tab/>
            </w:r>
            <w:r>
              <w:rPr>
                <w:rFonts w:ascii="Palatino Linotype" w:hAnsi="Palatino Linotype"/>
              </w:rPr>
              <w:t>1.500.000</w:t>
            </w:r>
          </w:p>
        </w:tc>
        <w:tc>
          <w:tcPr>
            <w:tcW w:w="2880" w:type="dxa"/>
          </w:tcPr>
          <w:p w14:paraId="7FF9A0C7" w14:textId="77777777" w:rsidR="000C263D" w:rsidRDefault="000C263D" w:rsidP="00F55F61">
            <w:pPr>
              <w:jc w:val="both"/>
              <w:rPr>
                <w:rFonts w:ascii="Palatino Linotype" w:hAnsi="Palatino Linotype"/>
              </w:rPr>
            </w:pPr>
          </w:p>
        </w:tc>
      </w:tr>
      <w:tr w:rsidR="000C263D" w14:paraId="71C71CEE" w14:textId="269A01B5" w:rsidTr="00AB64F0">
        <w:tc>
          <w:tcPr>
            <w:tcW w:w="3415" w:type="dxa"/>
          </w:tcPr>
          <w:p w14:paraId="5B84C3F2" w14:textId="31B2330C" w:rsidR="000C263D" w:rsidRDefault="00471E6B" w:rsidP="00F55F61">
            <w:pPr>
              <w:jc w:val="both"/>
              <w:rPr>
                <w:rFonts w:ascii="Palatino Linotype" w:hAnsi="Palatino Linotype"/>
              </w:rPr>
            </w:pPr>
            <w:r>
              <w:rPr>
                <w:rFonts w:ascii="Palatino Linotype" w:hAnsi="Palatino Linotype"/>
              </w:rPr>
              <w:t>Af: m</w:t>
            </w:r>
            <w:r w:rsidR="000C263D">
              <w:rPr>
                <w:rFonts w:ascii="Palatino Linotype" w:hAnsi="Palatino Linotype"/>
              </w:rPr>
              <w:t xml:space="preserve">ateriaalkosten </w:t>
            </w:r>
          </w:p>
        </w:tc>
        <w:tc>
          <w:tcPr>
            <w:tcW w:w="1890" w:type="dxa"/>
          </w:tcPr>
          <w:p w14:paraId="0F5E016B" w14:textId="1C5D1141" w:rsidR="000C263D" w:rsidRDefault="000C263D" w:rsidP="00F55F61">
            <w:pPr>
              <w:tabs>
                <w:tab w:val="right" w:pos="1510"/>
              </w:tabs>
              <w:jc w:val="both"/>
              <w:rPr>
                <w:rFonts w:ascii="Palatino Linotype" w:hAnsi="Palatino Linotype"/>
              </w:rPr>
            </w:pPr>
            <w:r>
              <w:rPr>
                <w:rFonts w:ascii="Palatino Linotype" w:hAnsi="Palatino Linotype"/>
              </w:rPr>
              <w:t xml:space="preserve">NAf </w:t>
            </w:r>
            <w:r w:rsidR="00B94A08">
              <w:rPr>
                <w:rFonts w:ascii="Palatino Linotype" w:hAnsi="Palatino Linotype"/>
              </w:rPr>
              <w:tab/>
            </w:r>
            <w:r>
              <w:rPr>
                <w:rFonts w:ascii="Palatino Linotype" w:hAnsi="Palatino Linotype"/>
              </w:rPr>
              <w:t>500.000</w:t>
            </w:r>
          </w:p>
        </w:tc>
        <w:tc>
          <w:tcPr>
            <w:tcW w:w="2880" w:type="dxa"/>
          </w:tcPr>
          <w:p w14:paraId="24692BEE" w14:textId="77777777" w:rsidR="000C263D" w:rsidRDefault="000C263D" w:rsidP="00F55F61">
            <w:pPr>
              <w:jc w:val="both"/>
              <w:rPr>
                <w:rFonts w:ascii="Palatino Linotype" w:hAnsi="Palatino Linotype"/>
              </w:rPr>
            </w:pPr>
          </w:p>
        </w:tc>
        <w:tc>
          <w:tcPr>
            <w:tcW w:w="2070" w:type="dxa"/>
          </w:tcPr>
          <w:p w14:paraId="4DCDFB1C" w14:textId="396B9F70" w:rsidR="000C263D" w:rsidRDefault="000C263D" w:rsidP="00F55F61">
            <w:pPr>
              <w:tabs>
                <w:tab w:val="right" w:pos="1600"/>
              </w:tabs>
              <w:jc w:val="both"/>
              <w:rPr>
                <w:rFonts w:ascii="Palatino Linotype" w:hAnsi="Palatino Linotype"/>
              </w:rPr>
            </w:pPr>
            <w:r>
              <w:rPr>
                <w:rFonts w:ascii="Palatino Linotype" w:hAnsi="Palatino Linotype"/>
              </w:rPr>
              <w:t xml:space="preserve">NAf </w:t>
            </w:r>
            <w:r w:rsidR="00B94A08">
              <w:rPr>
                <w:rFonts w:ascii="Palatino Linotype" w:hAnsi="Palatino Linotype"/>
              </w:rPr>
              <w:tab/>
            </w:r>
            <w:r>
              <w:rPr>
                <w:rFonts w:ascii="Palatino Linotype" w:hAnsi="Palatino Linotype"/>
              </w:rPr>
              <w:t>200.000</w:t>
            </w:r>
          </w:p>
        </w:tc>
        <w:tc>
          <w:tcPr>
            <w:tcW w:w="2880" w:type="dxa"/>
          </w:tcPr>
          <w:p w14:paraId="7D4049B4" w14:textId="77777777" w:rsidR="000C263D" w:rsidRDefault="000C263D" w:rsidP="00F55F61">
            <w:pPr>
              <w:jc w:val="both"/>
              <w:rPr>
                <w:rFonts w:ascii="Palatino Linotype" w:hAnsi="Palatino Linotype"/>
              </w:rPr>
            </w:pPr>
          </w:p>
        </w:tc>
      </w:tr>
      <w:tr w:rsidR="000C263D" w14:paraId="261DE2F6" w14:textId="26586D23" w:rsidTr="00AB64F0">
        <w:tc>
          <w:tcPr>
            <w:tcW w:w="3415" w:type="dxa"/>
          </w:tcPr>
          <w:p w14:paraId="7EADBDA2" w14:textId="77777777" w:rsidR="000C263D" w:rsidRDefault="000C263D" w:rsidP="00F55F61">
            <w:pPr>
              <w:jc w:val="both"/>
              <w:rPr>
                <w:rFonts w:ascii="Palatino Linotype" w:hAnsi="Palatino Linotype"/>
              </w:rPr>
            </w:pPr>
            <w:r>
              <w:rPr>
                <w:rFonts w:ascii="Palatino Linotype" w:hAnsi="Palatino Linotype"/>
              </w:rPr>
              <w:t>Brutowinst</w:t>
            </w:r>
          </w:p>
        </w:tc>
        <w:tc>
          <w:tcPr>
            <w:tcW w:w="1890" w:type="dxa"/>
          </w:tcPr>
          <w:p w14:paraId="6A50F4B2" w14:textId="77777777" w:rsidR="000C263D" w:rsidRDefault="000C263D" w:rsidP="00F55F61">
            <w:pPr>
              <w:jc w:val="both"/>
              <w:rPr>
                <w:rFonts w:ascii="Palatino Linotype" w:hAnsi="Palatino Linotype"/>
              </w:rPr>
            </w:pPr>
          </w:p>
        </w:tc>
        <w:tc>
          <w:tcPr>
            <w:tcW w:w="2880" w:type="dxa"/>
          </w:tcPr>
          <w:p w14:paraId="3EC852D1" w14:textId="39534CD4" w:rsidR="000C263D" w:rsidRDefault="000C263D" w:rsidP="00F55F61">
            <w:pPr>
              <w:jc w:val="both"/>
              <w:rPr>
                <w:rFonts w:ascii="Palatino Linotype" w:hAnsi="Palatino Linotype"/>
              </w:rPr>
            </w:pPr>
            <w:r>
              <w:rPr>
                <w:rFonts w:ascii="Palatino Linotype" w:hAnsi="Palatino Linotype"/>
              </w:rPr>
              <w:t>NAf 700.000</w:t>
            </w:r>
          </w:p>
        </w:tc>
        <w:tc>
          <w:tcPr>
            <w:tcW w:w="2070" w:type="dxa"/>
          </w:tcPr>
          <w:p w14:paraId="6737C670" w14:textId="77777777" w:rsidR="000C263D" w:rsidRDefault="000C263D" w:rsidP="00F55F61">
            <w:pPr>
              <w:jc w:val="both"/>
              <w:rPr>
                <w:rFonts w:ascii="Palatino Linotype" w:hAnsi="Palatino Linotype"/>
              </w:rPr>
            </w:pPr>
          </w:p>
        </w:tc>
        <w:tc>
          <w:tcPr>
            <w:tcW w:w="2880" w:type="dxa"/>
          </w:tcPr>
          <w:p w14:paraId="295F9D2D" w14:textId="21E04DAD" w:rsidR="000C263D" w:rsidRDefault="000C263D" w:rsidP="00F55F61">
            <w:pPr>
              <w:jc w:val="both"/>
              <w:rPr>
                <w:rFonts w:ascii="Palatino Linotype" w:hAnsi="Palatino Linotype"/>
              </w:rPr>
            </w:pPr>
            <w:r>
              <w:rPr>
                <w:rFonts w:ascii="Palatino Linotype" w:hAnsi="Palatino Linotype"/>
              </w:rPr>
              <w:t>NAf 1.300.000</w:t>
            </w:r>
          </w:p>
        </w:tc>
      </w:tr>
      <w:tr w:rsidR="000C263D" w14:paraId="4778A62C" w14:textId="541D896F" w:rsidTr="00AB64F0">
        <w:tc>
          <w:tcPr>
            <w:tcW w:w="3415" w:type="dxa"/>
          </w:tcPr>
          <w:p w14:paraId="6398B255" w14:textId="77777777" w:rsidR="000C263D" w:rsidRDefault="000C263D" w:rsidP="00F55F61">
            <w:pPr>
              <w:jc w:val="both"/>
              <w:rPr>
                <w:rFonts w:ascii="Palatino Linotype" w:hAnsi="Palatino Linotype"/>
              </w:rPr>
            </w:pPr>
            <w:r>
              <w:rPr>
                <w:rFonts w:ascii="Palatino Linotype" w:hAnsi="Palatino Linotype"/>
              </w:rPr>
              <w:t>Lokale causale kosten (LCK)</w:t>
            </w:r>
          </w:p>
        </w:tc>
        <w:tc>
          <w:tcPr>
            <w:tcW w:w="1890" w:type="dxa"/>
          </w:tcPr>
          <w:p w14:paraId="73FE6535" w14:textId="41AD6404" w:rsidR="000C263D" w:rsidRDefault="000C263D" w:rsidP="00F55F61">
            <w:pPr>
              <w:tabs>
                <w:tab w:val="right" w:pos="1510"/>
              </w:tabs>
              <w:jc w:val="both"/>
              <w:rPr>
                <w:rFonts w:ascii="Palatino Linotype" w:hAnsi="Palatino Linotype"/>
              </w:rPr>
            </w:pPr>
            <w:r>
              <w:rPr>
                <w:rFonts w:ascii="Palatino Linotype" w:hAnsi="Palatino Linotype"/>
              </w:rPr>
              <w:t xml:space="preserve">NAf </w:t>
            </w:r>
            <w:r w:rsidR="00B94A08">
              <w:rPr>
                <w:rFonts w:ascii="Palatino Linotype" w:hAnsi="Palatino Linotype"/>
              </w:rPr>
              <w:tab/>
            </w:r>
            <w:r>
              <w:rPr>
                <w:rFonts w:ascii="Palatino Linotype" w:hAnsi="Palatino Linotype"/>
              </w:rPr>
              <w:t>300.000</w:t>
            </w:r>
          </w:p>
        </w:tc>
        <w:tc>
          <w:tcPr>
            <w:tcW w:w="2880" w:type="dxa"/>
          </w:tcPr>
          <w:p w14:paraId="017D858A" w14:textId="77777777" w:rsidR="000C263D" w:rsidRDefault="000C263D" w:rsidP="00F55F61">
            <w:pPr>
              <w:jc w:val="both"/>
              <w:rPr>
                <w:rFonts w:ascii="Palatino Linotype" w:hAnsi="Palatino Linotype"/>
              </w:rPr>
            </w:pPr>
          </w:p>
        </w:tc>
        <w:tc>
          <w:tcPr>
            <w:tcW w:w="2070" w:type="dxa"/>
          </w:tcPr>
          <w:p w14:paraId="523BDF6A" w14:textId="33E2C592" w:rsidR="000C263D" w:rsidRDefault="000C263D" w:rsidP="00F55F61">
            <w:pPr>
              <w:tabs>
                <w:tab w:val="right" w:pos="1590"/>
              </w:tabs>
              <w:jc w:val="both"/>
              <w:rPr>
                <w:rFonts w:ascii="Palatino Linotype" w:hAnsi="Palatino Linotype"/>
              </w:rPr>
            </w:pPr>
            <w:r>
              <w:rPr>
                <w:rFonts w:ascii="Palatino Linotype" w:hAnsi="Palatino Linotype"/>
              </w:rPr>
              <w:t>NAf</w:t>
            </w:r>
            <w:r w:rsidR="00B94A08">
              <w:rPr>
                <w:rFonts w:ascii="Palatino Linotype" w:hAnsi="Palatino Linotype"/>
              </w:rPr>
              <w:tab/>
            </w:r>
            <w:r>
              <w:rPr>
                <w:rFonts w:ascii="Palatino Linotype" w:hAnsi="Palatino Linotype"/>
              </w:rPr>
              <w:t xml:space="preserve"> 500.000</w:t>
            </w:r>
          </w:p>
        </w:tc>
        <w:tc>
          <w:tcPr>
            <w:tcW w:w="2880" w:type="dxa"/>
          </w:tcPr>
          <w:p w14:paraId="0C2E491C" w14:textId="77777777" w:rsidR="000C263D" w:rsidRDefault="000C263D" w:rsidP="00F55F61">
            <w:pPr>
              <w:jc w:val="both"/>
              <w:rPr>
                <w:rFonts w:ascii="Palatino Linotype" w:hAnsi="Palatino Linotype"/>
              </w:rPr>
            </w:pPr>
          </w:p>
        </w:tc>
      </w:tr>
      <w:tr w:rsidR="000C263D" w14:paraId="67048613" w14:textId="66B76C38" w:rsidTr="00AB64F0">
        <w:tc>
          <w:tcPr>
            <w:tcW w:w="3415" w:type="dxa"/>
          </w:tcPr>
          <w:p w14:paraId="7A8BB1CF" w14:textId="77777777" w:rsidR="000C263D" w:rsidRDefault="000C263D" w:rsidP="00F55F61">
            <w:pPr>
              <w:jc w:val="both"/>
              <w:rPr>
                <w:rFonts w:ascii="Palatino Linotype" w:hAnsi="Palatino Linotype"/>
              </w:rPr>
            </w:pPr>
            <w:r w:rsidRPr="0076456D">
              <w:rPr>
                <w:rFonts w:ascii="Palatino Linotype" w:hAnsi="Palatino Linotype"/>
              </w:rPr>
              <w:t>Buitenlandse causale kosten</w:t>
            </w:r>
            <w:r>
              <w:rPr>
                <w:rFonts w:ascii="Palatino Linotype" w:hAnsi="Palatino Linotype"/>
              </w:rPr>
              <w:t xml:space="preserve"> (BCK)</w:t>
            </w:r>
          </w:p>
        </w:tc>
        <w:tc>
          <w:tcPr>
            <w:tcW w:w="1890" w:type="dxa"/>
          </w:tcPr>
          <w:p w14:paraId="5C3156F9" w14:textId="70D067B2" w:rsidR="000C263D" w:rsidRDefault="000C263D" w:rsidP="00F55F61">
            <w:pPr>
              <w:tabs>
                <w:tab w:val="right" w:pos="1520"/>
              </w:tabs>
              <w:jc w:val="both"/>
              <w:rPr>
                <w:rFonts w:ascii="Palatino Linotype" w:hAnsi="Palatino Linotype"/>
              </w:rPr>
            </w:pPr>
            <w:r>
              <w:rPr>
                <w:rFonts w:ascii="Palatino Linotype" w:hAnsi="Palatino Linotype"/>
              </w:rPr>
              <w:t xml:space="preserve">NAf </w:t>
            </w:r>
            <w:r w:rsidR="00B94A08">
              <w:rPr>
                <w:rFonts w:ascii="Palatino Linotype" w:hAnsi="Palatino Linotype"/>
              </w:rPr>
              <w:tab/>
            </w:r>
            <w:r>
              <w:rPr>
                <w:rFonts w:ascii="Palatino Linotype" w:hAnsi="Palatino Linotype"/>
              </w:rPr>
              <w:t>100.000</w:t>
            </w:r>
          </w:p>
        </w:tc>
        <w:tc>
          <w:tcPr>
            <w:tcW w:w="2880" w:type="dxa"/>
          </w:tcPr>
          <w:p w14:paraId="6BE26333" w14:textId="77777777" w:rsidR="000C263D" w:rsidRDefault="000C263D" w:rsidP="00F55F61">
            <w:pPr>
              <w:jc w:val="both"/>
              <w:rPr>
                <w:rFonts w:ascii="Palatino Linotype" w:hAnsi="Palatino Linotype"/>
              </w:rPr>
            </w:pPr>
          </w:p>
        </w:tc>
        <w:tc>
          <w:tcPr>
            <w:tcW w:w="2070" w:type="dxa"/>
          </w:tcPr>
          <w:p w14:paraId="5E7F0659" w14:textId="062719F8" w:rsidR="000C263D" w:rsidRDefault="000C263D" w:rsidP="00F55F61">
            <w:pPr>
              <w:tabs>
                <w:tab w:val="right" w:pos="1630"/>
              </w:tabs>
              <w:jc w:val="both"/>
              <w:rPr>
                <w:rFonts w:ascii="Palatino Linotype" w:hAnsi="Palatino Linotype"/>
              </w:rPr>
            </w:pPr>
            <w:r>
              <w:rPr>
                <w:rFonts w:ascii="Palatino Linotype" w:hAnsi="Palatino Linotype"/>
              </w:rPr>
              <w:t xml:space="preserve">NAf </w:t>
            </w:r>
            <w:r w:rsidR="00B94A08">
              <w:rPr>
                <w:rFonts w:ascii="Palatino Linotype" w:hAnsi="Palatino Linotype"/>
              </w:rPr>
              <w:tab/>
            </w:r>
            <w:r>
              <w:rPr>
                <w:rFonts w:ascii="Palatino Linotype" w:hAnsi="Palatino Linotype"/>
              </w:rPr>
              <w:t>0</w:t>
            </w:r>
          </w:p>
        </w:tc>
        <w:tc>
          <w:tcPr>
            <w:tcW w:w="2880" w:type="dxa"/>
          </w:tcPr>
          <w:p w14:paraId="25BF9143" w14:textId="77777777" w:rsidR="000C263D" w:rsidRDefault="000C263D" w:rsidP="00F55F61">
            <w:pPr>
              <w:jc w:val="both"/>
              <w:rPr>
                <w:rFonts w:ascii="Palatino Linotype" w:hAnsi="Palatino Linotype"/>
              </w:rPr>
            </w:pPr>
          </w:p>
        </w:tc>
      </w:tr>
      <w:tr w:rsidR="000C263D" w14:paraId="7DA52E34" w14:textId="413486EA" w:rsidTr="00AB64F0">
        <w:tc>
          <w:tcPr>
            <w:tcW w:w="3415" w:type="dxa"/>
          </w:tcPr>
          <w:p w14:paraId="33986C22" w14:textId="251BEDC7" w:rsidR="000C263D" w:rsidRDefault="00471E6B" w:rsidP="00F55F61">
            <w:pPr>
              <w:jc w:val="both"/>
              <w:rPr>
                <w:rFonts w:ascii="Palatino Linotype" w:hAnsi="Palatino Linotype"/>
              </w:rPr>
            </w:pPr>
            <w:r>
              <w:rPr>
                <w:rFonts w:ascii="Palatino Linotype" w:hAnsi="Palatino Linotype"/>
              </w:rPr>
              <w:t>Af: t</w:t>
            </w:r>
            <w:r w:rsidR="000C263D" w:rsidRPr="0076456D">
              <w:rPr>
                <w:rFonts w:ascii="Palatino Linotype" w:hAnsi="Palatino Linotype"/>
              </w:rPr>
              <w:t>otale causale kosten</w:t>
            </w:r>
            <w:r w:rsidR="000C263D">
              <w:rPr>
                <w:rFonts w:ascii="Palatino Linotype" w:hAnsi="Palatino Linotype"/>
              </w:rPr>
              <w:t xml:space="preserve"> (TCK)</w:t>
            </w:r>
          </w:p>
        </w:tc>
        <w:tc>
          <w:tcPr>
            <w:tcW w:w="1890" w:type="dxa"/>
          </w:tcPr>
          <w:p w14:paraId="79791709" w14:textId="77777777" w:rsidR="000C263D" w:rsidRDefault="000C263D" w:rsidP="00F55F61">
            <w:pPr>
              <w:jc w:val="both"/>
              <w:rPr>
                <w:rFonts w:ascii="Palatino Linotype" w:hAnsi="Palatino Linotype"/>
              </w:rPr>
            </w:pPr>
          </w:p>
        </w:tc>
        <w:tc>
          <w:tcPr>
            <w:tcW w:w="2880" w:type="dxa"/>
          </w:tcPr>
          <w:p w14:paraId="3575A76F" w14:textId="3B7DA4FD" w:rsidR="000C263D" w:rsidRDefault="000C263D" w:rsidP="00F55F61">
            <w:pPr>
              <w:jc w:val="both"/>
              <w:rPr>
                <w:rFonts w:ascii="Palatino Linotype" w:hAnsi="Palatino Linotype"/>
              </w:rPr>
            </w:pPr>
            <w:r>
              <w:rPr>
                <w:rFonts w:ascii="Palatino Linotype" w:hAnsi="Palatino Linotype"/>
              </w:rPr>
              <w:t>NAf 400.000</w:t>
            </w:r>
          </w:p>
        </w:tc>
        <w:tc>
          <w:tcPr>
            <w:tcW w:w="2070" w:type="dxa"/>
          </w:tcPr>
          <w:p w14:paraId="4A92C7A3" w14:textId="51D7A2F2" w:rsidR="000C263D" w:rsidRDefault="000C263D" w:rsidP="00F55F61">
            <w:pPr>
              <w:jc w:val="both"/>
              <w:rPr>
                <w:rFonts w:ascii="Palatino Linotype" w:hAnsi="Palatino Linotype"/>
              </w:rPr>
            </w:pPr>
          </w:p>
        </w:tc>
        <w:tc>
          <w:tcPr>
            <w:tcW w:w="2880" w:type="dxa"/>
          </w:tcPr>
          <w:p w14:paraId="1728951A" w14:textId="5E2F5281" w:rsidR="000C263D" w:rsidRDefault="000C263D" w:rsidP="00F55F61">
            <w:pPr>
              <w:jc w:val="both"/>
              <w:rPr>
                <w:rFonts w:ascii="Palatino Linotype" w:hAnsi="Palatino Linotype"/>
              </w:rPr>
            </w:pPr>
            <w:r>
              <w:rPr>
                <w:rFonts w:ascii="Palatino Linotype" w:hAnsi="Palatino Linotype"/>
              </w:rPr>
              <w:t>NAf 500.000</w:t>
            </w:r>
          </w:p>
        </w:tc>
      </w:tr>
      <w:tr w:rsidR="000C263D" w14:paraId="003A42D4" w14:textId="0AECD4F9" w:rsidTr="00AB64F0">
        <w:tc>
          <w:tcPr>
            <w:tcW w:w="3415" w:type="dxa"/>
          </w:tcPr>
          <w:p w14:paraId="44EA7BC6" w14:textId="77777777" w:rsidR="000C263D" w:rsidRDefault="000C263D" w:rsidP="00F55F61">
            <w:pPr>
              <w:jc w:val="both"/>
              <w:rPr>
                <w:rFonts w:ascii="Palatino Linotype" w:hAnsi="Palatino Linotype"/>
              </w:rPr>
            </w:pPr>
            <w:r w:rsidRPr="0076456D">
              <w:rPr>
                <w:rFonts w:ascii="Palatino Linotype" w:hAnsi="Palatino Linotype"/>
              </w:rPr>
              <w:t>Winst na causale kosten</w:t>
            </w:r>
          </w:p>
        </w:tc>
        <w:tc>
          <w:tcPr>
            <w:tcW w:w="1890" w:type="dxa"/>
          </w:tcPr>
          <w:p w14:paraId="729B3092" w14:textId="77777777" w:rsidR="000C263D" w:rsidRDefault="000C263D" w:rsidP="00F55F61">
            <w:pPr>
              <w:jc w:val="both"/>
              <w:rPr>
                <w:rFonts w:ascii="Palatino Linotype" w:hAnsi="Palatino Linotype"/>
              </w:rPr>
            </w:pPr>
          </w:p>
        </w:tc>
        <w:tc>
          <w:tcPr>
            <w:tcW w:w="2880" w:type="dxa"/>
          </w:tcPr>
          <w:p w14:paraId="46A3427B" w14:textId="5E90BAAD" w:rsidR="000C263D" w:rsidRDefault="000C263D" w:rsidP="00F55F61">
            <w:pPr>
              <w:jc w:val="both"/>
              <w:rPr>
                <w:rFonts w:ascii="Palatino Linotype" w:hAnsi="Palatino Linotype"/>
              </w:rPr>
            </w:pPr>
            <w:r>
              <w:rPr>
                <w:rFonts w:ascii="Palatino Linotype" w:hAnsi="Palatino Linotype"/>
              </w:rPr>
              <w:t xml:space="preserve">NAf 300.000 </w:t>
            </w:r>
          </w:p>
        </w:tc>
        <w:tc>
          <w:tcPr>
            <w:tcW w:w="2070" w:type="dxa"/>
          </w:tcPr>
          <w:p w14:paraId="652FDF07" w14:textId="58930CBB" w:rsidR="000C263D" w:rsidRDefault="000C263D" w:rsidP="00F55F61">
            <w:pPr>
              <w:jc w:val="both"/>
              <w:rPr>
                <w:rFonts w:ascii="Palatino Linotype" w:hAnsi="Palatino Linotype"/>
              </w:rPr>
            </w:pPr>
          </w:p>
        </w:tc>
        <w:tc>
          <w:tcPr>
            <w:tcW w:w="2880" w:type="dxa"/>
          </w:tcPr>
          <w:p w14:paraId="3AB315B8" w14:textId="29FE694C" w:rsidR="000C263D" w:rsidRDefault="000C263D" w:rsidP="00F55F61">
            <w:pPr>
              <w:jc w:val="both"/>
              <w:rPr>
                <w:rFonts w:ascii="Palatino Linotype" w:hAnsi="Palatino Linotype"/>
              </w:rPr>
            </w:pPr>
            <w:r>
              <w:rPr>
                <w:rFonts w:ascii="Palatino Linotype" w:hAnsi="Palatino Linotype"/>
              </w:rPr>
              <w:t>NAf 800.000</w:t>
            </w:r>
          </w:p>
        </w:tc>
      </w:tr>
      <w:tr w:rsidR="000C263D" w14:paraId="0113CCBF" w14:textId="035515B4" w:rsidTr="00AB64F0">
        <w:tc>
          <w:tcPr>
            <w:tcW w:w="3415" w:type="dxa"/>
          </w:tcPr>
          <w:p w14:paraId="56225FD5" w14:textId="587CFB79" w:rsidR="000C263D" w:rsidRDefault="00471E6B" w:rsidP="00F55F61">
            <w:pPr>
              <w:jc w:val="both"/>
              <w:rPr>
                <w:rFonts w:ascii="Palatino Linotype" w:hAnsi="Palatino Linotype"/>
              </w:rPr>
            </w:pPr>
            <w:r>
              <w:rPr>
                <w:rFonts w:ascii="Palatino Linotype" w:hAnsi="Palatino Linotype"/>
              </w:rPr>
              <w:t>Af: n</w:t>
            </w:r>
            <w:r w:rsidR="000C263D" w:rsidRPr="0076456D">
              <w:rPr>
                <w:rFonts w:ascii="Palatino Linotype" w:hAnsi="Palatino Linotype"/>
              </w:rPr>
              <w:t>iet-causale kosten</w:t>
            </w:r>
            <w:r w:rsidR="000C263D">
              <w:rPr>
                <w:rFonts w:ascii="Palatino Linotype" w:hAnsi="Palatino Linotype"/>
              </w:rPr>
              <w:t xml:space="preserve"> (NCK)</w:t>
            </w:r>
          </w:p>
        </w:tc>
        <w:tc>
          <w:tcPr>
            <w:tcW w:w="1890" w:type="dxa"/>
          </w:tcPr>
          <w:p w14:paraId="7FC35DA5" w14:textId="77777777" w:rsidR="000C263D" w:rsidRDefault="000C263D" w:rsidP="00F55F61">
            <w:pPr>
              <w:jc w:val="both"/>
              <w:rPr>
                <w:rFonts w:ascii="Palatino Linotype" w:hAnsi="Palatino Linotype"/>
              </w:rPr>
            </w:pPr>
          </w:p>
        </w:tc>
        <w:tc>
          <w:tcPr>
            <w:tcW w:w="2880" w:type="dxa"/>
          </w:tcPr>
          <w:p w14:paraId="04EC876B" w14:textId="4DC83E47" w:rsidR="000C263D" w:rsidRDefault="000C263D" w:rsidP="00F55F61">
            <w:pPr>
              <w:jc w:val="both"/>
              <w:rPr>
                <w:rFonts w:ascii="Palatino Linotype" w:hAnsi="Palatino Linotype"/>
              </w:rPr>
            </w:pPr>
            <w:r>
              <w:rPr>
                <w:rFonts w:ascii="Palatino Linotype" w:hAnsi="Palatino Linotype"/>
              </w:rPr>
              <w:t>NAf 200.000</w:t>
            </w:r>
          </w:p>
        </w:tc>
        <w:tc>
          <w:tcPr>
            <w:tcW w:w="2070" w:type="dxa"/>
          </w:tcPr>
          <w:p w14:paraId="2FF467AE" w14:textId="1D2561CC" w:rsidR="000C263D" w:rsidRDefault="000C263D" w:rsidP="00F55F61">
            <w:pPr>
              <w:jc w:val="both"/>
              <w:rPr>
                <w:rFonts w:ascii="Palatino Linotype" w:hAnsi="Palatino Linotype"/>
              </w:rPr>
            </w:pPr>
          </w:p>
        </w:tc>
        <w:tc>
          <w:tcPr>
            <w:tcW w:w="2880" w:type="dxa"/>
          </w:tcPr>
          <w:p w14:paraId="722E5668" w14:textId="160A0429" w:rsidR="000C263D" w:rsidRDefault="000C263D" w:rsidP="00F55F61">
            <w:pPr>
              <w:jc w:val="both"/>
              <w:rPr>
                <w:rFonts w:ascii="Palatino Linotype" w:hAnsi="Palatino Linotype"/>
              </w:rPr>
            </w:pPr>
            <w:r>
              <w:rPr>
                <w:rFonts w:ascii="Palatino Linotype" w:hAnsi="Palatino Linotype"/>
              </w:rPr>
              <w:t>NAf 100.000</w:t>
            </w:r>
          </w:p>
        </w:tc>
      </w:tr>
      <w:tr w:rsidR="000C263D" w14:paraId="4548FBE1" w14:textId="76B5C094" w:rsidTr="00AB64F0">
        <w:tc>
          <w:tcPr>
            <w:tcW w:w="3415" w:type="dxa"/>
          </w:tcPr>
          <w:p w14:paraId="6FA269B1" w14:textId="194E4E9F" w:rsidR="000C263D" w:rsidRDefault="000C263D" w:rsidP="00F55F61">
            <w:pPr>
              <w:jc w:val="both"/>
              <w:rPr>
                <w:rFonts w:ascii="Palatino Linotype" w:hAnsi="Palatino Linotype"/>
              </w:rPr>
            </w:pPr>
            <w:r w:rsidRPr="0076456D">
              <w:rPr>
                <w:rFonts w:ascii="Palatino Linotype" w:hAnsi="Palatino Linotype"/>
              </w:rPr>
              <w:t>Nettowinst</w:t>
            </w:r>
          </w:p>
        </w:tc>
        <w:tc>
          <w:tcPr>
            <w:tcW w:w="1890" w:type="dxa"/>
          </w:tcPr>
          <w:p w14:paraId="44BD8EE2" w14:textId="77777777" w:rsidR="000C263D" w:rsidRDefault="000C263D" w:rsidP="00F55F61">
            <w:pPr>
              <w:jc w:val="both"/>
              <w:rPr>
                <w:rFonts w:ascii="Palatino Linotype" w:hAnsi="Palatino Linotype"/>
              </w:rPr>
            </w:pPr>
          </w:p>
        </w:tc>
        <w:tc>
          <w:tcPr>
            <w:tcW w:w="2880" w:type="dxa"/>
          </w:tcPr>
          <w:p w14:paraId="371F428D" w14:textId="13064EC8" w:rsidR="000C263D" w:rsidRDefault="000C263D" w:rsidP="00F55F61">
            <w:pPr>
              <w:jc w:val="both"/>
              <w:rPr>
                <w:rFonts w:ascii="Palatino Linotype" w:hAnsi="Palatino Linotype"/>
              </w:rPr>
            </w:pPr>
            <w:r>
              <w:rPr>
                <w:rFonts w:ascii="Palatino Linotype" w:hAnsi="Palatino Linotype"/>
              </w:rPr>
              <w:t>NAf 100.000</w:t>
            </w:r>
          </w:p>
        </w:tc>
        <w:tc>
          <w:tcPr>
            <w:tcW w:w="2070" w:type="dxa"/>
          </w:tcPr>
          <w:p w14:paraId="2F50BC65" w14:textId="3E259325" w:rsidR="000C263D" w:rsidRDefault="000C263D" w:rsidP="00F55F61">
            <w:pPr>
              <w:jc w:val="both"/>
              <w:rPr>
                <w:rFonts w:ascii="Palatino Linotype" w:hAnsi="Palatino Linotype"/>
              </w:rPr>
            </w:pPr>
          </w:p>
        </w:tc>
        <w:tc>
          <w:tcPr>
            <w:tcW w:w="2880" w:type="dxa"/>
          </w:tcPr>
          <w:p w14:paraId="35A9D4CB" w14:textId="7645E465" w:rsidR="000C263D" w:rsidRDefault="000C263D" w:rsidP="00F55F61">
            <w:pPr>
              <w:jc w:val="both"/>
              <w:rPr>
                <w:rFonts w:ascii="Palatino Linotype" w:hAnsi="Palatino Linotype"/>
              </w:rPr>
            </w:pPr>
            <w:r>
              <w:rPr>
                <w:rFonts w:ascii="Palatino Linotype" w:hAnsi="Palatino Linotype"/>
              </w:rPr>
              <w:t>NAf 700.000</w:t>
            </w:r>
          </w:p>
        </w:tc>
      </w:tr>
      <w:tr w:rsidR="000C263D" w14:paraId="10AA5F6B" w14:textId="4F55404B" w:rsidTr="00AB64F0">
        <w:tc>
          <w:tcPr>
            <w:tcW w:w="3415" w:type="dxa"/>
          </w:tcPr>
          <w:p w14:paraId="1BF3CCB8" w14:textId="77777777" w:rsidR="000C263D" w:rsidRPr="0076456D" w:rsidRDefault="000C263D" w:rsidP="00F55F61">
            <w:pPr>
              <w:jc w:val="both"/>
              <w:rPr>
                <w:rFonts w:ascii="Palatino Linotype" w:hAnsi="Palatino Linotype"/>
              </w:rPr>
            </w:pPr>
          </w:p>
        </w:tc>
        <w:tc>
          <w:tcPr>
            <w:tcW w:w="1890" w:type="dxa"/>
          </w:tcPr>
          <w:p w14:paraId="73016A7C" w14:textId="77777777" w:rsidR="000C263D" w:rsidRDefault="000C263D" w:rsidP="00F55F61">
            <w:pPr>
              <w:jc w:val="both"/>
              <w:rPr>
                <w:rFonts w:ascii="Palatino Linotype" w:hAnsi="Palatino Linotype"/>
              </w:rPr>
            </w:pPr>
          </w:p>
        </w:tc>
        <w:tc>
          <w:tcPr>
            <w:tcW w:w="2880" w:type="dxa"/>
          </w:tcPr>
          <w:p w14:paraId="185F075E" w14:textId="77777777" w:rsidR="000C263D" w:rsidRDefault="000C263D" w:rsidP="00F55F61">
            <w:pPr>
              <w:jc w:val="both"/>
              <w:rPr>
                <w:rFonts w:ascii="Palatino Linotype" w:hAnsi="Palatino Linotype"/>
              </w:rPr>
            </w:pPr>
          </w:p>
        </w:tc>
        <w:tc>
          <w:tcPr>
            <w:tcW w:w="2070" w:type="dxa"/>
          </w:tcPr>
          <w:p w14:paraId="20D21BDB" w14:textId="77777777" w:rsidR="000C263D" w:rsidRDefault="000C263D" w:rsidP="00F55F61">
            <w:pPr>
              <w:jc w:val="both"/>
              <w:rPr>
                <w:rFonts w:ascii="Palatino Linotype" w:hAnsi="Palatino Linotype"/>
              </w:rPr>
            </w:pPr>
          </w:p>
        </w:tc>
        <w:tc>
          <w:tcPr>
            <w:tcW w:w="2880" w:type="dxa"/>
          </w:tcPr>
          <w:p w14:paraId="14906134" w14:textId="77777777" w:rsidR="000C263D" w:rsidRDefault="000C263D" w:rsidP="00F55F61">
            <w:pPr>
              <w:jc w:val="both"/>
              <w:rPr>
                <w:rFonts w:ascii="Palatino Linotype" w:hAnsi="Palatino Linotype"/>
              </w:rPr>
            </w:pPr>
          </w:p>
        </w:tc>
      </w:tr>
      <w:tr w:rsidR="000C263D" w14:paraId="61EBCA67" w14:textId="01EDC736" w:rsidTr="00AB64F0">
        <w:tc>
          <w:tcPr>
            <w:tcW w:w="3415" w:type="dxa"/>
          </w:tcPr>
          <w:p w14:paraId="731B3D2C" w14:textId="5170D764" w:rsidR="000C3B84" w:rsidRPr="0076456D" w:rsidRDefault="007C6A6D" w:rsidP="00F55F61">
            <w:pPr>
              <w:jc w:val="both"/>
              <w:rPr>
                <w:rFonts w:ascii="Palatino Linotype" w:hAnsi="Palatino Linotype"/>
                <w:b/>
              </w:rPr>
            </w:pPr>
            <w:r>
              <w:rPr>
                <w:rFonts w:ascii="Palatino Linotype" w:hAnsi="Palatino Linotype"/>
                <w:b/>
              </w:rPr>
              <w:t>W</w:t>
            </w:r>
            <w:r w:rsidR="000C3B84" w:rsidRPr="0076456D">
              <w:rPr>
                <w:rFonts w:ascii="Palatino Linotype" w:hAnsi="Palatino Linotype"/>
                <w:b/>
              </w:rPr>
              <w:t>inst</w:t>
            </w:r>
            <w:r>
              <w:rPr>
                <w:rFonts w:ascii="Palatino Linotype" w:hAnsi="Palatino Linotype"/>
                <w:b/>
              </w:rPr>
              <w:t xml:space="preserve"> uit binnenlandse onderneming</w:t>
            </w:r>
          </w:p>
        </w:tc>
        <w:tc>
          <w:tcPr>
            <w:tcW w:w="1890" w:type="dxa"/>
          </w:tcPr>
          <w:p w14:paraId="7706AEC0" w14:textId="77777777" w:rsidR="000C3B84" w:rsidRDefault="000C3B84" w:rsidP="00F55F61">
            <w:pPr>
              <w:jc w:val="both"/>
              <w:rPr>
                <w:rFonts w:ascii="Palatino Linotype" w:hAnsi="Palatino Linotype"/>
              </w:rPr>
            </w:pPr>
          </w:p>
        </w:tc>
        <w:tc>
          <w:tcPr>
            <w:tcW w:w="2880" w:type="dxa"/>
          </w:tcPr>
          <w:p w14:paraId="566AFFFF" w14:textId="77777777" w:rsidR="000C3B84" w:rsidRDefault="000C3B84" w:rsidP="00F55F61">
            <w:pPr>
              <w:jc w:val="both"/>
              <w:rPr>
                <w:rFonts w:ascii="Palatino Linotype" w:hAnsi="Palatino Linotype"/>
              </w:rPr>
            </w:pPr>
          </w:p>
        </w:tc>
        <w:tc>
          <w:tcPr>
            <w:tcW w:w="2070" w:type="dxa"/>
          </w:tcPr>
          <w:p w14:paraId="47DF050A" w14:textId="77777777" w:rsidR="000C3B84" w:rsidRDefault="000C3B84" w:rsidP="00F55F61">
            <w:pPr>
              <w:jc w:val="both"/>
              <w:rPr>
                <w:rFonts w:ascii="Palatino Linotype" w:hAnsi="Palatino Linotype"/>
              </w:rPr>
            </w:pPr>
          </w:p>
        </w:tc>
        <w:tc>
          <w:tcPr>
            <w:tcW w:w="2880" w:type="dxa"/>
          </w:tcPr>
          <w:p w14:paraId="1A000264" w14:textId="77777777" w:rsidR="000C3B84" w:rsidRDefault="000C3B84" w:rsidP="00F55F61">
            <w:pPr>
              <w:jc w:val="both"/>
              <w:rPr>
                <w:rFonts w:ascii="Palatino Linotype" w:hAnsi="Palatino Linotype"/>
              </w:rPr>
            </w:pPr>
          </w:p>
        </w:tc>
      </w:tr>
      <w:tr w:rsidR="000C263D" w14:paraId="6F795A36" w14:textId="0D686A69" w:rsidTr="00AB64F0">
        <w:tc>
          <w:tcPr>
            <w:tcW w:w="3415" w:type="dxa"/>
          </w:tcPr>
          <w:p w14:paraId="2DC0B96B" w14:textId="77777777" w:rsidR="007A6A5A" w:rsidRPr="0076456D" w:rsidRDefault="007A6A5A" w:rsidP="00F55F61">
            <w:pPr>
              <w:jc w:val="both"/>
              <w:rPr>
                <w:rFonts w:ascii="Palatino Linotype" w:hAnsi="Palatino Linotype"/>
              </w:rPr>
            </w:pPr>
            <w:r>
              <w:rPr>
                <w:rFonts w:ascii="Palatino Linotype" w:hAnsi="Palatino Linotype"/>
              </w:rPr>
              <w:t>Toerekening winst na causale kosten</w:t>
            </w:r>
          </w:p>
        </w:tc>
        <w:tc>
          <w:tcPr>
            <w:tcW w:w="1890" w:type="dxa"/>
          </w:tcPr>
          <w:p w14:paraId="55961C34" w14:textId="77777777" w:rsidR="007A6A5A" w:rsidRDefault="007A6A5A" w:rsidP="00F55F61">
            <w:pPr>
              <w:jc w:val="both"/>
              <w:rPr>
                <w:rFonts w:ascii="Palatino Linotype" w:hAnsi="Palatino Linotype"/>
              </w:rPr>
            </w:pPr>
          </w:p>
        </w:tc>
        <w:tc>
          <w:tcPr>
            <w:tcW w:w="2880" w:type="dxa"/>
          </w:tcPr>
          <w:p w14:paraId="7AC4EB07" w14:textId="034A09A6" w:rsidR="007A6A5A" w:rsidRDefault="000C263D" w:rsidP="00F55F61">
            <w:pPr>
              <w:jc w:val="both"/>
              <w:rPr>
                <w:rFonts w:ascii="Palatino Linotype" w:hAnsi="Palatino Linotype"/>
              </w:rPr>
            </w:pPr>
            <w:r>
              <w:rPr>
                <w:rFonts w:ascii="Palatino Linotype" w:hAnsi="Palatino Linotype"/>
              </w:rPr>
              <w:t xml:space="preserve">300.000 x </w:t>
            </w:r>
            <w:r w:rsidR="00471E6B">
              <w:rPr>
                <w:rFonts w:ascii="Palatino Linotype" w:hAnsi="Palatino Linotype"/>
              </w:rPr>
              <w:t>(</w:t>
            </w:r>
            <w:r>
              <w:rPr>
                <w:rFonts w:ascii="Palatino Linotype" w:hAnsi="Palatino Linotype"/>
              </w:rPr>
              <w:t>300.000/400.000</w:t>
            </w:r>
            <w:r w:rsidR="00471E6B">
              <w:rPr>
                <w:rFonts w:ascii="Palatino Linotype" w:hAnsi="Palatino Linotype"/>
              </w:rPr>
              <w:t>)</w:t>
            </w:r>
            <w:r>
              <w:rPr>
                <w:rFonts w:ascii="Palatino Linotype" w:hAnsi="Palatino Linotype"/>
              </w:rPr>
              <w:t xml:space="preserve"> = </w:t>
            </w:r>
            <w:r w:rsidR="00953375">
              <w:rPr>
                <w:rFonts w:ascii="Palatino Linotype" w:hAnsi="Palatino Linotype"/>
              </w:rPr>
              <w:t xml:space="preserve">NAf </w:t>
            </w:r>
            <w:r>
              <w:rPr>
                <w:rFonts w:ascii="Palatino Linotype" w:hAnsi="Palatino Linotype"/>
              </w:rPr>
              <w:t>225.000</w:t>
            </w:r>
          </w:p>
        </w:tc>
        <w:tc>
          <w:tcPr>
            <w:tcW w:w="2070" w:type="dxa"/>
          </w:tcPr>
          <w:p w14:paraId="61656978" w14:textId="7370644B" w:rsidR="007A6A5A" w:rsidRDefault="007A6A5A" w:rsidP="00F55F61">
            <w:pPr>
              <w:jc w:val="both"/>
              <w:rPr>
                <w:rFonts w:ascii="Palatino Linotype" w:hAnsi="Palatino Linotype"/>
              </w:rPr>
            </w:pPr>
          </w:p>
        </w:tc>
        <w:tc>
          <w:tcPr>
            <w:tcW w:w="2880" w:type="dxa"/>
          </w:tcPr>
          <w:p w14:paraId="79C6EB79" w14:textId="02B0C815" w:rsidR="007A6A5A" w:rsidRDefault="007A6A5A" w:rsidP="00F55F61">
            <w:pPr>
              <w:jc w:val="both"/>
              <w:rPr>
                <w:rFonts w:ascii="Palatino Linotype" w:hAnsi="Palatino Linotype"/>
              </w:rPr>
            </w:pPr>
            <w:r>
              <w:rPr>
                <w:rFonts w:ascii="Palatino Linotype" w:hAnsi="Palatino Linotype"/>
              </w:rPr>
              <w:t xml:space="preserve">800.000 x </w:t>
            </w:r>
            <w:r w:rsidR="00471E6B">
              <w:rPr>
                <w:rFonts w:ascii="Palatino Linotype" w:hAnsi="Palatino Linotype"/>
              </w:rPr>
              <w:t>(</w:t>
            </w:r>
            <w:r>
              <w:rPr>
                <w:rFonts w:ascii="Palatino Linotype" w:hAnsi="Palatino Linotype"/>
              </w:rPr>
              <w:t>500.000/500.000</w:t>
            </w:r>
            <w:r w:rsidR="00471E6B">
              <w:rPr>
                <w:rFonts w:ascii="Palatino Linotype" w:hAnsi="Palatino Linotype"/>
              </w:rPr>
              <w:t>)</w:t>
            </w:r>
            <w:r>
              <w:rPr>
                <w:rFonts w:ascii="Palatino Linotype" w:hAnsi="Palatino Linotype"/>
              </w:rPr>
              <w:t xml:space="preserve"> = NAf 800.000</w:t>
            </w:r>
          </w:p>
        </w:tc>
      </w:tr>
      <w:tr w:rsidR="000C263D" w14:paraId="1EBCFC62" w14:textId="5F447D09" w:rsidTr="00AB64F0">
        <w:tc>
          <w:tcPr>
            <w:tcW w:w="3415" w:type="dxa"/>
          </w:tcPr>
          <w:p w14:paraId="1D86AE66" w14:textId="77777777" w:rsidR="007A6A5A" w:rsidRPr="0076456D" w:rsidRDefault="007A6A5A" w:rsidP="00F55F61">
            <w:pPr>
              <w:jc w:val="both"/>
              <w:rPr>
                <w:rFonts w:ascii="Palatino Linotype" w:hAnsi="Palatino Linotype"/>
              </w:rPr>
            </w:pPr>
            <w:r>
              <w:rPr>
                <w:rFonts w:ascii="Palatino Linotype" w:hAnsi="Palatino Linotype"/>
              </w:rPr>
              <w:t>Toerekening niet-causale kosten</w:t>
            </w:r>
          </w:p>
        </w:tc>
        <w:tc>
          <w:tcPr>
            <w:tcW w:w="1890" w:type="dxa"/>
          </w:tcPr>
          <w:p w14:paraId="52DD3E5E" w14:textId="77777777" w:rsidR="007A6A5A" w:rsidRDefault="007A6A5A" w:rsidP="00F55F61">
            <w:pPr>
              <w:jc w:val="both"/>
              <w:rPr>
                <w:rFonts w:ascii="Palatino Linotype" w:hAnsi="Palatino Linotype"/>
              </w:rPr>
            </w:pPr>
          </w:p>
        </w:tc>
        <w:tc>
          <w:tcPr>
            <w:tcW w:w="2880" w:type="dxa"/>
          </w:tcPr>
          <w:p w14:paraId="0CAE88A6" w14:textId="213BC8F8" w:rsidR="007A6A5A" w:rsidRDefault="000C263D" w:rsidP="00F55F61">
            <w:pPr>
              <w:jc w:val="both"/>
              <w:rPr>
                <w:rFonts w:ascii="Palatino Linotype" w:hAnsi="Palatino Linotype"/>
              </w:rPr>
            </w:pPr>
            <w:r>
              <w:rPr>
                <w:rFonts w:ascii="Palatino Linotype" w:hAnsi="Palatino Linotype"/>
              </w:rPr>
              <w:t xml:space="preserve">200.000 x </w:t>
            </w:r>
            <w:r w:rsidR="00471E6B">
              <w:rPr>
                <w:rFonts w:ascii="Palatino Linotype" w:hAnsi="Palatino Linotype"/>
              </w:rPr>
              <w:t>(</w:t>
            </w:r>
            <w:r>
              <w:rPr>
                <w:rFonts w:ascii="Palatino Linotype" w:hAnsi="Palatino Linotype"/>
              </w:rPr>
              <w:t>800.000/900.000</w:t>
            </w:r>
            <w:r w:rsidR="00471E6B">
              <w:rPr>
                <w:rFonts w:ascii="Palatino Linotype" w:hAnsi="Palatino Linotype"/>
              </w:rPr>
              <w:t>)</w:t>
            </w:r>
            <w:r>
              <w:rPr>
                <w:rFonts w:ascii="Palatino Linotype" w:hAnsi="Palatino Linotype"/>
              </w:rPr>
              <w:t xml:space="preserve"> = </w:t>
            </w:r>
            <w:r w:rsidR="00953375">
              <w:rPr>
                <w:rFonts w:ascii="Palatino Linotype" w:hAnsi="Palatino Linotype"/>
              </w:rPr>
              <w:t xml:space="preserve">NAf </w:t>
            </w:r>
            <w:r>
              <w:rPr>
                <w:rFonts w:ascii="Palatino Linotype" w:hAnsi="Palatino Linotype"/>
              </w:rPr>
              <w:t>177.000</w:t>
            </w:r>
          </w:p>
        </w:tc>
        <w:tc>
          <w:tcPr>
            <w:tcW w:w="2070" w:type="dxa"/>
          </w:tcPr>
          <w:p w14:paraId="3C320B06" w14:textId="2BE9E672" w:rsidR="007A6A5A" w:rsidRDefault="007A6A5A" w:rsidP="00F55F61">
            <w:pPr>
              <w:jc w:val="both"/>
              <w:rPr>
                <w:rFonts w:ascii="Palatino Linotype" w:hAnsi="Palatino Linotype"/>
              </w:rPr>
            </w:pPr>
          </w:p>
        </w:tc>
        <w:tc>
          <w:tcPr>
            <w:tcW w:w="2880" w:type="dxa"/>
          </w:tcPr>
          <w:p w14:paraId="617DBAAD" w14:textId="59353AB7" w:rsidR="007A6A5A" w:rsidRDefault="007A6A5A" w:rsidP="00F55F61">
            <w:pPr>
              <w:jc w:val="both"/>
              <w:rPr>
                <w:rFonts w:ascii="Palatino Linotype" w:hAnsi="Palatino Linotype"/>
              </w:rPr>
            </w:pPr>
            <w:r>
              <w:rPr>
                <w:rFonts w:ascii="Palatino Linotype" w:hAnsi="Palatino Linotype"/>
              </w:rPr>
              <w:t>100</w:t>
            </w:r>
            <w:r w:rsidR="00953375">
              <w:rPr>
                <w:rFonts w:ascii="Palatino Linotype" w:hAnsi="Palatino Linotype"/>
              </w:rPr>
              <w:t>.000</w:t>
            </w:r>
            <w:r>
              <w:rPr>
                <w:rFonts w:ascii="Palatino Linotype" w:hAnsi="Palatino Linotype"/>
              </w:rPr>
              <w:t xml:space="preserve"> x </w:t>
            </w:r>
            <w:r w:rsidR="00471E6B">
              <w:rPr>
                <w:rFonts w:ascii="Palatino Linotype" w:hAnsi="Palatino Linotype"/>
              </w:rPr>
              <w:t>(</w:t>
            </w:r>
            <w:r>
              <w:rPr>
                <w:rFonts w:ascii="Palatino Linotype" w:hAnsi="Palatino Linotype"/>
              </w:rPr>
              <w:t>800</w:t>
            </w:r>
            <w:r w:rsidR="00953375">
              <w:rPr>
                <w:rFonts w:ascii="Palatino Linotype" w:hAnsi="Palatino Linotype"/>
              </w:rPr>
              <w:t>.000</w:t>
            </w:r>
            <w:r>
              <w:rPr>
                <w:rFonts w:ascii="Palatino Linotype" w:hAnsi="Palatino Linotype"/>
              </w:rPr>
              <w:t>/900</w:t>
            </w:r>
            <w:r w:rsidR="00953375">
              <w:rPr>
                <w:rFonts w:ascii="Palatino Linotype" w:hAnsi="Palatino Linotype"/>
              </w:rPr>
              <w:t>.000</w:t>
            </w:r>
            <w:r w:rsidR="00471E6B">
              <w:rPr>
                <w:rFonts w:ascii="Palatino Linotype" w:hAnsi="Palatino Linotype"/>
              </w:rPr>
              <w:t>)</w:t>
            </w:r>
            <w:r>
              <w:rPr>
                <w:rFonts w:ascii="Palatino Linotype" w:hAnsi="Palatino Linotype"/>
              </w:rPr>
              <w:t xml:space="preserve"> = NAf 88</w:t>
            </w:r>
            <w:r w:rsidR="00043217">
              <w:rPr>
                <w:rFonts w:ascii="Palatino Linotype" w:hAnsi="Palatino Linotype"/>
              </w:rPr>
              <w:t>.000</w:t>
            </w:r>
          </w:p>
        </w:tc>
      </w:tr>
      <w:tr w:rsidR="000C263D" w14:paraId="13F20FEF" w14:textId="2F6F7B15" w:rsidTr="00AB64F0">
        <w:tc>
          <w:tcPr>
            <w:tcW w:w="3415" w:type="dxa"/>
          </w:tcPr>
          <w:p w14:paraId="532AF84B" w14:textId="6C2AE64D" w:rsidR="000C3B84" w:rsidRPr="00AB64F0" w:rsidRDefault="00942101" w:rsidP="00F55F61">
            <w:pPr>
              <w:jc w:val="both"/>
              <w:rPr>
                <w:rFonts w:ascii="Palatino Linotype" w:hAnsi="Palatino Linotype"/>
                <w:b/>
              </w:rPr>
            </w:pPr>
            <w:r>
              <w:rPr>
                <w:rFonts w:ascii="Palatino Linotype" w:hAnsi="Palatino Linotype"/>
                <w:b/>
              </w:rPr>
              <w:t>B</w:t>
            </w:r>
            <w:r w:rsidR="00942B63" w:rsidRPr="00AB64F0">
              <w:rPr>
                <w:rFonts w:ascii="Palatino Linotype" w:hAnsi="Palatino Linotype"/>
                <w:b/>
              </w:rPr>
              <w:t xml:space="preserve">elastbare </w:t>
            </w:r>
            <w:r w:rsidR="006E100E">
              <w:rPr>
                <w:rFonts w:ascii="Palatino Linotype" w:hAnsi="Palatino Linotype"/>
                <w:b/>
              </w:rPr>
              <w:t>bedrag</w:t>
            </w:r>
            <w:r>
              <w:rPr>
                <w:rFonts w:ascii="Palatino Linotype" w:hAnsi="Palatino Linotype"/>
                <w:b/>
              </w:rPr>
              <w:t xml:space="preserve">uit </w:t>
            </w:r>
            <w:r w:rsidR="00942B63" w:rsidRPr="00AB64F0">
              <w:rPr>
                <w:rFonts w:ascii="Palatino Linotype" w:hAnsi="Palatino Linotype"/>
                <w:b/>
              </w:rPr>
              <w:t xml:space="preserve">binnenlandse </w:t>
            </w:r>
            <w:r>
              <w:rPr>
                <w:rFonts w:ascii="Palatino Linotype" w:hAnsi="Palatino Linotype"/>
                <w:b/>
              </w:rPr>
              <w:t>onderneming</w:t>
            </w:r>
          </w:p>
        </w:tc>
        <w:tc>
          <w:tcPr>
            <w:tcW w:w="1890" w:type="dxa"/>
          </w:tcPr>
          <w:p w14:paraId="32843408" w14:textId="77777777" w:rsidR="000C3B84" w:rsidRDefault="000C3B84" w:rsidP="00F55F61">
            <w:pPr>
              <w:jc w:val="both"/>
              <w:rPr>
                <w:rFonts w:ascii="Palatino Linotype" w:hAnsi="Palatino Linotype"/>
              </w:rPr>
            </w:pPr>
          </w:p>
        </w:tc>
        <w:tc>
          <w:tcPr>
            <w:tcW w:w="2880" w:type="dxa"/>
          </w:tcPr>
          <w:p w14:paraId="5A1B767E" w14:textId="77777777" w:rsidR="00942101" w:rsidRPr="00396C47" w:rsidRDefault="00942101" w:rsidP="00F55F61">
            <w:pPr>
              <w:jc w:val="both"/>
              <w:rPr>
                <w:rFonts w:ascii="Palatino Linotype" w:hAnsi="Palatino Linotype"/>
              </w:rPr>
            </w:pPr>
          </w:p>
          <w:p w14:paraId="14CCE822" w14:textId="7BD07C44" w:rsidR="000C3B84" w:rsidRPr="00396C47" w:rsidRDefault="00942B63" w:rsidP="00F55F61">
            <w:pPr>
              <w:jc w:val="both"/>
              <w:rPr>
                <w:rFonts w:ascii="Palatino Linotype" w:hAnsi="Palatino Linotype"/>
              </w:rPr>
            </w:pPr>
            <w:r w:rsidRPr="00396C47">
              <w:rPr>
                <w:rFonts w:ascii="Palatino Linotype" w:hAnsi="Palatino Linotype"/>
              </w:rPr>
              <w:t>NAf 48</w:t>
            </w:r>
            <w:r w:rsidR="00F478DB" w:rsidRPr="00396C47">
              <w:rPr>
                <w:rFonts w:ascii="Palatino Linotype" w:hAnsi="Palatino Linotype"/>
              </w:rPr>
              <w:t>.000</w:t>
            </w:r>
          </w:p>
        </w:tc>
        <w:tc>
          <w:tcPr>
            <w:tcW w:w="2070" w:type="dxa"/>
          </w:tcPr>
          <w:p w14:paraId="3F877AC1" w14:textId="77777777" w:rsidR="00942101" w:rsidRPr="00396C47" w:rsidRDefault="00942101" w:rsidP="00F55F61">
            <w:pPr>
              <w:jc w:val="both"/>
              <w:rPr>
                <w:rFonts w:ascii="Palatino Linotype" w:hAnsi="Palatino Linotype"/>
              </w:rPr>
            </w:pPr>
          </w:p>
          <w:p w14:paraId="63FBB43A" w14:textId="622CCE07" w:rsidR="000C3B84" w:rsidRPr="00396C47" w:rsidRDefault="000C3B84" w:rsidP="00F55F61">
            <w:pPr>
              <w:jc w:val="both"/>
              <w:rPr>
                <w:rFonts w:ascii="Palatino Linotype" w:hAnsi="Palatino Linotype"/>
              </w:rPr>
            </w:pPr>
          </w:p>
        </w:tc>
        <w:tc>
          <w:tcPr>
            <w:tcW w:w="2880" w:type="dxa"/>
          </w:tcPr>
          <w:p w14:paraId="51C9E851" w14:textId="77777777" w:rsidR="00F478DB" w:rsidRPr="00396C47" w:rsidRDefault="00F478DB" w:rsidP="00F55F61">
            <w:pPr>
              <w:jc w:val="both"/>
              <w:rPr>
                <w:rFonts w:ascii="Palatino Linotype" w:hAnsi="Palatino Linotype"/>
              </w:rPr>
            </w:pPr>
          </w:p>
          <w:p w14:paraId="62D18E3F" w14:textId="5B2266AD" w:rsidR="000C3B84" w:rsidRPr="00396C47" w:rsidRDefault="00F478DB" w:rsidP="00F55F61">
            <w:pPr>
              <w:jc w:val="both"/>
              <w:rPr>
                <w:rFonts w:ascii="Palatino Linotype" w:hAnsi="Palatino Linotype"/>
              </w:rPr>
            </w:pPr>
            <w:r w:rsidRPr="00396C47">
              <w:rPr>
                <w:rFonts w:ascii="Palatino Linotype" w:hAnsi="Palatino Linotype"/>
              </w:rPr>
              <w:t>NAf 712.000</w:t>
            </w:r>
          </w:p>
        </w:tc>
      </w:tr>
      <w:tr w:rsidR="000C263D" w14:paraId="18E3A92A" w14:textId="77777777" w:rsidTr="00AB64F0">
        <w:tc>
          <w:tcPr>
            <w:tcW w:w="3415" w:type="dxa"/>
          </w:tcPr>
          <w:p w14:paraId="4BAC945C" w14:textId="45CB1722" w:rsidR="00EF259D" w:rsidRDefault="00EF259D" w:rsidP="00F55F61">
            <w:pPr>
              <w:jc w:val="both"/>
              <w:rPr>
                <w:rFonts w:ascii="Palatino Linotype" w:hAnsi="Palatino Linotype"/>
                <w:b/>
              </w:rPr>
            </w:pPr>
            <w:r>
              <w:rPr>
                <w:rFonts w:ascii="Palatino Linotype" w:hAnsi="Palatino Linotype"/>
                <w:b/>
              </w:rPr>
              <w:t>Verschuldigde winstbelasting</w:t>
            </w:r>
          </w:p>
        </w:tc>
        <w:tc>
          <w:tcPr>
            <w:tcW w:w="1890" w:type="dxa"/>
          </w:tcPr>
          <w:p w14:paraId="36C45A00" w14:textId="77777777" w:rsidR="00EF259D" w:rsidRDefault="00EF259D" w:rsidP="00F55F61">
            <w:pPr>
              <w:jc w:val="both"/>
              <w:rPr>
                <w:rFonts w:ascii="Palatino Linotype" w:hAnsi="Palatino Linotype"/>
              </w:rPr>
            </w:pPr>
          </w:p>
        </w:tc>
        <w:tc>
          <w:tcPr>
            <w:tcW w:w="2880" w:type="dxa"/>
          </w:tcPr>
          <w:p w14:paraId="25BD7DE7" w14:textId="4A74BEE7" w:rsidR="00EF259D" w:rsidRPr="00396C47" w:rsidRDefault="00F478DB" w:rsidP="00F55F61">
            <w:pPr>
              <w:jc w:val="both"/>
              <w:rPr>
                <w:rFonts w:ascii="Palatino Linotype" w:hAnsi="Palatino Linotype"/>
              </w:rPr>
            </w:pPr>
            <w:r w:rsidRPr="00396C47">
              <w:rPr>
                <w:rFonts w:ascii="Palatino Linotype" w:hAnsi="Palatino Linotype"/>
              </w:rPr>
              <w:t>NAf 7.200</w:t>
            </w:r>
          </w:p>
        </w:tc>
        <w:tc>
          <w:tcPr>
            <w:tcW w:w="2070" w:type="dxa"/>
          </w:tcPr>
          <w:p w14:paraId="7193E0D4" w14:textId="77777777" w:rsidR="00EF259D" w:rsidRPr="00396C47" w:rsidRDefault="00EF259D" w:rsidP="00F55F61">
            <w:pPr>
              <w:jc w:val="both"/>
              <w:rPr>
                <w:rFonts w:ascii="Palatino Linotype" w:hAnsi="Palatino Linotype"/>
              </w:rPr>
            </w:pPr>
          </w:p>
        </w:tc>
        <w:tc>
          <w:tcPr>
            <w:tcW w:w="2880" w:type="dxa"/>
          </w:tcPr>
          <w:p w14:paraId="51252405" w14:textId="3C839BD4" w:rsidR="00EF259D" w:rsidRPr="00396C47" w:rsidRDefault="00B75DF1" w:rsidP="00F55F61">
            <w:pPr>
              <w:jc w:val="both"/>
              <w:rPr>
                <w:rFonts w:ascii="Palatino Linotype" w:hAnsi="Palatino Linotype"/>
              </w:rPr>
            </w:pPr>
            <w:r w:rsidRPr="00396C47">
              <w:rPr>
                <w:rFonts w:ascii="Palatino Linotype" w:hAnsi="Palatino Linotype"/>
              </w:rPr>
              <w:t>NAf 121.640</w:t>
            </w:r>
          </w:p>
        </w:tc>
      </w:tr>
      <w:tr w:rsidR="000C263D" w14:paraId="6A268580" w14:textId="77777777" w:rsidTr="00AB64F0">
        <w:tc>
          <w:tcPr>
            <w:tcW w:w="3415" w:type="dxa"/>
          </w:tcPr>
          <w:p w14:paraId="7302726D" w14:textId="74281AD4" w:rsidR="00EF259D" w:rsidRDefault="00EF259D" w:rsidP="00F55F61">
            <w:pPr>
              <w:jc w:val="both"/>
              <w:rPr>
                <w:rFonts w:ascii="Palatino Linotype" w:hAnsi="Palatino Linotype"/>
                <w:b/>
              </w:rPr>
            </w:pPr>
            <w:r>
              <w:rPr>
                <w:rFonts w:ascii="Palatino Linotype" w:hAnsi="Palatino Linotype"/>
                <w:b/>
              </w:rPr>
              <w:t>Effectieve belastingdruk</w:t>
            </w:r>
          </w:p>
        </w:tc>
        <w:tc>
          <w:tcPr>
            <w:tcW w:w="1890" w:type="dxa"/>
          </w:tcPr>
          <w:p w14:paraId="3FECC1F9" w14:textId="77777777" w:rsidR="00EF259D" w:rsidRDefault="00EF259D" w:rsidP="00F55F61">
            <w:pPr>
              <w:jc w:val="both"/>
              <w:rPr>
                <w:rFonts w:ascii="Palatino Linotype" w:hAnsi="Palatino Linotype"/>
              </w:rPr>
            </w:pPr>
          </w:p>
        </w:tc>
        <w:tc>
          <w:tcPr>
            <w:tcW w:w="2880" w:type="dxa"/>
          </w:tcPr>
          <w:p w14:paraId="78DA4964" w14:textId="36D19B04" w:rsidR="00EF259D" w:rsidRPr="00396C47" w:rsidRDefault="00F478DB" w:rsidP="00F55F61">
            <w:pPr>
              <w:jc w:val="both"/>
              <w:rPr>
                <w:rFonts w:ascii="Palatino Linotype" w:hAnsi="Palatino Linotype"/>
              </w:rPr>
            </w:pPr>
            <w:r w:rsidRPr="00396C47">
              <w:rPr>
                <w:rFonts w:ascii="Palatino Linotype" w:hAnsi="Palatino Linotype"/>
              </w:rPr>
              <w:t>7,2%</w:t>
            </w:r>
          </w:p>
        </w:tc>
        <w:tc>
          <w:tcPr>
            <w:tcW w:w="2070" w:type="dxa"/>
          </w:tcPr>
          <w:p w14:paraId="693E7CA8" w14:textId="77777777" w:rsidR="00EF259D" w:rsidRPr="00396C47" w:rsidRDefault="00EF259D" w:rsidP="00F55F61">
            <w:pPr>
              <w:jc w:val="both"/>
              <w:rPr>
                <w:rFonts w:ascii="Palatino Linotype" w:hAnsi="Palatino Linotype"/>
              </w:rPr>
            </w:pPr>
          </w:p>
        </w:tc>
        <w:tc>
          <w:tcPr>
            <w:tcW w:w="2880" w:type="dxa"/>
          </w:tcPr>
          <w:p w14:paraId="1D4138A3" w14:textId="44D20F2F" w:rsidR="00EF259D" w:rsidRPr="00396C47" w:rsidRDefault="00B75DF1" w:rsidP="00F55F61">
            <w:pPr>
              <w:jc w:val="both"/>
              <w:rPr>
                <w:rFonts w:ascii="Palatino Linotype" w:hAnsi="Palatino Linotype"/>
              </w:rPr>
            </w:pPr>
            <w:r w:rsidRPr="00396C47">
              <w:rPr>
                <w:rFonts w:ascii="Palatino Linotype" w:hAnsi="Palatino Linotype"/>
              </w:rPr>
              <w:t>17,</w:t>
            </w:r>
            <w:r w:rsidR="00471E6B">
              <w:rPr>
                <w:rFonts w:ascii="Palatino Linotype" w:hAnsi="Palatino Linotype"/>
              </w:rPr>
              <w:t>4</w:t>
            </w:r>
            <w:r w:rsidR="00CC0DAB" w:rsidRPr="00396C47">
              <w:rPr>
                <w:rFonts w:ascii="Palatino Linotype" w:hAnsi="Palatino Linotype"/>
              </w:rPr>
              <w:t>%</w:t>
            </w:r>
          </w:p>
        </w:tc>
      </w:tr>
    </w:tbl>
    <w:p w14:paraId="664762DF" w14:textId="5BA8EA77" w:rsidR="00942101" w:rsidRDefault="00942101" w:rsidP="00F55F61">
      <w:pPr>
        <w:jc w:val="both"/>
        <w:rPr>
          <w:rFonts w:ascii="Palatino Linotype" w:hAnsi="Palatino Linotype"/>
        </w:rPr>
      </w:pPr>
    </w:p>
    <w:p w14:paraId="7A37AED2" w14:textId="016CA959" w:rsidR="00942101" w:rsidRDefault="00942101" w:rsidP="00F55F61">
      <w:pPr>
        <w:jc w:val="both"/>
        <w:rPr>
          <w:rFonts w:ascii="Palatino Linotype" w:hAnsi="Palatino Linotype"/>
        </w:rPr>
      </w:pPr>
      <w:r>
        <w:rPr>
          <w:rFonts w:ascii="Palatino Linotype" w:hAnsi="Palatino Linotype"/>
        </w:rPr>
        <w:t xml:space="preserve">De berekening van de winst </w:t>
      </w:r>
      <w:r w:rsidR="00CF2793">
        <w:rPr>
          <w:rFonts w:ascii="Palatino Linotype" w:hAnsi="Palatino Linotype"/>
        </w:rPr>
        <w:t>uit binnenlandse onderneming geschiedt derhalve op basis van de volgende breuken:</w:t>
      </w:r>
    </w:p>
    <w:p w14:paraId="7956B30C" w14:textId="0E1FC16F" w:rsidR="00CF2793" w:rsidRDefault="00CF2793" w:rsidP="00F55F61">
      <w:pPr>
        <w:jc w:val="both"/>
        <w:rPr>
          <w:rFonts w:ascii="Palatino Linotype" w:hAnsi="Palatino Linotype"/>
        </w:rPr>
      </w:pPr>
    </w:p>
    <w:p w14:paraId="4ECD530C" w14:textId="19A48C9D" w:rsidR="004C54DE" w:rsidRPr="00AB64F0" w:rsidRDefault="007C6A6D" w:rsidP="00F55F61">
      <w:pPr>
        <w:jc w:val="both"/>
        <w:rPr>
          <w:rFonts w:ascii="Palatino Linotype" w:hAnsi="Palatino Linotype"/>
        </w:rPr>
      </w:pPr>
      <w:r>
        <w:rPr>
          <w:rFonts w:ascii="Palatino Linotype" w:hAnsi="Palatino Linotype"/>
        </w:rPr>
        <w:t>(</w:t>
      </w:r>
      <w:r w:rsidR="00CF2793">
        <w:rPr>
          <w:rFonts w:ascii="Palatino Linotype" w:hAnsi="Palatino Linotype"/>
        </w:rPr>
        <w:t>LCK / TCK * winst na causale kosten</w:t>
      </w:r>
      <w:r>
        <w:rPr>
          <w:rFonts w:ascii="Palatino Linotype" w:hAnsi="Palatino Linotype"/>
        </w:rPr>
        <w:t>)</w:t>
      </w:r>
      <w:r w:rsidR="00CF2793">
        <w:rPr>
          <w:rFonts w:ascii="Palatino Linotype" w:hAnsi="Palatino Linotype"/>
        </w:rPr>
        <w:t xml:space="preserve"> minus </w:t>
      </w:r>
      <w:r>
        <w:rPr>
          <w:rFonts w:ascii="Palatino Linotype" w:hAnsi="Palatino Linotype"/>
        </w:rPr>
        <w:t xml:space="preserve">(totale </w:t>
      </w:r>
      <w:r w:rsidR="00CF2793">
        <w:rPr>
          <w:rFonts w:ascii="Palatino Linotype" w:hAnsi="Palatino Linotype"/>
        </w:rPr>
        <w:t xml:space="preserve">LCK </w:t>
      </w:r>
      <w:r>
        <w:rPr>
          <w:rFonts w:ascii="Palatino Linotype" w:hAnsi="Palatino Linotype"/>
        </w:rPr>
        <w:t xml:space="preserve">concern </w:t>
      </w:r>
      <w:r w:rsidR="00CF2793">
        <w:rPr>
          <w:rFonts w:ascii="Palatino Linotype" w:hAnsi="Palatino Linotype"/>
        </w:rPr>
        <w:t xml:space="preserve">/ TCK </w:t>
      </w:r>
      <w:r>
        <w:rPr>
          <w:rFonts w:ascii="Palatino Linotype" w:hAnsi="Palatino Linotype"/>
        </w:rPr>
        <w:t>concern * niet- caus</w:t>
      </w:r>
      <w:r w:rsidR="00CF2793">
        <w:rPr>
          <w:rFonts w:ascii="Palatino Linotype" w:hAnsi="Palatino Linotype"/>
        </w:rPr>
        <w:t>ale kosten</w:t>
      </w:r>
      <w:r>
        <w:rPr>
          <w:rFonts w:ascii="Palatino Linotype" w:hAnsi="Palatino Linotype"/>
        </w:rPr>
        <w:t>)</w:t>
      </w:r>
      <w:r w:rsidR="00CF2793">
        <w:rPr>
          <w:rFonts w:ascii="Palatino Linotype" w:hAnsi="Palatino Linotype"/>
        </w:rPr>
        <w:t xml:space="preserve"> = belastbare binnenlandse winst uit onderneming.</w:t>
      </w:r>
    </w:p>
    <w:sectPr w:rsidR="004C54DE" w:rsidRPr="00AB64F0" w:rsidSect="00AB64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7229" w14:textId="77777777" w:rsidR="00825739" w:rsidRDefault="00825739" w:rsidP="00825739">
      <w:pPr>
        <w:spacing w:line="240" w:lineRule="auto"/>
      </w:pPr>
      <w:r>
        <w:separator/>
      </w:r>
    </w:p>
  </w:endnote>
  <w:endnote w:type="continuationSeparator" w:id="0">
    <w:p w14:paraId="49AE993A" w14:textId="77777777" w:rsidR="00825739" w:rsidRDefault="00825739" w:rsidP="00825739">
      <w:pPr>
        <w:spacing w:line="240" w:lineRule="auto"/>
      </w:pPr>
      <w:r>
        <w:continuationSeparator/>
      </w:r>
    </w:p>
  </w:endnote>
  <w:endnote w:type="continuationNotice" w:id="1">
    <w:p w14:paraId="4D158328" w14:textId="77777777" w:rsidR="00C3656D" w:rsidRDefault="00C365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E9382" w14:textId="77777777" w:rsidR="00825739" w:rsidRDefault="00825739" w:rsidP="00825739">
      <w:pPr>
        <w:spacing w:line="240" w:lineRule="auto"/>
      </w:pPr>
      <w:r>
        <w:separator/>
      </w:r>
    </w:p>
  </w:footnote>
  <w:footnote w:type="continuationSeparator" w:id="0">
    <w:p w14:paraId="58B04366" w14:textId="77777777" w:rsidR="00825739" w:rsidRDefault="00825739" w:rsidP="00825739">
      <w:pPr>
        <w:spacing w:line="240" w:lineRule="auto"/>
      </w:pPr>
      <w:r>
        <w:continuationSeparator/>
      </w:r>
    </w:p>
  </w:footnote>
  <w:footnote w:type="continuationNotice" w:id="1">
    <w:p w14:paraId="5FD2C8DD" w14:textId="77777777" w:rsidR="00C3656D" w:rsidRDefault="00C3656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52364"/>
    <w:multiLevelType w:val="hybridMultilevel"/>
    <w:tmpl w:val="854AE41E"/>
    <w:lvl w:ilvl="0" w:tplc="D07807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A11FE"/>
    <w:multiLevelType w:val="hybridMultilevel"/>
    <w:tmpl w:val="3DC05548"/>
    <w:lvl w:ilvl="0" w:tplc="BC104F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DE"/>
    <w:rsid w:val="00015A43"/>
    <w:rsid w:val="00027355"/>
    <w:rsid w:val="00043217"/>
    <w:rsid w:val="00052A61"/>
    <w:rsid w:val="00073626"/>
    <w:rsid w:val="000C0A41"/>
    <w:rsid w:val="000C263D"/>
    <w:rsid w:val="000C3B84"/>
    <w:rsid w:val="000E4797"/>
    <w:rsid w:val="000E7C66"/>
    <w:rsid w:val="0010392B"/>
    <w:rsid w:val="00103DB8"/>
    <w:rsid w:val="00111F3E"/>
    <w:rsid w:val="0012678C"/>
    <w:rsid w:val="00132C6B"/>
    <w:rsid w:val="0013438E"/>
    <w:rsid w:val="001367FF"/>
    <w:rsid w:val="00155CD1"/>
    <w:rsid w:val="001563E7"/>
    <w:rsid w:val="001572BC"/>
    <w:rsid w:val="00182C6D"/>
    <w:rsid w:val="00190E45"/>
    <w:rsid w:val="001C5E87"/>
    <w:rsid w:val="001E4D74"/>
    <w:rsid w:val="001F4C2D"/>
    <w:rsid w:val="002249A9"/>
    <w:rsid w:val="002257FD"/>
    <w:rsid w:val="00246E3E"/>
    <w:rsid w:val="002A2672"/>
    <w:rsid w:val="002B1525"/>
    <w:rsid w:val="002B6E5B"/>
    <w:rsid w:val="002F19BE"/>
    <w:rsid w:val="002F3F7B"/>
    <w:rsid w:val="002F7FE4"/>
    <w:rsid w:val="003009AF"/>
    <w:rsid w:val="00313C20"/>
    <w:rsid w:val="0033312F"/>
    <w:rsid w:val="0036241D"/>
    <w:rsid w:val="00394379"/>
    <w:rsid w:val="00396C47"/>
    <w:rsid w:val="003D690D"/>
    <w:rsid w:val="00420898"/>
    <w:rsid w:val="004313C0"/>
    <w:rsid w:val="0043273A"/>
    <w:rsid w:val="0045139D"/>
    <w:rsid w:val="004565F1"/>
    <w:rsid w:val="0045679F"/>
    <w:rsid w:val="00461CCF"/>
    <w:rsid w:val="004633B2"/>
    <w:rsid w:val="004647E3"/>
    <w:rsid w:val="00471E6B"/>
    <w:rsid w:val="004804AB"/>
    <w:rsid w:val="0049552C"/>
    <w:rsid w:val="004A6706"/>
    <w:rsid w:val="004B76DC"/>
    <w:rsid w:val="004C379B"/>
    <w:rsid w:val="004C54DE"/>
    <w:rsid w:val="004E39E4"/>
    <w:rsid w:val="004E6F23"/>
    <w:rsid w:val="004F414C"/>
    <w:rsid w:val="0052428B"/>
    <w:rsid w:val="00524863"/>
    <w:rsid w:val="005271EC"/>
    <w:rsid w:val="00537311"/>
    <w:rsid w:val="0055120F"/>
    <w:rsid w:val="005548A3"/>
    <w:rsid w:val="00564141"/>
    <w:rsid w:val="0059531D"/>
    <w:rsid w:val="005B5462"/>
    <w:rsid w:val="005B7762"/>
    <w:rsid w:val="005C05B7"/>
    <w:rsid w:val="005F7D0E"/>
    <w:rsid w:val="00630888"/>
    <w:rsid w:val="006520DE"/>
    <w:rsid w:val="006534CB"/>
    <w:rsid w:val="006558F2"/>
    <w:rsid w:val="0065627D"/>
    <w:rsid w:val="00660AC9"/>
    <w:rsid w:val="006A7A02"/>
    <w:rsid w:val="006B2A51"/>
    <w:rsid w:val="006D3775"/>
    <w:rsid w:val="006E038B"/>
    <w:rsid w:val="006E100E"/>
    <w:rsid w:val="006F1D42"/>
    <w:rsid w:val="006F71F5"/>
    <w:rsid w:val="00705F30"/>
    <w:rsid w:val="00754903"/>
    <w:rsid w:val="00772501"/>
    <w:rsid w:val="007848D1"/>
    <w:rsid w:val="00791D86"/>
    <w:rsid w:val="00797B25"/>
    <w:rsid w:val="007A108A"/>
    <w:rsid w:val="007A6A5A"/>
    <w:rsid w:val="007C1226"/>
    <w:rsid w:val="007C6A6D"/>
    <w:rsid w:val="007E49E4"/>
    <w:rsid w:val="007E6422"/>
    <w:rsid w:val="0082280C"/>
    <w:rsid w:val="00825739"/>
    <w:rsid w:val="00857D9A"/>
    <w:rsid w:val="00860A7B"/>
    <w:rsid w:val="008700EE"/>
    <w:rsid w:val="008904DC"/>
    <w:rsid w:val="008D01AE"/>
    <w:rsid w:val="008D3F06"/>
    <w:rsid w:val="008D5D1F"/>
    <w:rsid w:val="008F0FCD"/>
    <w:rsid w:val="008F3CAF"/>
    <w:rsid w:val="008F6CB6"/>
    <w:rsid w:val="00902EB0"/>
    <w:rsid w:val="009121D3"/>
    <w:rsid w:val="00942101"/>
    <w:rsid w:val="00942B63"/>
    <w:rsid w:val="00952946"/>
    <w:rsid w:val="00953375"/>
    <w:rsid w:val="009578EC"/>
    <w:rsid w:val="009716DC"/>
    <w:rsid w:val="00990835"/>
    <w:rsid w:val="009B0F8E"/>
    <w:rsid w:val="009C2445"/>
    <w:rsid w:val="009C61EC"/>
    <w:rsid w:val="009E4F1E"/>
    <w:rsid w:val="009E6723"/>
    <w:rsid w:val="009E684D"/>
    <w:rsid w:val="009F2131"/>
    <w:rsid w:val="00A11370"/>
    <w:rsid w:val="00A218B5"/>
    <w:rsid w:val="00A21B52"/>
    <w:rsid w:val="00A25C5F"/>
    <w:rsid w:val="00A518F0"/>
    <w:rsid w:val="00A52040"/>
    <w:rsid w:val="00A742E2"/>
    <w:rsid w:val="00A865DB"/>
    <w:rsid w:val="00A87B71"/>
    <w:rsid w:val="00AA29FD"/>
    <w:rsid w:val="00AA5F46"/>
    <w:rsid w:val="00AB3E67"/>
    <w:rsid w:val="00AB4611"/>
    <w:rsid w:val="00AB64F0"/>
    <w:rsid w:val="00AB78F7"/>
    <w:rsid w:val="00AC1D04"/>
    <w:rsid w:val="00AC2495"/>
    <w:rsid w:val="00AE241C"/>
    <w:rsid w:val="00AE4F8F"/>
    <w:rsid w:val="00AF2863"/>
    <w:rsid w:val="00B05DAF"/>
    <w:rsid w:val="00B13CED"/>
    <w:rsid w:val="00B15695"/>
    <w:rsid w:val="00B32B21"/>
    <w:rsid w:val="00B458DE"/>
    <w:rsid w:val="00B572D3"/>
    <w:rsid w:val="00B6136A"/>
    <w:rsid w:val="00B75DF1"/>
    <w:rsid w:val="00B91D48"/>
    <w:rsid w:val="00B94A08"/>
    <w:rsid w:val="00BA099B"/>
    <w:rsid w:val="00BC67A4"/>
    <w:rsid w:val="00BF3EEC"/>
    <w:rsid w:val="00C05813"/>
    <w:rsid w:val="00C06811"/>
    <w:rsid w:val="00C2139B"/>
    <w:rsid w:val="00C3656D"/>
    <w:rsid w:val="00C4332B"/>
    <w:rsid w:val="00C44020"/>
    <w:rsid w:val="00C630A5"/>
    <w:rsid w:val="00C93638"/>
    <w:rsid w:val="00C93AAA"/>
    <w:rsid w:val="00C95974"/>
    <w:rsid w:val="00CB1BC9"/>
    <w:rsid w:val="00CB7607"/>
    <w:rsid w:val="00CC0DAB"/>
    <w:rsid w:val="00CC35FB"/>
    <w:rsid w:val="00CF2793"/>
    <w:rsid w:val="00CF3815"/>
    <w:rsid w:val="00CF4D75"/>
    <w:rsid w:val="00D01C87"/>
    <w:rsid w:val="00D11870"/>
    <w:rsid w:val="00D263C5"/>
    <w:rsid w:val="00D636C5"/>
    <w:rsid w:val="00D671C6"/>
    <w:rsid w:val="00D77054"/>
    <w:rsid w:val="00D9140F"/>
    <w:rsid w:val="00DA69BB"/>
    <w:rsid w:val="00DA738B"/>
    <w:rsid w:val="00DA75CF"/>
    <w:rsid w:val="00DB37F1"/>
    <w:rsid w:val="00DC5A81"/>
    <w:rsid w:val="00E174A7"/>
    <w:rsid w:val="00E33F39"/>
    <w:rsid w:val="00E80B78"/>
    <w:rsid w:val="00E94814"/>
    <w:rsid w:val="00EA21EF"/>
    <w:rsid w:val="00EB148C"/>
    <w:rsid w:val="00EC00DE"/>
    <w:rsid w:val="00EC44B5"/>
    <w:rsid w:val="00EE15FD"/>
    <w:rsid w:val="00EF097A"/>
    <w:rsid w:val="00EF259D"/>
    <w:rsid w:val="00F1090F"/>
    <w:rsid w:val="00F20E7F"/>
    <w:rsid w:val="00F25D87"/>
    <w:rsid w:val="00F27879"/>
    <w:rsid w:val="00F478DB"/>
    <w:rsid w:val="00F55F61"/>
    <w:rsid w:val="00F813E7"/>
    <w:rsid w:val="00F84FED"/>
    <w:rsid w:val="00FB6E2C"/>
    <w:rsid w:val="00FC4CA2"/>
    <w:rsid w:val="00FE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FD4CC8"/>
  <w15:chartTrackingRefBased/>
  <w15:docId w15:val="{DFAD4BD7-5DB1-4163-B32A-3D968036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90F"/>
    <w:rPr>
      <w:sz w:val="16"/>
      <w:szCs w:val="16"/>
    </w:rPr>
  </w:style>
  <w:style w:type="paragraph" w:styleId="CommentText">
    <w:name w:val="annotation text"/>
    <w:basedOn w:val="Normal"/>
    <w:link w:val="CommentTextChar"/>
    <w:uiPriority w:val="99"/>
    <w:semiHidden/>
    <w:unhideWhenUsed/>
    <w:rsid w:val="00F1090F"/>
    <w:pPr>
      <w:spacing w:line="240" w:lineRule="auto"/>
    </w:pPr>
    <w:rPr>
      <w:sz w:val="20"/>
      <w:szCs w:val="20"/>
    </w:rPr>
  </w:style>
  <w:style w:type="character" w:customStyle="1" w:styleId="CommentTextChar">
    <w:name w:val="Comment Text Char"/>
    <w:basedOn w:val="DefaultParagraphFont"/>
    <w:link w:val="CommentText"/>
    <w:uiPriority w:val="99"/>
    <w:semiHidden/>
    <w:rsid w:val="00F1090F"/>
    <w:rPr>
      <w:sz w:val="20"/>
      <w:szCs w:val="20"/>
      <w:lang w:val="nl-NL"/>
    </w:rPr>
  </w:style>
  <w:style w:type="paragraph" w:styleId="CommentSubject">
    <w:name w:val="annotation subject"/>
    <w:basedOn w:val="CommentText"/>
    <w:next w:val="CommentText"/>
    <w:link w:val="CommentSubjectChar"/>
    <w:uiPriority w:val="99"/>
    <w:semiHidden/>
    <w:unhideWhenUsed/>
    <w:rsid w:val="00F1090F"/>
    <w:rPr>
      <w:b/>
      <w:bCs/>
    </w:rPr>
  </w:style>
  <w:style w:type="character" w:customStyle="1" w:styleId="CommentSubjectChar">
    <w:name w:val="Comment Subject Char"/>
    <w:basedOn w:val="CommentTextChar"/>
    <w:link w:val="CommentSubject"/>
    <w:uiPriority w:val="99"/>
    <w:semiHidden/>
    <w:rsid w:val="00F1090F"/>
    <w:rPr>
      <w:b/>
      <w:bCs/>
      <w:sz w:val="20"/>
      <w:szCs w:val="20"/>
      <w:lang w:val="nl-NL"/>
    </w:rPr>
  </w:style>
  <w:style w:type="paragraph" w:styleId="BalloonText">
    <w:name w:val="Balloon Text"/>
    <w:basedOn w:val="Normal"/>
    <w:link w:val="BalloonTextChar"/>
    <w:uiPriority w:val="99"/>
    <w:semiHidden/>
    <w:unhideWhenUsed/>
    <w:rsid w:val="00B91D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48"/>
    <w:rPr>
      <w:rFonts w:ascii="Segoe UI" w:hAnsi="Segoe UI" w:cs="Segoe UI"/>
      <w:sz w:val="18"/>
      <w:szCs w:val="18"/>
      <w:lang w:val="nl-NL"/>
    </w:rPr>
  </w:style>
  <w:style w:type="table" w:styleId="TableGrid">
    <w:name w:val="Table Grid"/>
    <w:basedOn w:val="TableNormal"/>
    <w:uiPriority w:val="39"/>
    <w:rsid w:val="009578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73A"/>
    <w:pPr>
      <w:ind w:left="720"/>
      <w:contextualSpacing/>
    </w:pPr>
  </w:style>
  <w:style w:type="paragraph" w:styleId="Header">
    <w:name w:val="header"/>
    <w:basedOn w:val="Normal"/>
    <w:link w:val="HeaderChar"/>
    <w:uiPriority w:val="99"/>
    <w:unhideWhenUsed/>
    <w:rsid w:val="0033312F"/>
    <w:pPr>
      <w:tabs>
        <w:tab w:val="center" w:pos="4680"/>
        <w:tab w:val="right" w:pos="9360"/>
      </w:tabs>
      <w:spacing w:line="240" w:lineRule="auto"/>
    </w:pPr>
  </w:style>
  <w:style w:type="character" w:customStyle="1" w:styleId="HeaderChar">
    <w:name w:val="Header Char"/>
    <w:basedOn w:val="DefaultParagraphFont"/>
    <w:link w:val="Header"/>
    <w:uiPriority w:val="99"/>
    <w:rsid w:val="0033312F"/>
    <w:rPr>
      <w:lang w:val="nl-NL"/>
    </w:rPr>
  </w:style>
  <w:style w:type="paragraph" w:styleId="Footer">
    <w:name w:val="footer"/>
    <w:basedOn w:val="Normal"/>
    <w:link w:val="FooterChar"/>
    <w:uiPriority w:val="99"/>
    <w:unhideWhenUsed/>
    <w:rsid w:val="0033312F"/>
    <w:pPr>
      <w:tabs>
        <w:tab w:val="center" w:pos="4680"/>
        <w:tab w:val="right" w:pos="9360"/>
      </w:tabs>
      <w:spacing w:line="240" w:lineRule="auto"/>
    </w:pPr>
  </w:style>
  <w:style w:type="character" w:customStyle="1" w:styleId="FooterChar">
    <w:name w:val="Footer Char"/>
    <w:basedOn w:val="DefaultParagraphFont"/>
    <w:link w:val="Footer"/>
    <w:uiPriority w:val="99"/>
    <w:rsid w:val="0033312F"/>
    <w:rPr>
      <w:lang w:val="nl-NL"/>
    </w:rPr>
  </w:style>
  <w:style w:type="paragraph" w:styleId="FootnoteText">
    <w:name w:val="footnote text"/>
    <w:basedOn w:val="Normal"/>
    <w:link w:val="FootnoteTextChar"/>
    <w:uiPriority w:val="99"/>
    <w:semiHidden/>
    <w:unhideWhenUsed/>
    <w:rsid w:val="00C3656D"/>
    <w:pPr>
      <w:spacing w:line="240" w:lineRule="auto"/>
    </w:pPr>
    <w:rPr>
      <w:sz w:val="20"/>
      <w:szCs w:val="20"/>
    </w:rPr>
  </w:style>
  <w:style w:type="character" w:customStyle="1" w:styleId="FootnoteTextChar">
    <w:name w:val="Footnote Text Char"/>
    <w:basedOn w:val="DefaultParagraphFont"/>
    <w:link w:val="FootnoteText"/>
    <w:uiPriority w:val="99"/>
    <w:semiHidden/>
    <w:rsid w:val="00C3656D"/>
    <w:rPr>
      <w:sz w:val="20"/>
      <w:szCs w:val="20"/>
      <w:lang w:val="nl-NL"/>
    </w:rPr>
  </w:style>
  <w:style w:type="character" w:styleId="FootnoteReference">
    <w:name w:val="footnote reference"/>
    <w:basedOn w:val="DefaultParagraphFont"/>
    <w:uiPriority w:val="99"/>
    <w:semiHidden/>
    <w:unhideWhenUsed/>
    <w:rsid w:val="00C3656D"/>
    <w:rPr>
      <w:vertAlign w:val="superscript"/>
    </w:rPr>
  </w:style>
  <w:style w:type="paragraph" w:styleId="Revision">
    <w:name w:val="Revision"/>
    <w:hidden/>
    <w:uiPriority w:val="99"/>
    <w:semiHidden/>
    <w:rsid w:val="007848D1"/>
    <w:pPr>
      <w:spacing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Kattouw, Arne</dc:creator>
  <cp:keywords/>
  <dc:description/>
  <cp:lastModifiedBy>Radameh Da Costa Gomez</cp:lastModifiedBy>
  <cp:revision>2</cp:revision>
  <cp:lastPrinted>2023-01-19T14:44:00Z</cp:lastPrinted>
  <dcterms:created xsi:type="dcterms:W3CDTF">2023-08-03T16:52:00Z</dcterms:created>
  <dcterms:modified xsi:type="dcterms:W3CDTF">2023-08-03T16:52:00Z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2023-01-03T14:13:49Z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095bc5d0-8a5b-4ba3-ba86-17104722e6f9</vt:lpwstr>
  </property>
  <property fmtid="{D5CDD505-2E9C-101B-9397-08002B2CF9AE}" pid="8" name="MSIP_Label_ea60d57e-af5b-4752-ac57-3e4f28ca11dc_ContentBits">
    <vt:lpwstr>0</vt:lpwstr>
  </property>
</Properties>
</file>