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5129CB" w:rsidRPr="002C5AC5">
        <w:rPr>
          <w:b/>
          <w:sz w:val="36"/>
          <w:szCs w:val="36"/>
          <w:lang w:val="nl-NL"/>
        </w:rPr>
        <w:t>156</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5129CB" w:rsidRPr="005129CB" w:rsidRDefault="005129CB" w:rsidP="005129CB">
      <w:pPr>
        <w:widowControl/>
        <w:rPr>
          <w:rFonts w:ascii="Palatino Linotype" w:eastAsia="Calibri" w:hAnsi="Palatino Linotype"/>
          <w:b/>
          <w:snapToGrid/>
          <w:sz w:val="22"/>
          <w:szCs w:val="22"/>
          <w:lang w:val="nl-NL"/>
        </w:rPr>
      </w:pPr>
      <w:r w:rsidRPr="005129CB">
        <w:rPr>
          <w:rFonts w:ascii="Palatino Linotype" w:eastAsia="Calibri" w:hAnsi="Palatino Linotype"/>
          <w:b/>
          <w:snapToGrid/>
          <w:sz w:val="22"/>
          <w:szCs w:val="22"/>
          <w:lang w:val="nl-NL"/>
        </w:rPr>
        <w:t>Ministeriële regeling met algemene werking van de 18</w:t>
      </w:r>
      <w:r w:rsidRPr="005129CB">
        <w:rPr>
          <w:rFonts w:ascii="Palatino Linotype" w:eastAsia="Calibri" w:hAnsi="Palatino Linotype"/>
          <w:b/>
          <w:snapToGrid/>
          <w:sz w:val="22"/>
          <w:szCs w:val="22"/>
          <w:vertAlign w:val="superscript"/>
          <w:lang w:val="nl-NL"/>
        </w:rPr>
        <w:t>de</w:t>
      </w:r>
      <w:r w:rsidRPr="005129CB">
        <w:rPr>
          <w:rFonts w:ascii="Palatino Linotype" w:eastAsia="Calibri" w:hAnsi="Palatino Linotype"/>
          <w:b/>
          <w:snapToGrid/>
          <w:sz w:val="22"/>
          <w:szCs w:val="22"/>
          <w:lang w:val="nl-NL"/>
        </w:rPr>
        <w:t xml:space="preserve"> december 2024 tot wijziging van de Regeling aanwijzing gecontroleerde middelen</w:t>
      </w:r>
      <w:r w:rsidRPr="005129CB">
        <w:rPr>
          <w:rFonts w:ascii="Palatino Linotype" w:eastAsia="Calibri" w:hAnsi="Palatino Linotype"/>
          <w:b/>
          <w:snapToGrid/>
          <w:sz w:val="22"/>
          <w:szCs w:val="22"/>
          <w:vertAlign w:val="superscript"/>
          <w:lang w:val="nl-NL"/>
        </w:rPr>
        <w:footnoteReference w:id="1"/>
      </w:r>
      <w:r w:rsidRPr="005129CB">
        <w:rPr>
          <w:rFonts w:ascii="Palatino Linotype" w:eastAsia="Calibri" w:hAnsi="Palatino Linotype"/>
          <w:b/>
          <w:snapToGrid/>
          <w:sz w:val="22"/>
          <w:szCs w:val="22"/>
          <w:lang w:val="nl-NL"/>
        </w:rPr>
        <w:t xml:space="preserve"> </w:t>
      </w:r>
    </w:p>
    <w:p w:rsidR="005129CB" w:rsidRPr="005129CB" w:rsidRDefault="005129CB" w:rsidP="005129CB">
      <w:pPr>
        <w:widowControl/>
        <w:spacing w:after="160" w:line="259" w:lineRule="auto"/>
        <w:jc w:val="center"/>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__________</w:t>
      </w:r>
    </w:p>
    <w:p w:rsidR="005129CB" w:rsidRPr="005129CB" w:rsidRDefault="005129CB" w:rsidP="005129CB">
      <w:pPr>
        <w:widowControl/>
        <w:spacing w:line="259" w:lineRule="auto"/>
        <w:jc w:val="center"/>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De Minister van Gezondheid, Milieu en Natuur</w:t>
      </w: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Default="005129CB" w:rsidP="005129CB">
      <w:pPr>
        <w:widowControl/>
        <w:spacing w:line="259" w:lineRule="auto"/>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Overwegende:</w:t>
      </w: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Default="005129CB" w:rsidP="005129CB">
      <w:pPr>
        <w:widowControl/>
        <w:spacing w:line="259" w:lineRule="auto"/>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dat het wenselijk is distikstofmonoxide (lachgas) op lijst II van de  Beschikking aanwijzing gecontroleerde middelen te plaatsen;</w:t>
      </w: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Default="005129CB" w:rsidP="005129CB">
      <w:pPr>
        <w:widowControl/>
        <w:spacing w:line="259" w:lineRule="auto"/>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Gelet op:</w:t>
      </w: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Pr="005129CB" w:rsidRDefault="005129CB" w:rsidP="005129CB">
      <w:pPr>
        <w:widowControl/>
        <w:spacing w:line="259" w:lineRule="auto"/>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artikel 15 van de Opiumlandsverordening 2024</w:t>
      </w:r>
      <w:r w:rsidRPr="005129CB">
        <w:rPr>
          <w:rFonts w:ascii="Palatino Linotype" w:eastAsia="Calibri" w:hAnsi="Palatino Linotype"/>
          <w:snapToGrid/>
          <w:sz w:val="22"/>
          <w:szCs w:val="22"/>
          <w:vertAlign w:val="superscript"/>
          <w:lang w:val="nl-NL"/>
        </w:rPr>
        <w:footnoteReference w:id="2"/>
      </w:r>
      <w:r w:rsidRPr="005129CB">
        <w:rPr>
          <w:rFonts w:ascii="Palatino Linotype" w:eastAsia="Calibri" w:hAnsi="Palatino Linotype"/>
          <w:snapToGrid/>
          <w:sz w:val="22"/>
          <w:szCs w:val="22"/>
          <w:lang w:val="nl-NL"/>
        </w:rPr>
        <w:t xml:space="preserve"> en artikel 3, eerste lid, onderdeel f, van de Opiumlandsverordening</w:t>
      </w:r>
      <w:r w:rsidRPr="005129CB">
        <w:rPr>
          <w:rFonts w:ascii="Palatino Linotype" w:eastAsia="Calibri" w:hAnsi="Palatino Linotype"/>
          <w:snapToGrid/>
          <w:sz w:val="22"/>
          <w:szCs w:val="22"/>
          <w:vertAlign w:val="superscript"/>
          <w:lang w:val="nl-NL"/>
        </w:rPr>
        <w:footnoteReference w:id="3"/>
      </w:r>
      <w:r w:rsidRPr="005129CB">
        <w:rPr>
          <w:rFonts w:ascii="Palatino Linotype" w:eastAsia="Calibri" w:hAnsi="Palatino Linotype"/>
          <w:snapToGrid/>
          <w:sz w:val="22"/>
          <w:szCs w:val="22"/>
          <w:lang w:val="nl-NL"/>
        </w:rPr>
        <w:t xml:space="preserve">; </w:t>
      </w:r>
    </w:p>
    <w:p w:rsidR="005129CB" w:rsidRDefault="005129CB" w:rsidP="005129CB">
      <w:pPr>
        <w:widowControl/>
        <w:spacing w:line="259" w:lineRule="auto"/>
        <w:jc w:val="center"/>
        <w:rPr>
          <w:rFonts w:ascii="Palatino Linotype" w:eastAsia="Calibri" w:hAnsi="Palatino Linotype"/>
          <w:snapToGrid/>
          <w:sz w:val="22"/>
          <w:szCs w:val="22"/>
          <w:lang w:val="nl-NL"/>
        </w:rPr>
      </w:pPr>
    </w:p>
    <w:p w:rsidR="005129CB" w:rsidRPr="005129CB" w:rsidRDefault="005129CB" w:rsidP="005129CB">
      <w:pPr>
        <w:widowControl/>
        <w:spacing w:line="259" w:lineRule="auto"/>
        <w:jc w:val="center"/>
        <w:rPr>
          <w:rFonts w:ascii="Palatino Linotype" w:eastAsia="Calibri" w:hAnsi="Palatino Linotype"/>
          <w:snapToGrid/>
          <w:sz w:val="22"/>
          <w:szCs w:val="22"/>
          <w:lang w:val="nl-NL"/>
        </w:rPr>
      </w:pPr>
    </w:p>
    <w:p w:rsidR="005129CB" w:rsidRPr="005129CB" w:rsidRDefault="005129CB" w:rsidP="005129CB">
      <w:pPr>
        <w:widowControl/>
        <w:spacing w:line="259" w:lineRule="auto"/>
        <w:jc w:val="center"/>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Heeft besloten:</w:t>
      </w:r>
    </w:p>
    <w:p w:rsidR="005129CB" w:rsidRDefault="005129CB" w:rsidP="005129CB">
      <w:pPr>
        <w:widowControl/>
        <w:spacing w:line="259" w:lineRule="auto"/>
        <w:rPr>
          <w:rFonts w:ascii="Palatino Linotype" w:eastAsia="Calibri" w:hAnsi="Palatino Linotype"/>
          <w:snapToGrid/>
          <w:sz w:val="22"/>
          <w:szCs w:val="22"/>
          <w:lang w:val="nl-NL"/>
        </w:rPr>
      </w:pP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Default="005129CB" w:rsidP="005129CB">
      <w:pPr>
        <w:widowControl/>
        <w:spacing w:line="259" w:lineRule="auto"/>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Artikel I</w:t>
      </w: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Pr="005129CB" w:rsidRDefault="005129CB" w:rsidP="005129CB">
      <w:pPr>
        <w:widowControl/>
        <w:spacing w:line="259" w:lineRule="auto"/>
        <w:jc w:val="both"/>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Lijst II behorende bij de Beschikking aanwijzing gecontroleerde middelen, wordt als volgt gewijzigd:</w:t>
      </w: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Pr="005129CB" w:rsidRDefault="005129CB" w:rsidP="005129CB">
      <w:pPr>
        <w:widowControl/>
        <w:spacing w:line="259" w:lineRule="auto"/>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Na de tekst die betrekking heeft op het middel diazepam wordt gevoegd in:</w:t>
      </w:r>
    </w:p>
    <w:p w:rsidR="005129CB" w:rsidRPr="005129CB" w:rsidRDefault="005129CB" w:rsidP="005129CB">
      <w:pPr>
        <w:widowControl/>
        <w:spacing w:line="259" w:lineRule="auto"/>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 xml:space="preserve">a. het eerste kolom: - </w:t>
      </w:r>
    </w:p>
    <w:p w:rsidR="005129CB" w:rsidRPr="005129CB" w:rsidRDefault="005129CB" w:rsidP="005129CB">
      <w:pPr>
        <w:widowControl/>
        <w:spacing w:line="259" w:lineRule="auto"/>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 xml:space="preserve">b. het tweede kolom: distikstofmonoxide, lachgas </w:t>
      </w:r>
    </w:p>
    <w:p w:rsidR="005129CB" w:rsidRPr="005129CB" w:rsidRDefault="005129CB" w:rsidP="005129CB">
      <w:pPr>
        <w:widowControl/>
        <w:spacing w:line="259" w:lineRule="auto"/>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 xml:space="preserve">c. het derde kolom: N2O. </w:t>
      </w: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Pr="005129CB" w:rsidRDefault="005129CB" w:rsidP="005129CB">
      <w:pPr>
        <w:widowControl/>
        <w:spacing w:line="259" w:lineRule="auto"/>
        <w:rPr>
          <w:rFonts w:ascii="Palatino Linotype" w:eastAsia="Calibri" w:hAnsi="Palatino Linotype"/>
          <w:snapToGrid/>
          <w:sz w:val="22"/>
          <w:szCs w:val="22"/>
          <w:lang w:val="nl-NL"/>
        </w:rPr>
      </w:pPr>
    </w:p>
    <w:p w:rsidR="005129CB" w:rsidRPr="005129CB" w:rsidRDefault="005129CB" w:rsidP="005129CB">
      <w:pPr>
        <w:widowControl/>
        <w:spacing w:line="259" w:lineRule="auto"/>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Artikel II</w:t>
      </w:r>
    </w:p>
    <w:p w:rsidR="005129CB" w:rsidRPr="005129CB" w:rsidRDefault="005129CB" w:rsidP="005129CB">
      <w:pPr>
        <w:widowControl/>
        <w:spacing w:line="259" w:lineRule="auto"/>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Deze regeling treedt in werking met ingang van de dag na de datum van bekendmaking.</w:t>
      </w:r>
    </w:p>
    <w:p w:rsidR="005129CB" w:rsidRPr="005129CB" w:rsidRDefault="005129CB" w:rsidP="005129CB">
      <w:pPr>
        <w:widowControl/>
        <w:spacing w:after="160" w:line="259" w:lineRule="auto"/>
        <w:ind w:left="5760" w:firstLine="720"/>
        <w:rPr>
          <w:rFonts w:ascii="Palatino Linotype" w:eastAsia="Calibri" w:hAnsi="Palatino Linotype"/>
          <w:snapToGrid/>
          <w:sz w:val="22"/>
          <w:szCs w:val="22"/>
          <w:lang w:val="nl-NL"/>
        </w:rPr>
      </w:pPr>
    </w:p>
    <w:p w:rsidR="005129CB" w:rsidRPr="005129CB" w:rsidRDefault="005129CB" w:rsidP="005129CB">
      <w:pPr>
        <w:widowControl/>
        <w:spacing w:after="160" w:line="259" w:lineRule="auto"/>
        <w:ind w:left="5760" w:firstLine="720"/>
        <w:rPr>
          <w:rFonts w:ascii="Palatino Linotype" w:eastAsia="Calibri" w:hAnsi="Palatino Linotype"/>
          <w:snapToGrid/>
          <w:sz w:val="22"/>
          <w:szCs w:val="22"/>
          <w:lang w:val="nl-NL"/>
        </w:rPr>
      </w:pPr>
    </w:p>
    <w:p w:rsidR="005129CB" w:rsidRPr="005129CB" w:rsidRDefault="005129CB" w:rsidP="005129CB">
      <w:pPr>
        <w:widowControl/>
        <w:ind w:firstLine="4860"/>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Gegeven te Willemstad, 18 december 2024</w:t>
      </w:r>
    </w:p>
    <w:p w:rsidR="005129CB" w:rsidRPr="005129CB" w:rsidRDefault="005129CB" w:rsidP="005129CB">
      <w:pPr>
        <w:widowControl/>
        <w:rPr>
          <w:rFonts w:ascii="Palatino Linotype" w:eastAsia="Calibri" w:hAnsi="Palatino Linotype"/>
          <w:snapToGrid/>
          <w:sz w:val="22"/>
          <w:szCs w:val="22"/>
          <w:lang w:val="nl-NL"/>
        </w:rPr>
      </w:pPr>
    </w:p>
    <w:p w:rsidR="005129CB" w:rsidRDefault="005129CB" w:rsidP="005129CB">
      <w:pPr>
        <w:widowControl/>
        <w:rPr>
          <w:rFonts w:ascii="Palatino Linotype" w:eastAsia="Calibri" w:hAnsi="Palatino Linotype"/>
          <w:snapToGrid/>
          <w:sz w:val="22"/>
          <w:szCs w:val="22"/>
          <w:lang w:val="nl-NL"/>
        </w:rPr>
      </w:pPr>
    </w:p>
    <w:p w:rsidR="005129CB" w:rsidRDefault="005129CB" w:rsidP="005129CB">
      <w:pPr>
        <w:widowControl/>
        <w:rPr>
          <w:rFonts w:ascii="Palatino Linotype" w:eastAsia="Calibri" w:hAnsi="Palatino Linotype"/>
          <w:snapToGrid/>
          <w:sz w:val="22"/>
          <w:szCs w:val="22"/>
          <w:lang w:val="nl-NL"/>
        </w:rPr>
      </w:pPr>
    </w:p>
    <w:p w:rsidR="005129CB" w:rsidRPr="005129CB" w:rsidRDefault="005129CB" w:rsidP="005129CB">
      <w:pPr>
        <w:widowControl/>
        <w:rPr>
          <w:rFonts w:ascii="Palatino Linotype" w:eastAsia="Calibri" w:hAnsi="Palatino Linotype"/>
          <w:snapToGrid/>
          <w:sz w:val="22"/>
          <w:szCs w:val="22"/>
          <w:lang w:val="nl-NL"/>
        </w:rPr>
      </w:pPr>
    </w:p>
    <w:p w:rsidR="005129CB" w:rsidRPr="005129CB" w:rsidRDefault="005129CB" w:rsidP="005129CB">
      <w:pPr>
        <w:widowControl/>
        <w:ind w:right="5710"/>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 xml:space="preserve">De Minister van Gezondheid, Milieu </w:t>
      </w:r>
    </w:p>
    <w:p w:rsidR="005129CB" w:rsidRPr="002C5AC5" w:rsidRDefault="005129CB" w:rsidP="005129CB">
      <w:pPr>
        <w:widowControl/>
        <w:ind w:right="5710"/>
        <w:rPr>
          <w:rFonts w:ascii="Palatino Linotype" w:eastAsia="Calibri" w:hAnsi="Palatino Linotype"/>
          <w:snapToGrid/>
          <w:sz w:val="22"/>
          <w:szCs w:val="22"/>
          <w:lang w:val="nl-NL"/>
        </w:rPr>
      </w:pPr>
      <w:r w:rsidRPr="002C5AC5">
        <w:rPr>
          <w:rFonts w:ascii="Palatino Linotype" w:eastAsia="Calibri" w:hAnsi="Palatino Linotype"/>
          <w:snapToGrid/>
          <w:sz w:val="22"/>
          <w:szCs w:val="22"/>
          <w:lang w:val="nl-NL"/>
        </w:rPr>
        <w:t>en Natuur a.i.,</w:t>
      </w:r>
    </w:p>
    <w:p w:rsidR="005129CB" w:rsidRPr="002C5AC5" w:rsidRDefault="005129CB" w:rsidP="005129CB">
      <w:pPr>
        <w:widowControl/>
        <w:ind w:right="5710"/>
        <w:jc w:val="center"/>
        <w:rPr>
          <w:rFonts w:ascii="Palatino Linotype" w:eastAsia="Calibri" w:hAnsi="Palatino Linotype"/>
          <w:snapToGrid/>
          <w:sz w:val="22"/>
          <w:szCs w:val="22"/>
          <w:lang w:val="nl-NL"/>
        </w:rPr>
      </w:pPr>
      <w:r w:rsidRPr="002C5AC5">
        <w:rPr>
          <w:rFonts w:ascii="Palatino Linotype" w:eastAsia="Palatino Linotype" w:hAnsi="Palatino Linotype" w:cs="Palatino Linotype"/>
          <w:snapToGrid/>
          <w:sz w:val="22"/>
          <w:szCs w:val="22"/>
          <w:lang w:val="nl-NL"/>
        </w:rPr>
        <w:t>G.S. PISAS</w:t>
      </w:r>
    </w:p>
    <w:p w:rsidR="005129CB" w:rsidRPr="002C5AC5" w:rsidRDefault="005129CB" w:rsidP="005129CB">
      <w:pPr>
        <w:widowControl/>
        <w:rPr>
          <w:rFonts w:ascii="Palatino Linotype" w:eastAsia="Calibri" w:hAnsi="Palatino Linotype"/>
          <w:snapToGrid/>
          <w:sz w:val="22"/>
          <w:szCs w:val="22"/>
          <w:lang w:val="nl-NL"/>
        </w:rPr>
      </w:pPr>
    </w:p>
    <w:p w:rsidR="005129CB" w:rsidRPr="002C5AC5" w:rsidRDefault="005129CB" w:rsidP="005129CB">
      <w:pPr>
        <w:widowControl/>
        <w:rPr>
          <w:rFonts w:ascii="Palatino Linotype" w:eastAsia="Calibri" w:hAnsi="Palatino Linotype"/>
          <w:snapToGrid/>
          <w:sz w:val="22"/>
          <w:szCs w:val="22"/>
          <w:lang w:val="nl-NL"/>
        </w:rPr>
      </w:pPr>
    </w:p>
    <w:p w:rsidR="005129CB" w:rsidRPr="002C5AC5" w:rsidRDefault="005129CB" w:rsidP="005129CB">
      <w:pPr>
        <w:widowControl/>
        <w:rPr>
          <w:rFonts w:ascii="Palatino Linotype" w:eastAsia="Calibri" w:hAnsi="Palatino Linotype"/>
          <w:snapToGrid/>
          <w:sz w:val="22"/>
          <w:szCs w:val="22"/>
          <w:lang w:val="nl-NL"/>
        </w:rPr>
      </w:pPr>
    </w:p>
    <w:p w:rsidR="005129CB" w:rsidRPr="002C5AC5" w:rsidRDefault="005129CB" w:rsidP="005129CB">
      <w:pPr>
        <w:widowControl/>
        <w:ind w:left="4860"/>
        <w:rPr>
          <w:rFonts w:ascii="Palatino Linotype" w:eastAsia="Calibri" w:hAnsi="Palatino Linotype"/>
          <w:snapToGrid/>
          <w:sz w:val="22"/>
          <w:szCs w:val="22"/>
          <w:lang w:val="nl-NL"/>
        </w:rPr>
      </w:pPr>
    </w:p>
    <w:p w:rsidR="005129CB" w:rsidRPr="002C5AC5" w:rsidRDefault="005129CB" w:rsidP="005129CB">
      <w:pPr>
        <w:widowControl/>
        <w:ind w:left="4860"/>
        <w:rPr>
          <w:rFonts w:ascii="Palatino Linotype" w:eastAsia="Calibri" w:hAnsi="Palatino Linotype"/>
          <w:snapToGrid/>
          <w:sz w:val="22"/>
          <w:szCs w:val="22"/>
          <w:lang w:val="nl-NL"/>
        </w:rPr>
      </w:pPr>
    </w:p>
    <w:p w:rsidR="005129CB" w:rsidRPr="005129CB" w:rsidRDefault="005129CB" w:rsidP="005129CB">
      <w:pPr>
        <w:widowControl/>
        <w:ind w:left="5040"/>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Uitgegeven de 20</w:t>
      </w:r>
      <w:r w:rsidRPr="005129CB">
        <w:rPr>
          <w:rFonts w:ascii="Palatino Linotype" w:eastAsia="Calibri" w:hAnsi="Palatino Linotype"/>
          <w:snapToGrid/>
          <w:sz w:val="22"/>
          <w:szCs w:val="22"/>
          <w:vertAlign w:val="superscript"/>
          <w:lang w:val="nl-NL"/>
        </w:rPr>
        <w:t>ste</w:t>
      </w:r>
      <w:r w:rsidRPr="005129CB">
        <w:rPr>
          <w:rFonts w:ascii="Palatino Linotype" w:eastAsia="Calibri" w:hAnsi="Palatino Linotype"/>
          <w:snapToGrid/>
          <w:sz w:val="22"/>
          <w:szCs w:val="22"/>
          <w:lang w:val="nl-NL"/>
        </w:rPr>
        <w:t xml:space="preserve"> december 2024</w:t>
      </w:r>
    </w:p>
    <w:p w:rsidR="008D5E2E" w:rsidRDefault="005129CB" w:rsidP="005129CB">
      <w:pPr>
        <w:autoSpaceDE w:val="0"/>
        <w:autoSpaceDN w:val="0"/>
        <w:adjustRightInd w:val="0"/>
        <w:ind w:left="5040" w:right="850"/>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De Minister van Algemene Zaken,</w:t>
      </w:r>
    </w:p>
    <w:p w:rsidR="005129CB" w:rsidRDefault="005129CB" w:rsidP="005129CB">
      <w:pPr>
        <w:autoSpaceDE w:val="0"/>
        <w:autoSpaceDN w:val="0"/>
        <w:adjustRightInd w:val="0"/>
        <w:ind w:left="5040" w:right="850"/>
        <w:jc w:val="center"/>
        <w:rPr>
          <w:rFonts w:ascii="Palatino Linotype" w:hAnsi="Palatino Linotype" w:cs="Arial"/>
          <w:snapToGrid/>
          <w:sz w:val="22"/>
          <w:szCs w:val="22"/>
          <w:lang w:val="nl-NL"/>
        </w:rPr>
      </w:pPr>
      <w:r w:rsidRPr="005129CB">
        <w:rPr>
          <w:rFonts w:ascii="Palatino Linotype" w:eastAsia="Palatino Linotype" w:hAnsi="Palatino Linotype" w:cs="Palatino Linotype"/>
          <w:snapToGrid/>
          <w:sz w:val="22"/>
          <w:szCs w:val="22"/>
          <w:lang w:val="nl-NL"/>
        </w:rPr>
        <w:t>G.S. PISAS</w:t>
      </w:r>
    </w:p>
    <w:p w:rsidR="00022D76" w:rsidRDefault="00022D76"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Default="002C5AC5" w:rsidP="00022D76">
      <w:pPr>
        <w:autoSpaceDE w:val="0"/>
        <w:autoSpaceDN w:val="0"/>
        <w:adjustRightInd w:val="0"/>
        <w:rPr>
          <w:rFonts w:ascii="Palatino Linotype" w:hAnsi="Palatino Linotype" w:cs="Arial"/>
          <w:b/>
          <w:sz w:val="20"/>
          <w:lang w:val="nl-NL"/>
        </w:rPr>
      </w:pPr>
    </w:p>
    <w:p w:rsidR="002C5AC5" w:rsidRPr="002C5AC5" w:rsidRDefault="002C5AC5" w:rsidP="002C5AC5">
      <w:pPr>
        <w:rPr>
          <w:rFonts w:ascii="Palatino Linotype" w:hAnsi="Palatino Linotype"/>
          <w:b/>
          <w:sz w:val="22"/>
          <w:szCs w:val="22"/>
          <w:lang w:val="nl-NL"/>
        </w:rPr>
      </w:pPr>
      <w:r w:rsidRPr="002C5AC5">
        <w:rPr>
          <w:rFonts w:ascii="Palatino Linotype" w:hAnsi="Palatino Linotype"/>
          <w:b/>
          <w:sz w:val="22"/>
          <w:szCs w:val="22"/>
          <w:lang w:val="nl-NL"/>
        </w:rPr>
        <w:lastRenderedPageBreak/>
        <w:t>Toelichting bij de Ministeriele regeling met algemene werking van de</w:t>
      </w:r>
      <w:r>
        <w:rPr>
          <w:rFonts w:ascii="Palatino Linotype" w:hAnsi="Palatino Linotype"/>
          <w:b/>
          <w:sz w:val="22"/>
          <w:szCs w:val="22"/>
          <w:lang w:val="nl-NL"/>
        </w:rPr>
        <w:t xml:space="preserve"> 18</w:t>
      </w:r>
      <w:r w:rsidRPr="002C5AC5">
        <w:rPr>
          <w:rFonts w:ascii="Palatino Linotype" w:hAnsi="Palatino Linotype"/>
          <w:b/>
          <w:sz w:val="22"/>
          <w:szCs w:val="22"/>
          <w:vertAlign w:val="superscript"/>
          <w:lang w:val="nl-NL"/>
        </w:rPr>
        <w:t>de</w:t>
      </w:r>
      <w:r>
        <w:rPr>
          <w:rFonts w:ascii="Palatino Linotype" w:hAnsi="Palatino Linotype"/>
          <w:b/>
          <w:sz w:val="22"/>
          <w:szCs w:val="22"/>
          <w:lang w:val="nl-NL"/>
        </w:rPr>
        <w:t xml:space="preserve"> december 2024</w:t>
      </w:r>
      <w:r w:rsidRPr="002C5AC5">
        <w:rPr>
          <w:rFonts w:ascii="Palatino Linotype" w:hAnsi="Palatino Linotype"/>
          <w:b/>
          <w:sz w:val="22"/>
          <w:szCs w:val="22"/>
          <w:lang w:val="nl-NL"/>
        </w:rPr>
        <w:t xml:space="preserve">                                     tot wijziging van de Regeling aanwijzing gecontroleerde middelen</w:t>
      </w:r>
      <w:r w:rsidRPr="002C5AC5">
        <w:rPr>
          <w:rStyle w:val="FootnoteReference"/>
          <w:rFonts w:ascii="Palatino Linotype" w:hAnsi="Palatino Linotype"/>
          <w:b/>
          <w:sz w:val="22"/>
          <w:szCs w:val="22"/>
          <w:lang w:val="nl-NL"/>
        </w:rPr>
        <w:footnoteReference w:id="4"/>
      </w:r>
    </w:p>
    <w:p w:rsidR="002C5AC5" w:rsidRPr="002C5AC5" w:rsidRDefault="002C5AC5" w:rsidP="002C5AC5">
      <w:pPr>
        <w:rPr>
          <w:rFonts w:ascii="Palatino Linotype" w:hAnsi="Palatino Linotype"/>
          <w:sz w:val="16"/>
          <w:szCs w:val="16"/>
          <w:lang w:val="nl-NL"/>
        </w:rPr>
      </w:pPr>
    </w:p>
    <w:p w:rsidR="002C5AC5" w:rsidRDefault="002C5AC5" w:rsidP="002C5AC5">
      <w:pPr>
        <w:rPr>
          <w:rFonts w:ascii="Palatino Linotype" w:hAnsi="Palatino Linotype"/>
          <w:b/>
          <w:sz w:val="22"/>
          <w:szCs w:val="22"/>
          <w:lang w:val="nl-NL"/>
        </w:rPr>
      </w:pPr>
      <w:r w:rsidRPr="002C5AC5">
        <w:rPr>
          <w:rFonts w:ascii="Palatino Linotype" w:hAnsi="Palatino Linotype"/>
          <w:b/>
          <w:sz w:val="22"/>
          <w:szCs w:val="22"/>
          <w:lang w:val="nl-NL"/>
        </w:rPr>
        <w:t>§1. Algemeen</w:t>
      </w:r>
    </w:p>
    <w:p w:rsidR="002C5AC5" w:rsidRPr="002C5AC5" w:rsidRDefault="002C5AC5" w:rsidP="002C5AC5">
      <w:pPr>
        <w:rPr>
          <w:rFonts w:ascii="Palatino Linotype" w:hAnsi="Palatino Linotype"/>
          <w:b/>
          <w:sz w:val="16"/>
          <w:szCs w:val="16"/>
          <w:lang w:val="nl-NL"/>
        </w:rPr>
      </w:pPr>
    </w:p>
    <w:p w:rsidR="002C5AC5" w:rsidRPr="002C5AC5" w:rsidRDefault="002C5AC5" w:rsidP="002C5AC5">
      <w:pPr>
        <w:jc w:val="both"/>
        <w:rPr>
          <w:rFonts w:ascii="Palatino Linotype" w:hAnsi="Palatino Linotype"/>
          <w:sz w:val="22"/>
          <w:szCs w:val="22"/>
          <w:lang w:val="nl-NL"/>
        </w:rPr>
      </w:pPr>
      <w:r w:rsidRPr="002C5AC5">
        <w:rPr>
          <w:rFonts w:ascii="Palatino Linotype" w:hAnsi="Palatino Linotype"/>
          <w:sz w:val="22"/>
          <w:szCs w:val="22"/>
          <w:lang w:val="nl-NL"/>
        </w:rPr>
        <w:t>Distikstofmonoxide (CAS-nummer 10024-97-2), beter bekend onder de naam lachgas, is een kleurloos, niet-irriterend, zoet geurend en zoet smakend gas. Het product kent verschillende legale toepassingen in de zorg, voedingsmiddelen en gastronomische sectoren en in technische industrieën. Naast deze oorspronkelijke toepassingen wordt lachgas ook steeds vaker en in grotere hoeveelheden als recreatief roesmiddel gebruikt, wat wil zeggen dat het lachgas wordt geconsumeerd teneinde het bewustzijn van de gebruiker te beïnvloeden. Gebleken is echter dat lachgas een stof is met substantiële risico’s voor de (volks)gezondheid en de samenleving. Niet kan worden uitgesloten dat ook na eenmalig gebruik al ernstige neurologische schade kan intreden in het geval iemand een functioneel vitamine B12-tekort heeft. Een B12-tekort is doorgaans onbekend bij mensen. Daarnaast is het niet eenvoudig een bovengrens van veilig gebruik te formuleren. Lachgas wordt voorts als roesmiddel gebruikt in verschillende lagen van de bevolking, waaronder ook door kwetsbare groepen, zoals jonge en/of onervaren gebruikers. De brede en makkelijke beschikbaarheid en verkrijgbaarheid van lachgas draagt duidelijk bij aan de problematiek en vormt een risico voor de volksgezondheid. Lachgasgebruik tijdens verkeersdeelname vormt een groot probleem, door zowel de vermindering van reactievermogen na het gebruik, als afleidende handelingen met ballonnen tijdens het gebruik.</w:t>
      </w:r>
    </w:p>
    <w:p w:rsidR="002C5AC5" w:rsidRPr="002C5AC5" w:rsidRDefault="002C5AC5" w:rsidP="002C5AC5">
      <w:pPr>
        <w:jc w:val="both"/>
        <w:rPr>
          <w:rFonts w:ascii="Palatino Linotype" w:hAnsi="Palatino Linotype"/>
          <w:sz w:val="16"/>
          <w:szCs w:val="16"/>
          <w:lang w:val="nl-NL"/>
        </w:rPr>
      </w:pPr>
    </w:p>
    <w:p w:rsidR="002C5AC5" w:rsidRDefault="002C5AC5" w:rsidP="002C5AC5">
      <w:pPr>
        <w:jc w:val="both"/>
        <w:rPr>
          <w:rFonts w:ascii="Palatino Linotype" w:hAnsi="Palatino Linotype"/>
          <w:sz w:val="22"/>
          <w:szCs w:val="22"/>
          <w:lang w:val="nl-NL"/>
        </w:rPr>
      </w:pPr>
      <w:r w:rsidRPr="002C5AC5">
        <w:rPr>
          <w:rFonts w:ascii="Palatino Linotype" w:hAnsi="Palatino Linotype"/>
          <w:sz w:val="22"/>
          <w:szCs w:val="22"/>
          <w:lang w:val="nl-NL"/>
        </w:rPr>
        <w:t xml:space="preserve">Om bovengenoemde redenen wordt distikstofmonoxide, lachgas, op de lijst II van de Regeling aanwijzing gecontroleerde middelen geplaatst. Hierdoor is lachgas een verboden soft drug. </w:t>
      </w:r>
    </w:p>
    <w:p w:rsidR="002C5AC5" w:rsidRPr="002C5AC5" w:rsidRDefault="002C5AC5" w:rsidP="002C5AC5">
      <w:pPr>
        <w:jc w:val="both"/>
        <w:rPr>
          <w:rFonts w:ascii="Palatino Linotype" w:hAnsi="Palatino Linotype"/>
          <w:sz w:val="16"/>
          <w:szCs w:val="16"/>
          <w:lang w:val="nl-NL"/>
        </w:rPr>
      </w:pPr>
      <w:r w:rsidRPr="002C5AC5">
        <w:rPr>
          <w:rFonts w:ascii="Palatino Linotype" w:hAnsi="Palatino Linotype"/>
          <w:sz w:val="22"/>
          <w:szCs w:val="22"/>
          <w:lang w:val="nl-NL"/>
        </w:rPr>
        <w:t xml:space="preserve"> </w:t>
      </w:r>
    </w:p>
    <w:p w:rsidR="002C5AC5" w:rsidRDefault="002C5AC5" w:rsidP="002C5AC5">
      <w:pPr>
        <w:jc w:val="both"/>
        <w:rPr>
          <w:rFonts w:ascii="Palatino Linotype" w:hAnsi="Palatino Linotype"/>
          <w:b/>
          <w:sz w:val="22"/>
          <w:szCs w:val="22"/>
          <w:lang w:val="nl-NL"/>
        </w:rPr>
      </w:pPr>
      <w:r w:rsidRPr="002C5AC5">
        <w:rPr>
          <w:rFonts w:ascii="Palatino Linotype" w:hAnsi="Palatino Linotype"/>
          <w:b/>
          <w:sz w:val="22"/>
          <w:szCs w:val="22"/>
          <w:lang w:val="nl-NL"/>
        </w:rPr>
        <w:t>§2.  Grondslag voor strafbaarstelling van lachgas</w:t>
      </w:r>
    </w:p>
    <w:p w:rsidR="002C5AC5" w:rsidRPr="002C5AC5" w:rsidRDefault="002C5AC5" w:rsidP="002C5AC5">
      <w:pPr>
        <w:jc w:val="both"/>
        <w:rPr>
          <w:rFonts w:ascii="Palatino Linotype" w:hAnsi="Palatino Linotype"/>
          <w:b/>
          <w:sz w:val="16"/>
          <w:szCs w:val="16"/>
          <w:lang w:val="nl-NL"/>
        </w:rPr>
      </w:pPr>
    </w:p>
    <w:p w:rsidR="002C5AC5" w:rsidRDefault="002C5AC5" w:rsidP="002C5AC5">
      <w:pPr>
        <w:jc w:val="both"/>
        <w:rPr>
          <w:rFonts w:ascii="Palatino Linotype" w:hAnsi="Palatino Linotype"/>
          <w:sz w:val="22"/>
          <w:szCs w:val="22"/>
          <w:lang w:val="nl-NL"/>
        </w:rPr>
      </w:pPr>
      <w:r w:rsidRPr="002C5AC5">
        <w:rPr>
          <w:rFonts w:ascii="Palatino Linotype" w:hAnsi="Palatino Linotype"/>
          <w:sz w:val="22"/>
          <w:szCs w:val="22"/>
          <w:lang w:val="nl-NL"/>
        </w:rPr>
        <w:t xml:space="preserve">De Regeling aanwijzing gecontroleerde middelen, is op basis van artikel 15 van de Opiumlandsverordening 2024 (overgangsrecht), blijven gelden.  Daardoor is de toevoeging van lachgas aan de Regeling aanwijzing gecontroleerde middelen ook mogelijk. </w:t>
      </w:r>
    </w:p>
    <w:p w:rsidR="002C5AC5" w:rsidRPr="002C5AC5" w:rsidRDefault="002C5AC5" w:rsidP="002C5AC5">
      <w:pPr>
        <w:jc w:val="both"/>
        <w:rPr>
          <w:rFonts w:ascii="Palatino Linotype" w:hAnsi="Palatino Linotype"/>
          <w:sz w:val="16"/>
          <w:szCs w:val="16"/>
          <w:lang w:val="nl-NL"/>
        </w:rPr>
      </w:pPr>
    </w:p>
    <w:p w:rsidR="002C5AC5" w:rsidRDefault="002C5AC5" w:rsidP="002C5AC5">
      <w:pPr>
        <w:jc w:val="both"/>
        <w:rPr>
          <w:rFonts w:ascii="Palatino Linotype" w:hAnsi="Palatino Linotype"/>
          <w:b/>
          <w:sz w:val="22"/>
          <w:szCs w:val="22"/>
          <w:lang w:val="nl-NL"/>
        </w:rPr>
      </w:pPr>
      <w:r w:rsidRPr="002C5AC5">
        <w:rPr>
          <w:rFonts w:ascii="Palatino Linotype" w:hAnsi="Palatino Linotype"/>
          <w:b/>
          <w:sz w:val="22"/>
          <w:szCs w:val="22"/>
          <w:lang w:val="nl-NL"/>
        </w:rPr>
        <w:t>§3. De systematiek van de Opiumlandsverordening</w:t>
      </w:r>
    </w:p>
    <w:p w:rsidR="002C5AC5" w:rsidRPr="002C5AC5" w:rsidRDefault="002C5AC5" w:rsidP="002C5AC5">
      <w:pPr>
        <w:jc w:val="both"/>
        <w:rPr>
          <w:rFonts w:ascii="Palatino Linotype" w:hAnsi="Palatino Linotype"/>
          <w:b/>
          <w:sz w:val="16"/>
          <w:szCs w:val="16"/>
          <w:lang w:val="nl-NL"/>
        </w:rPr>
      </w:pPr>
    </w:p>
    <w:p w:rsidR="002C5AC5" w:rsidRDefault="002C5AC5" w:rsidP="002C5AC5">
      <w:pPr>
        <w:jc w:val="both"/>
        <w:rPr>
          <w:rFonts w:ascii="Palatino Linotype" w:hAnsi="Palatino Linotype"/>
          <w:sz w:val="22"/>
          <w:szCs w:val="22"/>
          <w:lang w:val="nl-NL"/>
        </w:rPr>
      </w:pPr>
      <w:r w:rsidRPr="002C5AC5">
        <w:rPr>
          <w:rFonts w:ascii="Palatino Linotype" w:hAnsi="Palatino Linotype"/>
          <w:sz w:val="22"/>
          <w:szCs w:val="22"/>
          <w:lang w:val="nl-NL"/>
        </w:rPr>
        <w:t xml:space="preserve">Op grond van artikel 3, eerste lid, onderdeel f, van de Opiumlandsverordening 2024 is het voor eenieder verboden om stoffen die op lijst II staan, in- uit- of door te voeren, te bereiden, te bewerken, te verwerken, te verkopen, af te leveren, te verstrekken, te vervoeren, aanwezig te hebben of te vervaardigen. Lachgas kent verschillende toepassingen die niet zijn gericht op recreatief gebruik als roesmiddel. De oorspronkelijke toepassingen van lachgas zijn gebruik in de (dier)geneeskunde als anestheticum en kortwerkende pijnstiller of als medisch hulpmiddel in technische industrieën als synthese en oxiderend gas. Ook in de horeca en </w:t>
      </w:r>
      <w:proofErr w:type="spellStart"/>
      <w:r w:rsidRPr="002C5AC5">
        <w:rPr>
          <w:rFonts w:ascii="Palatino Linotype" w:hAnsi="Palatino Linotype"/>
          <w:sz w:val="22"/>
          <w:szCs w:val="22"/>
          <w:lang w:val="nl-NL"/>
        </w:rPr>
        <w:t>voedingsmiddelen-industrie</w:t>
      </w:r>
      <w:proofErr w:type="spellEnd"/>
      <w:r w:rsidRPr="002C5AC5">
        <w:rPr>
          <w:rFonts w:ascii="Palatino Linotype" w:hAnsi="Palatino Linotype"/>
          <w:sz w:val="22"/>
          <w:szCs w:val="22"/>
          <w:lang w:val="nl-NL"/>
        </w:rPr>
        <w:t xml:space="preserve"> wordt lachgas gebruikt als drijfmiddel voor het opspuiten van voedingsmiddelen zoals slagroom. Deze oorspronkelijke toepassingen dienen onverminderd toegestaan te blijven.</w:t>
      </w:r>
    </w:p>
    <w:p w:rsidR="002C5AC5" w:rsidRPr="002C5AC5" w:rsidRDefault="002C5AC5" w:rsidP="002C5AC5">
      <w:pPr>
        <w:jc w:val="both"/>
        <w:rPr>
          <w:rFonts w:ascii="Palatino Linotype" w:hAnsi="Palatino Linotype"/>
          <w:sz w:val="16"/>
          <w:szCs w:val="16"/>
          <w:lang w:val="nl-NL"/>
        </w:rPr>
      </w:pPr>
    </w:p>
    <w:p w:rsidR="002C5AC5" w:rsidRPr="002C5AC5" w:rsidRDefault="002C5AC5" w:rsidP="002C5AC5">
      <w:pPr>
        <w:jc w:val="both"/>
        <w:rPr>
          <w:rFonts w:ascii="Palatino Linotype" w:hAnsi="Palatino Linotype"/>
          <w:sz w:val="22"/>
          <w:szCs w:val="22"/>
          <w:lang w:val="nl-NL"/>
        </w:rPr>
      </w:pPr>
      <w:r w:rsidRPr="002C5AC5">
        <w:rPr>
          <w:rFonts w:ascii="Palatino Linotype" w:hAnsi="Palatino Linotype"/>
          <w:sz w:val="22"/>
          <w:szCs w:val="22"/>
          <w:lang w:val="nl-NL"/>
        </w:rPr>
        <w:t xml:space="preserve">Met plaatsing van lachgas op lijst II bij de Regeling aanwijzing gecontroleerde middelen wordt het gebruik van lachgas als geneesmiddel of medisch hulpmiddel ook onder de Opiumlandsverordening 2024 gebracht. Hierbij wordt de vaste systematiek van de Opiumlandsverordening 2024 gevolgd die van toepassing is op alle verboden middelen in de </w:t>
      </w:r>
      <w:r w:rsidRPr="002C5AC5">
        <w:rPr>
          <w:rFonts w:ascii="Palatino Linotype" w:hAnsi="Palatino Linotype"/>
          <w:sz w:val="22"/>
          <w:szCs w:val="22"/>
          <w:lang w:val="nl-NL"/>
        </w:rPr>
        <w:lastRenderedPageBreak/>
        <w:t>Opiumlandsverordening 2024, die tevens een geneesmiddel zijn. Dit betekent dat (tussen)handelaren en fabrikanten van het betreffende middel dat bestemd is voor gebruik in de (dier)geneeskunde een verlof aan moeten vragen op grond van de artikelen 7 en 8 van de  Opiumlandsverordening 2024. Bepaalde gebruikers van een geneesmiddel of medisch hulpmiddel die op één van de lijsten bij de Regeling gecontroleerde middelen staat, zoals apothekers, geneeskundigen en dierenartsen, zijn op grond van artikel 7, tweede lid, Opiumlandsverordening 2024 reeds vrijgesteld.</w:t>
      </w:r>
    </w:p>
    <w:p w:rsidR="002C5AC5" w:rsidRPr="002C5AC5" w:rsidRDefault="002C5AC5" w:rsidP="002C5AC5">
      <w:pPr>
        <w:jc w:val="both"/>
        <w:rPr>
          <w:rFonts w:ascii="Palatino Linotype" w:hAnsi="Palatino Linotype"/>
          <w:sz w:val="16"/>
          <w:szCs w:val="16"/>
          <w:lang w:val="nl-NL"/>
        </w:rPr>
      </w:pPr>
      <w:bookmarkStart w:id="0" w:name="_GoBack"/>
      <w:bookmarkEnd w:id="0"/>
    </w:p>
    <w:p w:rsidR="002C5AC5" w:rsidRDefault="002C5AC5" w:rsidP="002C5AC5">
      <w:pPr>
        <w:jc w:val="both"/>
        <w:rPr>
          <w:rFonts w:ascii="Palatino Linotype" w:hAnsi="Palatino Linotype"/>
          <w:sz w:val="22"/>
          <w:szCs w:val="22"/>
          <w:lang w:val="nl-NL"/>
        </w:rPr>
      </w:pPr>
      <w:r w:rsidRPr="002C5AC5">
        <w:rPr>
          <w:rFonts w:ascii="Palatino Linotype" w:hAnsi="Palatino Linotype"/>
          <w:sz w:val="22"/>
          <w:szCs w:val="22"/>
          <w:lang w:val="nl-NL"/>
        </w:rPr>
        <w:t xml:space="preserve">Het zij opgemerkt dat het verbod ten aanzien van lachgas, krachtens artikel 3, vijfde lid, van de Opiumlandsverordening 2024 niet van toepassing is wanneer deze stof bestemd is voor technische doeleinden of als voedingsadditief. </w:t>
      </w:r>
    </w:p>
    <w:p w:rsidR="002C5AC5" w:rsidRPr="002C5AC5" w:rsidRDefault="002C5AC5" w:rsidP="002C5AC5">
      <w:pPr>
        <w:jc w:val="both"/>
        <w:rPr>
          <w:rFonts w:ascii="Palatino Linotype" w:hAnsi="Palatino Linotype"/>
          <w:sz w:val="22"/>
          <w:szCs w:val="22"/>
          <w:lang w:val="nl-NL"/>
        </w:rPr>
      </w:pPr>
    </w:p>
    <w:p w:rsidR="002C5AC5" w:rsidRDefault="002C5AC5" w:rsidP="002C5AC5">
      <w:pPr>
        <w:jc w:val="both"/>
        <w:rPr>
          <w:rFonts w:ascii="Palatino Linotype" w:hAnsi="Palatino Linotype"/>
          <w:b/>
          <w:sz w:val="22"/>
          <w:szCs w:val="22"/>
          <w:lang w:val="nl-NL"/>
        </w:rPr>
      </w:pPr>
      <w:r w:rsidRPr="002C5AC5">
        <w:rPr>
          <w:rFonts w:ascii="Palatino Linotype" w:hAnsi="Palatino Linotype"/>
          <w:b/>
          <w:sz w:val="22"/>
          <w:szCs w:val="22"/>
          <w:lang w:val="nl-NL"/>
        </w:rPr>
        <w:t>§4.  De strafbaarstelling</w:t>
      </w:r>
    </w:p>
    <w:p w:rsidR="002C5AC5" w:rsidRPr="002C5AC5" w:rsidRDefault="002C5AC5" w:rsidP="002C5AC5">
      <w:pPr>
        <w:jc w:val="both"/>
        <w:rPr>
          <w:rFonts w:ascii="Palatino Linotype" w:hAnsi="Palatino Linotype"/>
          <w:b/>
          <w:sz w:val="16"/>
          <w:szCs w:val="16"/>
          <w:lang w:val="nl-NL"/>
        </w:rPr>
      </w:pPr>
    </w:p>
    <w:p w:rsidR="002C5AC5" w:rsidRDefault="002C5AC5" w:rsidP="002C5AC5">
      <w:pPr>
        <w:jc w:val="both"/>
        <w:rPr>
          <w:rFonts w:ascii="Palatino Linotype" w:hAnsi="Palatino Linotype"/>
          <w:sz w:val="22"/>
          <w:szCs w:val="22"/>
          <w:lang w:val="nl-NL"/>
        </w:rPr>
      </w:pPr>
      <w:r w:rsidRPr="002C5AC5">
        <w:rPr>
          <w:rFonts w:ascii="Palatino Linotype" w:hAnsi="Palatino Linotype"/>
          <w:sz w:val="22"/>
          <w:szCs w:val="22"/>
          <w:lang w:val="nl-NL"/>
        </w:rPr>
        <w:t>Het is niet eenvoudig een maximale hoeveelheid vast te stellen voor de (ver)koop en het bezit van lachgas als voedingsadditief. Er zijn restaurants waarbij met verschillende spuitflessen wordt gewerkt, waarbij de spuitflessen op één avond met meer dan één ampul worden gevuld. Er zijn ook restaurants waar veel minder wordt gebruikt. Het normale gebruik van lachgasampullen onder thuiskoks en thuisbakkers is zeer beperkt. Het bezit van relatief grote hoeveelheid ampullen is een aanwijzing dat lachgas niet bestemd is als voedingsadditief en derhalve van strafbaar handelen.  Het gebruik van lachgasampullen onder thuiskoks en thuisbakkers is zeer beperkt. Daarom is bij particulieren het bezit van meer dan 10 ampullen een (sterke) aanwijzing dat het lachgas niet bestemd is als voedingsadditief, maar voor recreatief gebruik. Een vermoeden dat het lachgas bestemd is als recreatief middel kan nog worden versterkt door de feiten en omstandigheden van het specifieke geval, zoals bijvoorbeeld het aantreffen van ballonnen in de nabijheid van de ampullen. Een ballon duidt op het recreatief gebruik van lachgas als roesmiddel, en niet als voedingsmiddel. Dit geldt in het bijzonder voor het gebruik van lachgas in het verkeer.</w:t>
      </w:r>
    </w:p>
    <w:p w:rsidR="002C5AC5" w:rsidRPr="002C5AC5" w:rsidRDefault="002C5AC5" w:rsidP="002C5AC5">
      <w:pPr>
        <w:jc w:val="both"/>
        <w:rPr>
          <w:rFonts w:ascii="Palatino Linotype" w:hAnsi="Palatino Linotype"/>
          <w:sz w:val="16"/>
          <w:szCs w:val="16"/>
          <w:lang w:val="nl-NL"/>
        </w:rPr>
      </w:pPr>
    </w:p>
    <w:p w:rsidR="002C5AC5" w:rsidRPr="002C5AC5" w:rsidRDefault="002C5AC5" w:rsidP="002C5AC5">
      <w:pPr>
        <w:jc w:val="both"/>
        <w:rPr>
          <w:rFonts w:ascii="Palatino Linotype" w:hAnsi="Palatino Linotype"/>
          <w:sz w:val="22"/>
          <w:szCs w:val="22"/>
          <w:lang w:val="nl-NL"/>
        </w:rPr>
      </w:pPr>
      <w:r w:rsidRPr="002C5AC5">
        <w:rPr>
          <w:rFonts w:ascii="Palatino Linotype" w:hAnsi="Palatino Linotype"/>
          <w:sz w:val="22"/>
          <w:szCs w:val="22"/>
          <w:lang w:val="nl-NL"/>
        </w:rPr>
        <w:t>Wanneer door opsporingsambtenaren een situatie wordt aangetroffen waarin sprake is van een of meerdere aanwijzing(en) dat het lachgas bestemd is voor recreatief gebruik , is sprake van een vermoedelijke overtreding van het verbod van artikel 3, eerste lid, van de Opiumlandsverordening 2024. Er is dan een redelijk vermoeden van schuld, op grond waarvan strafvorderlijk kan worden opgetreden. Dit kan aanleiding geven tot de inbeslagneming van voorwerpen.</w:t>
      </w:r>
    </w:p>
    <w:p w:rsidR="002C5AC5" w:rsidRPr="002C5AC5" w:rsidRDefault="002C5AC5" w:rsidP="002C5AC5">
      <w:pPr>
        <w:jc w:val="both"/>
        <w:rPr>
          <w:rFonts w:ascii="Palatino Linotype" w:hAnsi="Palatino Linotype"/>
          <w:sz w:val="16"/>
          <w:szCs w:val="16"/>
          <w:lang w:val="nl-NL"/>
        </w:rPr>
      </w:pPr>
      <w:r w:rsidRPr="002C5AC5">
        <w:rPr>
          <w:rFonts w:ascii="Palatino Linotype" w:hAnsi="Palatino Linotype"/>
          <w:sz w:val="22"/>
          <w:szCs w:val="22"/>
          <w:lang w:val="nl-NL"/>
        </w:rPr>
        <w:t xml:space="preserve"> </w:t>
      </w:r>
    </w:p>
    <w:p w:rsidR="002C5AC5" w:rsidRDefault="002C5AC5" w:rsidP="002C5AC5">
      <w:pPr>
        <w:jc w:val="both"/>
        <w:rPr>
          <w:rFonts w:ascii="Palatino Linotype" w:hAnsi="Palatino Linotype"/>
          <w:b/>
          <w:sz w:val="22"/>
          <w:szCs w:val="22"/>
          <w:lang w:val="nl-NL"/>
        </w:rPr>
      </w:pPr>
      <w:r w:rsidRPr="002C5AC5">
        <w:rPr>
          <w:rFonts w:ascii="Palatino Linotype" w:hAnsi="Palatino Linotype"/>
          <w:b/>
          <w:sz w:val="22"/>
          <w:szCs w:val="22"/>
          <w:lang w:val="nl-NL"/>
        </w:rPr>
        <w:t>§5.  Financiële paragraaf</w:t>
      </w:r>
    </w:p>
    <w:p w:rsidR="002C5AC5" w:rsidRPr="002C5AC5" w:rsidRDefault="002C5AC5" w:rsidP="002C5AC5">
      <w:pPr>
        <w:jc w:val="both"/>
        <w:rPr>
          <w:rFonts w:ascii="Palatino Linotype" w:hAnsi="Palatino Linotype"/>
          <w:b/>
          <w:sz w:val="16"/>
          <w:szCs w:val="16"/>
          <w:lang w:val="nl-NL"/>
        </w:rPr>
      </w:pPr>
    </w:p>
    <w:p w:rsidR="002C5AC5" w:rsidRPr="002C5AC5" w:rsidRDefault="002C5AC5" w:rsidP="002C5AC5">
      <w:pPr>
        <w:jc w:val="both"/>
        <w:rPr>
          <w:rFonts w:ascii="Palatino Linotype" w:hAnsi="Palatino Linotype" w:cs="Courier New"/>
          <w:color w:val="000000"/>
          <w:sz w:val="22"/>
          <w:szCs w:val="22"/>
          <w:shd w:val="clear" w:color="auto" w:fill="FFFFFF"/>
          <w:lang w:val="nl-NL"/>
        </w:rPr>
      </w:pPr>
      <w:r w:rsidRPr="002C5AC5">
        <w:rPr>
          <w:rFonts w:ascii="Palatino Linotype" w:hAnsi="Palatino Linotype" w:cs="Courier New"/>
          <w:color w:val="000000"/>
          <w:sz w:val="22"/>
          <w:szCs w:val="22"/>
          <w:shd w:val="clear" w:color="auto" w:fill="FFFFFF"/>
          <w:lang w:val="nl-NL"/>
        </w:rPr>
        <w:t>Het verbod zal de overlast die door recreatieve gebruikers van lachgas (vooral feestvierders) wordt veroorzaakt verminderen. Dit werkt kostenverlagend voor politie en justitie. De kosten van handhaving van het nieuwe verbod daarentegen werkt kostenverhogend. De verwachting is dat deze twee effecten tegen elkaar opwegen. Althans dat geen begrotingsaanpassingen nodig zijn.</w:t>
      </w:r>
    </w:p>
    <w:p w:rsidR="002C5AC5" w:rsidRPr="002C5AC5" w:rsidRDefault="002C5AC5" w:rsidP="002C5AC5">
      <w:pPr>
        <w:ind w:left="5040"/>
        <w:jc w:val="both"/>
        <w:rPr>
          <w:rFonts w:ascii="Palatino Linotype" w:hAnsi="Palatino Linotype"/>
          <w:sz w:val="16"/>
          <w:szCs w:val="16"/>
          <w:lang w:val="nl-NL"/>
        </w:rPr>
      </w:pPr>
      <w:bookmarkStart w:id="1" w:name="_Hlk131001688"/>
    </w:p>
    <w:p w:rsidR="002C5AC5" w:rsidRPr="002C5AC5" w:rsidRDefault="002C5AC5" w:rsidP="002C5AC5">
      <w:pPr>
        <w:ind w:left="5040"/>
        <w:jc w:val="both"/>
        <w:rPr>
          <w:rFonts w:ascii="Palatino Linotype" w:hAnsi="Palatino Linotype"/>
          <w:sz w:val="22"/>
          <w:szCs w:val="22"/>
          <w:lang w:val="nl-NL"/>
        </w:rPr>
      </w:pPr>
      <w:r w:rsidRPr="002C5AC5">
        <w:rPr>
          <w:rFonts w:ascii="Palatino Linotype" w:hAnsi="Palatino Linotype"/>
          <w:sz w:val="22"/>
          <w:szCs w:val="22"/>
          <w:lang w:val="nl-NL"/>
        </w:rPr>
        <w:t>De Minister van Gezondheid, Milieu en Natuur</w:t>
      </w:r>
      <w:bookmarkEnd w:id="1"/>
      <w:r w:rsidRPr="002C5AC5">
        <w:rPr>
          <w:rFonts w:ascii="Palatino Linotype" w:hAnsi="Palatino Linotype"/>
          <w:sz w:val="22"/>
          <w:szCs w:val="22"/>
          <w:lang w:val="nl-NL"/>
        </w:rPr>
        <w:t xml:space="preserve"> a.i.,</w:t>
      </w:r>
    </w:p>
    <w:p w:rsidR="002C5AC5" w:rsidRDefault="002C5AC5" w:rsidP="002C5AC5">
      <w:pPr>
        <w:ind w:left="5040"/>
        <w:jc w:val="both"/>
        <w:rPr>
          <w:rFonts w:ascii="Palatino Linotype" w:hAnsi="Palatino Linotype" w:cs="Arial"/>
          <w:b/>
          <w:sz w:val="20"/>
          <w:lang w:val="nl-NL"/>
        </w:rPr>
      </w:pPr>
      <w:r w:rsidRPr="002C5AC5">
        <w:rPr>
          <w:rFonts w:ascii="Palatino Linotype" w:hAnsi="Palatino Linotype"/>
          <w:sz w:val="22"/>
          <w:szCs w:val="22"/>
          <w:lang w:val="nl-NL"/>
        </w:rPr>
        <w:t xml:space="preserve">              </w:t>
      </w:r>
      <w:r w:rsidRPr="002C5AC5">
        <w:rPr>
          <w:rFonts w:ascii="Palatino Linotype" w:eastAsia="Palatino Linotype" w:hAnsi="Palatino Linotype" w:cs="Palatino Linotype"/>
          <w:snapToGrid/>
          <w:sz w:val="22"/>
          <w:szCs w:val="22"/>
          <w:lang w:val="nl-NL"/>
        </w:rPr>
        <w:t>G.S. PISAS</w:t>
      </w:r>
    </w:p>
    <w:sectPr w:rsidR="002C5AC5">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5129CB" w:rsidRPr="005129CB" w:rsidRDefault="005129CB" w:rsidP="005129CB">
      <w:pPr>
        <w:pStyle w:val="FootnoteText"/>
        <w:rPr>
          <w:rFonts w:ascii="Palatino Linotype" w:hAnsi="Palatino Linotype"/>
          <w:sz w:val="18"/>
          <w:szCs w:val="18"/>
          <w:lang w:val="es-ES"/>
        </w:rPr>
      </w:pPr>
      <w:r w:rsidRPr="005129CB">
        <w:rPr>
          <w:rStyle w:val="FootnoteReference"/>
          <w:rFonts w:ascii="Palatino Linotype" w:hAnsi="Palatino Linotype"/>
          <w:sz w:val="18"/>
          <w:szCs w:val="18"/>
        </w:rPr>
        <w:footnoteRef/>
      </w:r>
      <w:r w:rsidRPr="005129CB">
        <w:rPr>
          <w:rFonts w:ascii="Palatino Linotype" w:hAnsi="Palatino Linotype"/>
          <w:sz w:val="18"/>
          <w:szCs w:val="18"/>
          <w:lang w:val="es-ES"/>
        </w:rPr>
        <w:t xml:space="preserve"> P.B. 2019, no. 29 (GT).</w:t>
      </w:r>
    </w:p>
  </w:footnote>
  <w:footnote w:id="2">
    <w:p w:rsidR="005129CB" w:rsidRPr="005129CB" w:rsidRDefault="005129CB" w:rsidP="005129CB">
      <w:pPr>
        <w:pStyle w:val="FootnoteText"/>
        <w:rPr>
          <w:rFonts w:ascii="Palatino Linotype" w:hAnsi="Palatino Linotype"/>
          <w:sz w:val="18"/>
          <w:szCs w:val="18"/>
          <w:lang w:val="es-ES"/>
        </w:rPr>
      </w:pPr>
      <w:r w:rsidRPr="005129CB">
        <w:rPr>
          <w:rStyle w:val="FootnoteReference"/>
          <w:rFonts w:ascii="Palatino Linotype" w:hAnsi="Palatino Linotype"/>
          <w:sz w:val="18"/>
          <w:szCs w:val="18"/>
        </w:rPr>
        <w:footnoteRef/>
      </w:r>
      <w:r w:rsidRPr="005129CB">
        <w:rPr>
          <w:rFonts w:ascii="Palatino Linotype" w:hAnsi="Palatino Linotype"/>
          <w:sz w:val="18"/>
          <w:szCs w:val="18"/>
          <w:lang w:val="es-ES"/>
        </w:rPr>
        <w:t xml:space="preserve"> P.B. 2024, no. 74.</w:t>
      </w:r>
    </w:p>
  </w:footnote>
  <w:footnote w:id="3">
    <w:p w:rsidR="005129CB" w:rsidRPr="00B774F9" w:rsidRDefault="005129CB" w:rsidP="005129CB">
      <w:pPr>
        <w:pStyle w:val="FootnoteText"/>
        <w:rPr>
          <w:rFonts w:ascii="Palatino Linotype" w:hAnsi="Palatino Linotype"/>
          <w:lang w:val="es-ES"/>
        </w:rPr>
      </w:pPr>
      <w:r w:rsidRPr="005129CB">
        <w:rPr>
          <w:rStyle w:val="FootnoteReference"/>
          <w:rFonts w:ascii="Palatino Linotype" w:hAnsi="Palatino Linotype"/>
          <w:sz w:val="18"/>
          <w:szCs w:val="18"/>
        </w:rPr>
        <w:footnoteRef/>
      </w:r>
      <w:r w:rsidRPr="005129CB">
        <w:rPr>
          <w:rFonts w:ascii="Palatino Linotype" w:hAnsi="Palatino Linotype"/>
          <w:sz w:val="18"/>
          <w:szCs w:val="18"/>
          <w:lang w:val="es-ES"/>
        </w:rPr>
        <w:t xml:space="preserve"> P.B. 2019, no. 17 (GT).</w:t>
      </w:r>
    </w:p>
  </w:footnote>
  <w:footnote w:id="4">
    <w:p w:rsidR="002C5AC5" w:rsidRPr="00C0243E" w:rsidRDefault="002C5AC5" w:rsidP="002C5AC5">
      <w:pPr>
        <w:pStyle w:val="FootnoteText"/>
        <w:rPr>
          <w:rFonts w:ascii="Palatino Linotype" w:hAnsi="Palatino Linotype"/>
          <w:sz w:val="18"/>
          <w:szCs w:val="18"/>
        </w:rPr>
      </w:pPr>
      <w:r w:rsidRPr="00C0243E">
        <w:rPr>
          <w:rStyle w:val="FootnoteReference"/>
          <w:rFonts w:ascii="Palatino Linotype" w:hAnsi="Palatino Linotype"/>
          <w:sz w:val="18"/>
          <w:szCs w:val="18"/>
        </w:rPr>
        <w:footnoteRef/>
      </w:r>
      <w:r w:rsidRPr="00C0243E">
        <w:rPr>
          <w:rFonts w:ascii="Palatino Linotype" w:hAnsi="Palatino Linotype"/>
          <w:sz w:val="18"/>
          <w:szCs w:val="18"/>
        </w:rPr>
        <w:t xml:space="preserve"> P.B. 2019, no.29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129CB">
      <w:rPr>
        <w:rFonts w:ascii="Times New Roman" w:hAnsi="Times New Roman"/>
        <w:b/>
        <w:spacing w:val="-4"/>
        <w:sz w:val="36"/>
      </w:rPr>
      <w:t>156</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C5AC5">
      <w:rPr>
        <w:rFonts w:ascii="Times New Roman" w:hAnsi="Times New Roman"/>
        <w:b/>
        <w:spacing w:val="-4"/>
        <w:sz w:val="36"/>
      </w:rPr>
      <w:t>156</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C5AC5"/>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129CB"/>
    <w:rsid w:val="00573A17"/>
    <w:rsid w:val="00593143"/>
    <w:rsid w:val="005B7EA9"/>
    <w:rsid w:val="005D0989"/>
    <w:rsid w:val="005D39A3"/>
    <w:rsid w:val="005E7D87"/>
    <w:rsid w:val="006147F1"/>
    <w:rsid w:val="006169E6"/>
    <w:rsid w:val="006725E6"/>
    <w:rsid w:val="006C19FE"/>
    <w:rsid w:val="006F659E"/>
    <w:rsid w:val="00750F03"/>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7BB7DB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6436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2024-12-20T19:22:00Z</dcterms:created>
  <dcterms:modified xsi:type="dcterms:W3CDTF">2024-12-20T19:22:00Z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20241220151847004</vt:lpwstr>
  </property>
</Properties>
</file>