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502644" w:rsidRPr="00435C9F">
        <w:rPr>
          <w:b/>
          <w:sz w:val="36"/>
          <w:szCs w:val="36"/>
          <w:lang w:val="nl-NL"/>
        </w:rPr>
        <w:t>158</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02644" w:rsidRPr="00502644" w:rsidRDefault="00502644" w:rsidP="00502644">
      <w:pPr>
        <w:autoSpaceDE w:val="0"/>
        <w:autoSpaceDN w:val="0"/>
        <w:adjustRightInd w:val="0"/>
        <w:rPr>
          <w:rFonts w:ascii="Palatino Linotype" w:hAnsi="Palatino Linotype"/>
          <w:b/>
          <w:bCs/>
          <w:sz w:val="22"/>
          <w:szCs w:val="22"/>
          <w:lang w:val="nl-NL"/>
        </w:rPr>
      </w:pPr>
      <w:r w:rsidRPr="00502644">
        <w:rPr>
          <w:rFonts w:ascii="Palatino Linotype" w:hAnsi="Palatino Linotype"/>
          <w:b/>
          <w:bCs/>
          <w:sz w:val="22"/>
          <w:szCs w:val="22"/>
          <w:lang w:val="nl-NL"/>
        </w:rPr>
        <w:t>MINISTERIËLE REGELING MET ALGEMENE WERKING van de 13</w:t>
      </w:r>
      <w:r w:rsidRPr="00502644">
        <w:rPr>
          <w:rFonts w:ascii="Palatino Linotype" w:hAnsi="Palatino Linotype"/>
          <w:b/>
          <w:bCs/>
          <w:sz w:val="22"/>
          <w:szCs w:val="22"/>
          <w:vertAlign w:val="superscript"/>
          <w:lang w:val="nl-NL"/>
        </w:rPr>
        <w:t>de</w:t>
      </w:r>
      <w:r w:rsidRPr="00502644">
        <w:rPr>
          <w:rFonts w:ascii="Palatino Linotype" w:hAnsi="Palatino Linotype"/>
          <w:b/>
          <w:bCs/>
          <w:sz w:val="22"/>
          <w:szCs w:val="22"/>
          <w:lang w:val="nl-NL"/>
        </w:rPr>
        <w:t xml:space="preserve"> december 2024 tot wijziging van de Ministeriële regeling formeel belastingrecht</w:t>
      </w:r>
      <w:r w:rsidRPr="00502644">
        <w:rPr>
          <w:rFonts w:ascii="Palatino Linotype" w:hAnsi="Palatino Linotype"/>
          <w:b/>
          <w:bCs/>
          <w:sz w:val="22"/>
          <w:szCs w:val="22"/>
          <w:vertAlign w:val="superscript"/>
        </w:rPr>
        <w:footnoteReference w:id="1"/>
      </w:r>
    </w:p>
    <w:p w:rsidR="00435C9F" w:rsidRPr="005129CB" w:rsidRDefault="00435C9F" w:rsidP="00435C9F">
      <w:pPr>
        <w:widowControl/>
        <w:spacing w:after="160" w:line="259" w:lineRule="auto"/>
        <w:jc w:val="center"/>
        <w:rPr>
          <w:rFonts w:ascii="Palatino Linotype" w:eastAsia="Calibri" w:hAnsi="Palatino Linotype"/>
          <w:snapToGrid/>
          <w:sz w:val="22"/>
          <w:szCs w:val="22"/>
          <w:lang w:val="nl-NL"/>
        </w:rPr>
      </w:pPr>
      <w:r w:rsidRPr="005129CB">
        <w:rPr>
          <w:rFonts w:ascii="Palatino Linotype" w:eastAsia="Calibri" w:hAnsi="Palatino Linotype"/>
          <w:snapToGrid/>
          <w:sz w:val="22"/>
          <w:szCs w:val="22"/>
          <w:lang w:val="nl-NL"/>
        </w:rPr>
        <w:t>__________</w:t>
      </w:r>
    </w:p>
    <w:p w:rsidR="00502644" w:rsidRPr="00502644" w:rsidRDefault="00435C9F" w:rsidP="00435C9F">
      <w:pPr>
        <w:autoSpaceDE w:val="0"/>
        <w:autoSpaceDN w:val="0"/>
        <w:adjustRightInd w:val="0"/>
        <w:jc w:val="center"/>
        <w:rPr>
          <w:rFonts w:ascii="Palatino Linotype" w:hAnsi="Palatino Linotype"/>
          <w:sz w:val="22"/>
          <w:szCs w:val="22"/>
          <w:lang w:val="nl-NL"/>
        </w:rPr>
      </w:pPr>
      <w:r w:rsidRPr="005129CB">
        <w:rPr>
          <w:rFonts w:ascii="Palatino Linotype" w:eastAsia="Calibri" w:hAnsi="Palatino Linotype"/>
          <w:snapToGrid/>
          <w:sz w:val="22"/>
          <w:szCs w:val="22"/>
          <w:lang w:val="nl-NL"/>
        </w:rPr>
        <w:t xml:space="preserve">De Minister van </w:t>
      </w:r>
      <w:r w:rsidRPr="00502644">
        <w:rPr>
          <w:rFonts w:ascii="Palatino Linotype" w:hAnsi="Palatino Linotype"/>
          <w:sz w:val="22"/>
          <w:szCs w:val="22"/>
          <w:lang w:val="nl-NL"/>
        </w:rPr>
        <w:t>Financiën</w:t>
      </w:r>
      <w:r>
        <w:rPr>
          <w:rFonts w:ascii="Palatino Linotype" w:hAnsi="Palatino Linotype"/>
          <w:sz w:val="22"/>
          <w:szCs w:val="22"/>
          <w:lang w:val="nl-NL"/>
        </w:rPr>
        <w:t>,</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b/>
        <w:t>Overwegende:</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dat het wenselijk is om nadere regels te stellen voor het tijdvak waarover de aangifte omzetbelasting moet worden gedaan;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dat deze nadere regels de administratieve lasten voor zowel de Inspecteur alsmede voor de belastingplichtige zullen beperken;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b/>
        <w:t>Gelet op:</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de artikelen 6, zesde lid, 8, vierde lid, en 39, eerste lid, onderdeel a, van de Algemene landsverordening Landsbelastingen</w:t>
      </w:r>
      <w:r w:rsidRPr="00502644">
        <w:rPr>
          <w:rFonts w:ascii="Palatino Linotype" w:hAnsi="Palatino Linotype"/>
          <w:sz w:val="22"/>
          <w:szCs w:val="22"/>
          <w:vertAlign w:val="superscript"/>
          <w:lang w:val="nl-NL"/>
        </w:rPr>
        <w:footnoteReference w:id="2"/>
      </w:r>
      <w:r w:rsidRPr="00502644">
        <w:rPr>
          <w:rFonts w:ascii="Palatino Linotype" w:hAnsi="Palatino Linotype"/>
          <w:sz w:val="22"/>
          <w:szCs w:val="22"/>
          <w:lang w:val="nl-NL"/>
        </w:rPr>
        <w:t xml:space="preserve">: </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435C9F">
      <w:pPr>
        <w:autoSpaceDE w:val="0"/>
        <w:autoSpaceDN w:val="0"/>
        <w:adjustRightInd w:val="0"/>
        <w:jc w:val="center"/>
        <w:rPr>
          <w:rFonts w:ascii="Palatino Linotype" w:hAnsi="Palatino Linotype"/>
          <w:sz w:val="22"/>
          <w:szCs w:val="22"/>
          <w:lang w:val="nl-NL"/>
        </w:rPr>
      </w:pPr>
      <w:r w:rsidRPr="00502644">
        <w:rPr>
          <w:rFonts w:ascii="Palatino Linotype" w:hAnsi="Palatino Linotype"/>
          <w:sz w:val="22"/>
          <w:szCs w:val="22"/>
          <w:lang w:val="nl-NL"/>
        </w:rPr>
        <w:t>Heeft besloten: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Artikel I</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De Ministeriële regeling </w:t>
      </w:r>
      <w:r w:rsidRPr="00502644">
        <w:rPr>
          <w:rFonts w:ascii="Palatino Linotype" w:hAnsi="Palatino Linotype"/>
          <w:bCs/>
          <w:sz w:val="22"/>
          <w:szCs w:val="22"/>
          <w:lang w:val="nl-NL"/>
        </w:rPr>
        <w:t>formeel belastingrecht</w:t>
      </w:r>
      <w:r w:rsidRPr="00502644">
        <w:rPr>
          <w:rFonts w:ascii="Palatino Linotype" w:hAnsi="Palatino Linotype"/>
          <w:sz w:val="22"/>
          <w:szCs w:val="22"/>
          <w:lang w:val="nl-NL"/>
        </w:rPr>
        <w:t xml:space="preserve"> wordt als volgt gewijzigd:</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Artikel 3.1. komt te luiden:</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Op verzoek van de ondernemer wordt het aangiftetijdvak voor de omzetbelasting bij een belaste omzet van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30.000, -- per jaar, op een kalenderjaar gesteld.</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B</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In artikel 3.2 wordt “met een belaste omzet van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10.0000,-- per kwartaal“ vervangen door: met een belaste  omzet van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30.000, maar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75.000,--per jaar</w:t>
      </w:r>
    </w:p>
    <w:p w:rsidR="00502644" w:rsidRPr="00502644" w:rsidRDefault="00502644" w:rsidP="00502644">
      <w:pPr>
        <w:autoSpaceDE w:val="0"/>
        <w:autoSpaceDN w:val="0"/>
        <w:adjustRightInd w:val="0"/>
        <w:rPr>
          <w:rFonts w:ascii="Palatino Linotype" w:hAnsi="Palatino Linotype"/>
          <w:sz w:val="22"/>
          <w:szCs w:val="22"/>
          <w:lang w:val="nl-NL"/>
        </w:rPr>
      </w:pPr>
    </w:p>
    <w:p w:rsidR="0031748A" w:rsidRDefault="0031748A">
      <w:pPr>
        <w:widowControl/>
        <w:rPr>
          <w:rFonts w:ascii="Palatino Linotype" w:hAnsi="Palatino Linotype"/>
          <w:sz w:val="22"/>
          <w:szCs w:val="22"/>
          <w:lang w:val="nl-NL"/>
        </w:rPr>
      </w:pPr>
      <w:r>
        <w:rPr>
          <w:rFonts w:ascii="Palatino Linotype" w:hAnsi="Palatino Linotype"/>
          <w:sz w:val="22"/>
          <w:szCs w:val="22"/>
          <w:lang w:val="nl-NL"/>
        </w:rPr>
        <w:br w:type="page"/>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lastRenderedPageBreak/>
        <w:t>C</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Artikel 3.3 wordt als volgt gewijzigd:</w:t>
      </w:r>
    </w:p>
    <w:p w:rsidR="00502644" w:rsidRPr="0031748A" w:rsidRDefault="00502644" w:rsidP="0031748A">
      <w:pPr>
        <w:pStyle w:val="ListParagraph"/>
        <w:numPr>
          <w:ilvl w:val="0"/>
          <w:numId w:val="8"/>
        </w:numPr>
        <w:autoSpaceDE w:val="0"/>
        <w:autoSpaceDN w:val="0"/>
        <w:adjustRightInd w:val="0"/>
        <w:ind w:left="360" w:hanging="360"/>
        <w:rPr>
          <w:rFonts w:ascii="Palatino Linotype" w:hAnsi="Palatino Linotype"/>
          <w:sz w:val="22"/>
          <w:szCs w:val="22"/>
        </w:rPr>
      </w:pPr>
      <w:r w:rsidRPr="0031748A">
        <w:rPr>
          <w:rFonts w:ascii="Palatino Linotype" w:hAnsi="Palatino Linotype"/>
          <w:sz w:val="22"/>
          <w:szCs w:val="22"/>
        </w:rPr>
        <w:t>Voor de tekst wordt de aanduiding "1." geplaatst.</w:t>
      </w:r>
    </w:p>
    <w:p w:rsidR="00502644" w:rsidRPr="0031748A" w:rsidRDefault="00502644" w:rsidP="0031748A">
      <w:pPr>
        <w:pStyle w:val="ListParagraph"/>
        <w:numPr>
          <w:ilvl w:val="0"/>
          <w:numId w:val="8"/>
        </w:numPr>
        <w:autoSpaceDE w:val="0"/>
        <w:autoSpaceDN w:val="0"/>
        <w:adjustRightInd w:val="0"/>
        <w:ind w:left="360" w:hanging="360"/>
        <w:rPr>
          <w:rFonts w:ascii="Palatino Linotype" w:hAnsi="Palatino Linotype"/>
          <w:sz w:val="22"/>
          <w:szCs w:val="22"/>
        </w:rPr>
      </w:pPr>
      <w:r w:rsidRPr="0031748A">
        <w:rPr>
          <w:rFonts w:ascii="Palatino Linotype" w:hAnsi="Palatino Linotype"/>
          <w:sz w:val="22"/>
          <w:szCs w:val="22"/>
        </w:rPr>
        <w:t>In het nieuw eerste lid wordt “In bijzondere gevallen kan de Inspecteur” vervangen door: De Inspecteur kan.</w:t>
      </w:r>
    </w:p>
    <w:p w:rsidR="00502644" w:rsidRPr="0031748A" w:rsidRDefault="00502644" w:rsidP="0031748A">
      <w:pPr>
        <w:pStyle w:val="ListParagraph"/>
        <w:numPr>
          <w:ilvl w:val="0"/>
          <w:numId w:val="8"/>
        </w:numPr>
        <w:autoSpaceDE w:val="0"/>
        <w:autoSpaceDN w:val="0"/>
        <w:adjustRightInd w:val="0"/>
        <w:ind w:left="360" w:hanging="360"/>
        <w:rPr>
          <w:rFonts w:ascii="Palatino Linotype" w:hAnsi="Palatino Linotype"/>
          <w:sz w:val="22"/>
          <w:szCs w:val="22"/>
        </w:rPr>
      </w:pPr>
      <w:r w:rsidRPr="0031748A">
        <w:rPr>
          <w:rFonts w:ascii="Palatino Linotype" w:hAnsi="Palatino Linotype"/>
          <w:sz w:val="22"/>
          <w:szCs w:val="22"/>
        </w:rPr>
        <w:t>Er wordt een tweede lid toegevoegd, luidende:</w:t>
      </w:r>
    </w:p>
    <w:p w:rsidR="00502644" w:rsidRPr="00502644" w:rsidRDefault="00502644" w:rsidP="0031748A">
      <w:pPr>
        <w:autoSpaceDE w:val="0"/>
        <w:autoSpaceDN w:val="0"/>
        <w:adjustRightInd w:val="0"/>
        <w:ind w:left="720" w:hanging="360"/>
        <w:rPr>
          <w:rFonts w:ascii="Palatino Linotype" w:hAnsi="Palatino Linotype"/>
          <w:sz w:val="22"/>
          <w:szCs w:val="22"/>
          <w:lang w:val="nl-NL"/>
        </w:rPr>
      </w:pPr>
      <w:r w:rsidRPr="00502644">
        <w:rPr>
          <w:rFonts w:ascii="Palatino Linotype" w:hAnsi="Palatino Linotype"/>
          <w:sz w:val="22"/>
          <w:szCs w:val="22"/>
          <w:lang w:val="nl-NL"/>
        </w:rPr>
        <w:t xml:space="preserve">2. </w:t>
      </w:r>
      <w:r w:rsidRPr="00502644">
        <w:rPr>
          <w:rFonts w:ascii="Palatino Linotype" w:hAnsi="Palatino Linotype"/>
          <w:sz w:val="22"/>
          <w:szCs w:val="22"/>
          <w:lang w:val="nl-NL"/>
        </w:rPr>
        <w:tab/>
        <w:t>De Inspecteur kan gemotiveerd afwijken van een verzoek als bedoeld in de artikelen 3.1 of 3.2, en ambtshalve het aangiftetijdvak vaststellen.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Artikel II</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Deze regeling treedt in werking met ingang van 1 januari 2025.</w:t>
      </w:r>
    </w:p>
    <w:p w:rsidR="00435C9F" w:rsidRPr="00502644" w:rsidRDefault="00435C9F" w:rsidP="00435C9F">
      <w:pPr>
        <w:autoSpaceDE w:val="0"/>
        <w:autoSpaceDN w:val="0"/>
        <w:adjustRightInd w:val="0"/>
        <w:rPr>
          <w:rFonts w:ascii="Palatino Linotype" w:hAnsi="Palatino Linotype"/>
          <w:sz w:val="22"/>
          <w:szCs w:val="22"/>
          <w:lang w:val="nl-NL"/>
        </w:rPr>
      </w:pPr>
    </w:p>
    <w:p w:rsidR="00435C9F" w:rsidRDefault="00435C9F" w:rsidP="00435C9F">
      <w:pPr>
        <w:autoSpaceDE w:val="0"/>
        <w:autoSpaceDN w:val="0"/>
        <w:adjustRightInd w:val="0"/>
        <w:rPr>
          <w:rFonts w:ascii="Palatino Linotype" w:hAnsi="Palatino Linotype"/>
          <w:sz w:val="22"/>
          <w:szCs w:val="22"/>
          <w:lang w:val="nl-NL"/>
        </w:rPr>
      </w:pPr>
    </w:p>
    <w:p w:rsidR="00435C9F" w:rsidRPr="00502644" w:rsidRDefault="00435C9F" w:rsidP="00435C9F">
      <w:pPr>
        <w:autoSpaceDE w:val="0"/>
        <w:autoSpaceDN w:val="0"/>
        <w:adjustRightInd w:val="0"/>
        <w:rPr>
          <w:rFonts w:ascii="Palatino Linotype" w:hAnsi="Palatino Linotype"/>
          <w:sz w:val="22"/>
          <w:szCs w:val="22"/>
          <w:lang w:val="nl-NL"/>
        </w:rPr>
      </w:pPr>
    </w:p>
    <w:p w:rsidR="00435C9F" w:rsidRPr="00502644" w:rsidRDefault="00435C9F" w:rsidP="00435C9F">
      <w:pPr>
        <w:autoSpaceDE w:val="0"/>
        <w:autoSpaceDN w:val="0"/>
        <w:adjustRightInd w:val="0"/>
        <w:rPr>
          <w:rFonts w:ascii="Palatino Linotype" w:hAnsi="Palatino Linotype"/>
          <w:sz w:val="22"/>
          <w:szCs w:val="22"/>
          <w:lang w:val="nl-NL"/>
        </w:rPr>
      </w:pPr>
    </w:p>
    <w:p w:rsidR="00435C9F" w:rsidRPr="00502644" w:rsidRDefault="00435C9F" w:rsidP="00435C9F">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Gegeven te Willemstad, 13 december 2024</w:t>
      </w:r>
    </w:p>
    <w:p w:rsidR="00435C9F" w:rsidRDefault="00435C9F" w:rsidP="00435C9F">
      <w:pPr>
        <w:autoSpaceDE w:val="0"/>
        <w:autoSpaceDN w:val="0"/>
        <w:adjustRightInd w:val="0"/>
        <w:ind w:right="6610"/>
        <w:rPr>
          <w:rFonts w:ascii="Palatino Linotype" w:hAnsi="Palatino Linotype"/>
          <w:sz w:val="22"/>
          <w:szCs w:val="22"/>
          <w:lang w:val="nl-NL"/>
        </w:rPr>
      </w:pPr>
      <w:r w:rsidRPr="00502644">
        <w:rPr>
          <w:rFonts w:ascii="Palatino Linotype" w:hAnsi="Palatino Linotype"/>
          <w:sz w:val="22"/>
          <w:szCs w:val="22"/>
          <w:lang w:val="nl-NL"/>
        </w:rPr>
        <w:t>De Minister van Financiën,</w:t>
      </w:r>
    </w:p>
    <w:p w:rsidR="00435C9F" w:rsidRPr="00502644" w:rsidRDefault="00435C9F" w:rsidP="00435C9F">
      <w:pPr>
        <w:autoSpaceDE w:val="0"/>
        <w:autoSpaceDN w:val="0"/>
        <w:adjustRightInd w:val="0"/>
        <w:ind w:right="6610"/>
        <w:jc w:val="center"/>
        <w:rPr>
          <w:rFonts w:ascii="Palatino Linotype" w:hAnsi="Palatino Linotype"/>
          <w:sz w:val="22"/>
          <w:szCs w:val="22"/>
          <w:lang w:val="nl-NL"/>
        </w:rPr>
      </w:pPr>
      <w:r w:rsidRPr="0031748A">
        <w:rPr>
          <w:rFonts w:ascii="Palatino Linotype" w:eastAsia="Palatino Linotype" w:hAnsi="Palatino Linotype" w:cs="Palatino Linotype"/>
          <w:snapToGrid/>
          <w:sz w:val="22"/>
          <w:szCs w:val="22"/>
          <w:lang w:val="nl-NL"/>
        </w:rPr>
        <w:t>J.F.A. SILVANIA</w:t>
      </w:r>
    </w:p>
    <w:p w:rsidR="00435C9F" w:rsidRPr="00502644" w:rsidRDefault="00435C9F" w:rsidP="00435C9F">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b/>
      </w:r>
      <w:r w:rsidRPr="00502644">
        <w:rPr>
          <w:rFonts w:ascii="Palatino Linotype" w:hAnsi="Palatino Linotype"/>
          <w:sz w:val="22"/>
          <w:szCs w:val="22"/>
          <w:lang w:val="nl-NL"/>
        </w:rPr>
        <w:tab/>
      </w:r>
    </w:p>
    <w:p w:rsidR="00435C9F" w:rsidRDefault="00435C9F" w:rsidP="00435C9F">
      <w:pPr>
        <w:autoSpaceDE w:val="0"/>
        <w:autoSpaceDN w:val="0"/>
        <w:adjustRightInd w:val="0"/>
        <w:rPr>
          <w:rFonts w:ascii="Palatino Linotype" w:hAnsi="Palatino Linotype"/>
          <w:sz w:val="22"/>
          <w:szCs w:val="22"/>
          <w:lang w:val="nl-NL"/>
        </w:rPr>
      </w:pPr>
    </w:p>
    <w:p w:rsidR="00435C9F" w:rsidRPr="00502644" w:rsidRDefault="00435C9F" w:rsidP="00435C9F">
      <w:pPr>
        <w:autoSpaceDE w:val="0"/>
        <w:autoSpaceDN w:val="0"/>
        <w:adjustRightInd w:val="0"/>
        <w:rPr>
          <w:rFonts w:ascii="Palatino Linotype" w:hAnsi="Palatino Linotype"/>
          <w:sz w:val="22"/>
          <w:szCs w:val="22"/>
          <w:lang w:val="nl-NL"/>
        </w:rPr>
      </w:pPr>
    </w:p>
    <w:p w:rsidR="00435C9F" w:rsidRPr="00502644" w:rsidRDefault="00435C9F" w:rsidP="00435C9F">
      <w:pPr>
        <w:autoSpaceDE w:val="0"/>
        <w:autoSpaceDN w:val="0"/>
        <w:adjustRightInd w:val="0"/>
        <w:ind w:left="5040" w:right="850"/>
        <w:rPr>
          <w:rFonts w:ascii="Palatino Linotype" w:hAnsi="Palatino Linotype"/>
          <w:sz w:val="22"/>
          <w:szCs w:val="22"/>
          <w:lang w:val="nl-NL"/>
        </w:rPr>
      </w:pPr>
      <w:r w:rsidRPr="00502644">
        <w:rPr>
          <w:rFonts w:ascii="Palatino Linotype" w:hAnsi="Palatino Linotype"/>
          <w:sz w:val="22"/>
          <w:szCs w:val="22"/>
          <w:lang w:val="nl-NL"/>
        </w:rPr>
        <w:t>Uitgegeven de 23</w:t>
      </w:r>
      <w:r w:rsidRPr="00502644">
        <w:rPr>
          <w:rFonts w:ascii="Palatino Linotype" w:hAnsi="Palatino Linotype"/>
          <w:sz w:val="22"/>
          <w:szCs w:val="22"/>
          <w:vertAlign w:val="superscript"/>
          <w:lang w:val="nl-NL"/>
        </w:rPr>
        <w:t>ste</w:t>
      </w:r>
      <w:r w:rsidRPr="00502644">
        <w:rPr>
          <w:rFonts w:ascii="Palatino Linotype" w:hAnsi="Palatino Linotype"/>
          <w:sz w:val="22"/>
          <w:szCs w:val="22"/>
          <w:lang w:val="nl-NL"/>
        </w:rPr>
        <w:t xml:space="preserve"> december 2024</w:t>
      </w:r>
    </w:p>
    <w:p w:rsidR="00435C9F" w:rsidRDefault="00435C9F" w:rsidP="00435C9F">
      <w:pPr>
        <w:autoSpaceDE w:val="0"/>
        <w:autoSpaceDN w:val="0"/>
        <w:adjustRightInd w:val="0"/>
        <w:ind w:left="5040" w:right="850"/>
        <w:rPr>
          <w:rFonts w:ascii="Palatino Linotype" w:hAnsi="Palatino Linotype"/>
          <w:sz w:val="22"/>
          <w:szCs w:val="22"/>
          <w:lang w:val="nl-NL"/>
        </w:rPr>
      </w:pPr>
      <w:r w:rsidRPr="00502644">
        <w:rPr>
          <w:rFonts w:ascii="Palatino Linotype" w:hAnsi="Palatino Linotype"/>
          <w:sz w:val="22"/>
          <w:szCs w:val="22"/>
          <w:lang w:val="nl-NL"/>
        </w:rPr>
        <w:t>De Minister van Algemene Zaken,</w:t>
      </w:r>
    </w:p>
    <w:p w:rsidR="0031748A" w:rsidRPr="00502644" w:rsidRDefault="00435C9F" w:rsidP="00435C9F">
      <w:pPr>
        <w:autoSpaceDE w:val="0"/>
        <w:autoSpaceDN w:val="0"/>
        <w:adjustRightInd w:val="0"/>
        <w:ind w:left="5040" w:right="850"/>
        <w:jc w:val="center"/>
        <w:rPr>
          <w:rFonts w:ascii="Palatino Linotype" w:hAnsi="Palatino Linotype"/>
          <w:sz w:val="22"/>
          <w:szCs w:val="22"/>
          <w:lang w:val="nl-NL"/>
        </w:rPr>
      </w:pPr>
      <w:r w:rsidRPr="0031748A">
        <w:rPr>
          <w:rFonts w:ascii="Palatino Linotype" w:hAnsi="Palatino Linotype"/>
          <w:sz w:val="22"/>
          <w:szCs w:val="22"/>
          <w:lang w:val="nl-NL"/>
        </w:rPr>
        <w:t>G.S. PISAS</w:t>
      </w:r>
      <w:bookmarkStart w:id="0" w:name="_GoBack"/>
      <w:bookmarkEnd w:id="0"/>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b/>
      </w:r>
      <w:r w:rsidRPr="00502644">
        <w:rPr>
          <w:rFonts w:ascii="Palatino Linotype" w:hAnsi="Palatino Linotype"/>
          <w:sz w:val="22"/>
          <w:szCs w:val="22"/>
          <w:lang w:val="nl-NL"/>
        </w:rPr>
        <w:tab/>
      </w: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sz w:val="22"/>
          <w:szCs w:val="22"/>
          <w:lang w:val="nl-NL"/>
        </w:rPr>
        <w:br w:type="page"/>
      </w:r>
      <w:r w:rsidRPr="00502644">
        <w:rPr>
          <w:rFonts w:ascii="Palatino Linotype" w:hAnsi="Palatino Linotype"/>
          <w:b/>
          <w:sz w:val="22"/>
          <w:szCs w:val="22"/>
          <w:lang w:val="nl-NL"/>
        </w:rPr>
        <w:lastRenderedPageBreak/>
        <w:t>Toelichting behorende bij de Ministeriële regeling met algemene werking van de                         tot wijziging van de Ministeriële regeling formeel belastingrecht</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Algemeen</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De Ministeriële regeling formeel belastingrecht dateert van het jaar 2013. Sindsdien is de regeling een aantal keren gewijzigd. De doorlopende tekst van de Ministeriële regeling formeel belastingrecht is te downloaden van de wettenbank van de regering, op het volgende adres: https://gobiernu.cw/nl/laws/ministeriele-regeling-formeel-belastingrecht/</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Met de in deze regeling voorgestelde wijzigingen zal het indienen van een aangifte voor de omzetbelasting vanaf 1 januari 2025 op een meer effectiever manier gaan plaatsvinden, om zodoende de administratieve lasten voor zowel de Inspecteur alsmede voor de belastingplichtige te beperken.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Financiële paragraaf</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Aan deze regeling zijn geen nadelige financiële gevolgen verbonden. Voor de Inspecteur zal sprake zijn van een besparing op papier-, druk- en verzendkosten en derhalve beperking van administratieve lasten. Voor belastingplichtigen die in plaats van een maandaangifte op basis van kalenderkwartaal of kalenderjaar de aangifte omzetbelasting kunnen indienen, is ook sprake van verlichting van de administratieve lasten.</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Artikelsgewijs toelichting</w:t>
      </w: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Onderdeel A</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Voor de omzetbelasting kunnen ondernemers die een belaste omzet van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30.000,-- per jaar hebben, verzoeken om het aangiftetijdvak op een kalenderjaar te stellen. Enige criterium hiervoor is een belaste jaarlijkse omzet van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30.000.</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Onderdeel B</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Bij een belaste jaarlijkse omzet van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30.000, -- maar niet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75.000 kan de ondernemer verzoeken om het aangiftetijdvak op een kalenderkwartaal te stellen.</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Ondernemers met een belaste omzet van meer dan </w:t>
      </w:r>
      <w:proofErr w:type="spellStart"/>
      <w:r w:rsidRPr="00502644">
        <w:rPr>
          <w:rFonts w:ascii="Palatino Linotype" w:hAnsi="Palatino Linotype"/>
          <w:sz w:val="22"/>
          <w:szCs w:val="22"/>
          <w:lang w:val="nl-NL"/>
        </w:rPr>
        <w:t>NAf</w:t>
      </w:r>
      <w:proofErr w:type="spellEnd"/>
      <w:r w:rsidRPr="00502644">
        <w:rPr>
          <w:rFonts w:ascii="Palatino Linotype" w:hAnsi="Palatino Linotype"/>
          <w:sz w:val="22"/>
          <w:szCs w:val="22"/>
          <w:lang w:val="nl-NL"/>
        </w:rPr>
        <w:t xml:space="preserve"> 75.000, -- per jaar moeten maandelijks aangifte doen. Alle gevallen die niet aangemerkt kunnen worden als jaar- of kwartaalaangever, worden aangemerkt als maandaangever voor het doen van aangifte voor de omzetbelasting.</w:t>
      </w:r>
    </w:p>
    <w:p w:rsidR="00502644" w:rsidRPr="00502644" w:rsidRDefault="00502644" w:rsidP="00502644">
      <w:pPr>
        <w:autoSpaceDE w:val="0"/>
        <w:autoSpaceDN w:val="0"/>
        <w:adjustRightInd w:val="0"/>
        <w:rPr>
          <w:rFonts w:ascii="Palatino Linotype" w:hAnsi="Palatino Linotype"/>
          <w:sz w:val="22"/>
          <w:szCs w:val="22"/>
          <w:lang w:val="nl-NL"/>
        </w:rPr>
      </w:pPr>
    </w:p>
    <w:p w:rsidR="00502644" w:rsidRPr="00502644" w:rsidRDefault="00502644" w:rsidP="00502644">
      <w:pPr>
        <w:autoSpaceDE w:val="0"/>
        <w:autoSpaceDN w:val="0"/>
        <w:adjustRightInd w:val="0"/>
        <w:rPr>
          <w:rFonts w:ascii="Palatino Linotype" w:hAnsi="Palatino Linotype"/>
          <w:b/>
          <w:sz w:val="22"/>
          <w:szCs w:val="22"/>
          <w:lang w:val="nl-NL"/>
        </w:rPr>
      </w:pPr>
      <w:r w:rsidRPr="00502644">
        <w:rPr>
          <w:rFonts w:ascii="Palatino Linotype" w:hAnsi="Palatino Linotype"/>
          <w:b/>
          <w:sz w:val="22"/>
          <w:szCs w:val="22"/>
          <w:lang w:val="nl-NL"/>
        </w:rPr>
        <w:t>Onderdeel C</w:t>
      </w:r>
    </w:p>
    <w:p w:rsidR="00502644" w:rsidRPr="00502644" w:rsidRDefault="00502644" w:rsidP="00502644">
      <w:pPr>
        <w:autoSpaceDE w:val="0"/>
        <w:autoSpaceDN w:val="0"/>
        <w:adjustRightInd w:val="0"/>
        <w:rPr>
          <w:rFonts w:ascii="Palatino Linotype" w:hAnsi="Palatino Linotype"/>
          <w:sz w:val="22"/>
          <w:szCs w:val="22"/>
          <w:lang w:val="nl-NL"/>
        </w:rPr>
      </w:pPr>
      <w:r w:rsidRPr="00502644">
        <w:rPr>
          <w:rFonts w:ascii="Palatino Linotype" w:hAnsi="Palatino Linotype"/>
          <w:sz w:val="22"/>
          <w:szCs w:val="22"/>
          <w:lang w:val="nl-NL"/>
        </w:rPr>
        <w:t xml:space="preserve">In het kader van efficiency wordt artikel 3.3. aangepast zodat  de Inspecteur de bevoegdheid verkrijgt om ambtshalve het aangiftetijdvak op een kalenderjaar of een kalenderkwartaal te stellen. Tevens kan de Inspecteur, mits gemotiveerd, afwijken van een verzoek als bedoeld in de artikelen 3.1 of 3.2 en het aangiftetijdvak ambtshalve vaststellen. </w:t>
      </w:r>
    </w:p>
    <w:p w:rsidR="00502644" w:rsidRDefault="00502644" w:rsidP="00502644">
      <w:pPr>
        <w:autoSpaceDE w:val="0"/>
        <w:autoSpaceDN w:val="0"/>
        <w:adjustRightInd w:val="0"/>
        <w:rPr>
          <w:rFonts w:ascii="Palatino Linotype" w:hAnsi="Palatino Linotype"/>
          <w:sz w:val="22"/>
          <w:szCs w:val="22"/>
          <w:lang w:val="nl-NL"/>
        </w:rPr>
      </w:pPr>
    </w:p>
    <w:p w:rsidR="0031748A" w:rsidRDefault="0031748A" w:rsidP="00502644">
      <w:pPr>
        <w:autoSpaceDE w:val="0"/>
        <w:autoSpaceDN w:val="0"/>
        <w:adjustRightInd w:val="0"/>
        <w:rPr>
          <w:rFonts w:ascii="Palatino Linotype" w:hAnsi="Palatino Linotype"/>
          <w:sz w:val="22"/>
          <w:szCs w:val="22"/>
          <w:lang w:val="nl-NL"/>
        </w:rPr>
      </w:pPr>
    </w:p>
    <w:p w:rsidR="0031748A" w:rsidRPr="00502644" w:rsidRDefault="0031748A" w:rsidP="00502644">
      <w:pPr>
        <w:autoSpaceDE w:val="0"/>
        <w:autoSpaceDN w:val="0"/>
        <w:adjustRightInd w:val="0"/>
        <w:rPr>
          <w:rFonts w:ascii="Palatino Linotype" w:hAnsi="Palatino Linotype"/>
          <w:sz w:val="22"/>
          <w:szCs w:val="22"/>
          <w:lang w:val="nl-NL"/>
        </w:rPr>
      </w:pPr>
    </w:p>
    <w:p w:rsidR="008D5E2E" w:rsidRDefault="00502644" w:rsidP="0031748A">
      <w:pPr>
        <w:autoSpaceDE w:val="0"/>
        <w:autoSpaceDN w:val="0"/>
        <w:adjustRightInd w:val="0"/>
        <w:ind w:left="5400" w:right="1210"/>
        <w:rPr>
          <w:rFonts w:ascii="Palatino Linotype" w:hAnsi="Palatino Linotype"/>
          <w:sz w:val="22"/>
          <w:szCs w:val="22"/>
          <w:lang w:val="nl-NL"/>
        </w:rPr>
      </w:pPr>
      <w:r w:rsidRPr="00502644">
        <w:rPr>
          <w:rFonts w:ascii="Palatino Linotype" w:hAnsi="Palatino Linotype"/>
          <w:sz w:val="22"/>
          <w:szCs w:val="22"/>
          <w:lang w:val="nl-NL"/>
        </w:rPr>
        <w:t>De Minister van Financiën,</w:t>
      </w:r>
    </w:p>
    <w:p w:rsidR="0031748A" w:rsidRDefault="0031748A" w:rsidP="0031748A">
      <w:pPr>
        <w:autoSpaceDE w:val="0"/>
        <w:autoSpaceDN w:val="0"/>
        <w:adjustRightInd w:val="0"/>
        <w:ind w:left="5400" w:right="1210"/>
        <w:jc w:val="center"/>
        <w:rPr>
          <w:rFonts w:ascii="Palatino Linotype" w:hAnsi="Palatino Linotype" w:cs="Arial"/>
          <w:snapToGrid/>
          <w:sz w:val="22"/>
          <w:szCs w:val="22"/>
          <w:lang w:val="nl-NL"/>
        </w:rPr>
      </w:pPr>
      <w:r w:rsidRPr="0031748A">
        <w:rPr>
          <w:rFonts w:ascii="Palatino Linotype" w:eastAsia="Palatino Linotype" w:hAnsi="Palatino Linotype" w:cs="Palatino Linotype"/>
          <w:snapToGrid/>
          <w:sz w:val="22"/>
          <w:szCs w:val="22"/>
          <w:lang w:val="nl-NL"/>
        </w:rPr>
        <w:t>J.F.A. SILVANIA</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02644" w:rsidRPr="00B30E9E" w:rsidRDefault="00502644" w:rsidP="00502644">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nl-NL"/>
        </w:rPr>
      </w:pPr>
      <w:r w:rsidRPr="00B30E9E">
        <w:rPr>
          <w:rStyle w:val="FootnoteReference"/>
          <w:rFonts w:ascii="Palatino Linotype" w:hAnsi="Palatino Linotype"/>
          <w:sz w:val="16"/>
          <w:szCs w:val="16"/>
        </w:rPr>
        <w:footnoteRef/>
      </w:r>
      <w:r w:rsidRPr="00B30E9E">
        <w:rPr>
          <w:rFonts w:ascii="Palatino Linotype" w:hAnsi="Palatino Linotype"/>
          <w:sz w:val="16"/>
          <w:szCs w:val="16"/>
          <w:lang w:val="nl-NL"/>
        </w:rPr>
        <w:t xml:space="preserve"> P.B. 2013, no. 63</w:t>
      </w:r>
      <w:r>
        <w:rPr>
          <w:rFonts w:ascii="Palatino Linotype" w:hAnsi="Palatino Linotype"/>
          <w:sz w:val="16"/>
          <w:szCs w:val="16"/>
          <w:lang w:val="nl-NL"/>
        </w:rPr>
        <w:t>, zoals laatstelijk gewijzigd bij P.B. 2020, no. 127.</w:t>
      </w:r>
    </w:p>
  </w:footnote>
  <w:footnote w:id="2">
    <w:p w:rsidR="00502644" w:rsidRPr="00B30E9E" w:rsidRDefault="00502644" w:rsidP="00502644">
      <w:pPr>
        <w:pStyle w:val="FootnoteText"/>
        <w:rPr>
          <w:lang w:val="nl-NL"/>
        </w:rPr>
      </w:pPr>
      <w:r w:rsidRPr="00B30E9E">
        <w:rPr>
          <w:rStyle w:val="FootnoteReference"/>
          <w:rFonts w:ascii="Palatino Linotype" w:hAnsi="Palatino Linotype"/>
          <w:sz w:val="16"/>
          <w:szCs w:val="16"/>
        </w:rPr>
        <w:footnoteRef/>
      </w:r>
      <w:r w:rsidRPr="00B30E9E">
        <w:rPr>
          <w:rFonts w:ascii="Palatino Linotype" w:hAnsi="Palatino Linotype"/>
          <w:sz w:val="16"/>
          <w:szCs w:val="16"/>
          <w:lang w:val="nl-NL"/>
        </w:rPr>
        <w:t xml:space="preserve"> P.B. 2013, </w:t>
      </w:r>
      <w:r>
        <w:rPr>
          <w:rFonts w:ascii="Palatino Linotype" w:hAnsi="Palatino Linotype"/>
          <w:sz w:val="16"/>
          <w:szCs w:val="16"/>
          <w:lang w:val="nl-NL"/>
        </w:rPr>
        <w:t>no. 53, zoals laatstelijk gewijzigd bij P.B. 2024, no.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60385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1748A">
      <w:rPr>
        <w:rFonts w:ascii="Times New Roman" w:hAnsi="Times New Roman"/>
        <w:b/>
        <w:spacing w:val="-4"/>
        <w:sz w:val="36"/>
      </w:rPr>
      <w:t>158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51758</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1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1748A">
      <w:rPr>
        <w:rFonts w:ascii="Times New Roman" w:hAnsi="Times New Roman"/>
        <w:b/>
        <w:spacing w:val="-4"/>
        <w:sz w:val="36"/>
      </w:rPr>
      <w:t>158</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B847A1"/>
    <w:multiLevelType w:val="hybridMultilevel"/>
    <w:tmpl w:val="8F1CC102"/>
    <w:lvl w:ilvl="0" w:tplc="C2586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630EB"/>
    <w:multiLevelType w:val="hybridMultilevel"/>
    <w:tmpl w:val="D180A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1748A"/>
    <w:rsid w:val="00331A7B"/>
    <w:rsid w:val="00334EF0"/>
    <w:rsid w:val="00390EC1"/>
    <w:rsid w:val="003B694F"/>
    <w:rsid w:val="003C30EB"/>
    <w:rsid w:val="003D1497"/>
    <w:rsid w:val="003D25AC"/>
    <w:rsid w:val="003E6FF3"/>
    <w:rsid w:val="0043209F"/>
    <w:rsid w:val="00435C9F"/>
    <w:rsid w:val="004E29EE"/>
    <w:rsid w:val="004E2C9C"/>
    <w:rsid w:val="004E799B"/>
    <w:rsid w:val="00502644"/>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6BB4CA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607</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2024-12-23T18:57:00Z</dcterms:created>
  <dcterms:modified xsi:type="dcterms:W3CDTF">2024-12-23T20:29:00Z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