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23C1D">
        <w:rPr>
          <w:b/>
          <w:sz w:val="36"/>
          <w:szCs w:val="36"/>
        </w:rPr>
        <w:fldChar w:fldCharType="begin">
          <w:ffData>
            <w:name w:val="Text2"/>
            <w:enabled/>
            <w:calcOnExit w:val="0"/>
            <w:textInput>
              <w:default w:val="9"/>
            </w:textInput>
          </w:ffData>
        </w:fldChar>
      </w:r>
      <w:bookmarkStart w:id="0" w:name="Text2"/>
      <w:r w:rsidR="00723C1D" w:rsidRPr="009937F9">
        <w:rPr>
          <w:b/>
          <w:sz w:val="36"/>
          <w:szCs w:val="36"/>
          <w:lang w:val="nl-NL"/>
        </w:rPr>
        <w:instrText xml:space="preserve"> FORMTEXT </w:instrText>
      </w:r>
      <w:r w:rsidR="00723C1D">
        <w:rPr>
          <w:b/>
          <w:sz w:val="36"/>
          <w:szCs w:val="36"/>
        </w:rPr>
      </w:r>
      <w:r w:rsidR="00723C1D">
        <w:rPr>
          <w:b/>
          <w:sz w:val="36"/>
          <w:szCs w:val="36"/>
        </w:rPr>
        <w:fldChar w:fldCharType="separate"/>
      </w:r>
      <w:r w:rsidR="00723C1D" w:rsidRPr="009937F9">
        <w:rPr>
          <w:b/>
          <w:noProof/>
          <w:sz w:val="36"/>
          <w:szCs w:val="36"/>
          <w:lang w:val="nl-NL"/>
        </w:rPr>
        <w:t>9</w:t>
      </w:r>
      <w:r w:rsidR="00723C1D">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23C1D" w:rsidRPr="00723C1D" w:rsidRDefault="00723C1D" w:rsidP="00657565">
      <w:pPr>
        <w:widowControl/>
        <w:spacing w:after="240"/>
        <w:jc w:val="both"/>
        <w:rPr>
          <w:rFonts w:ascii="Palatino Linotype" w:hAnsi="Palatino Linotype"/>
          <w:b/>
          <w:snapToGrid/>
          <w:szCs w:val="24"/>
          <w:lang w:val="nl-NL"/>
        </w:rPr>
      </w:pPr>
      <w:r w:rsidRPr="00723C1D">
        <w:rPr>
          <w:rFonts w:ascii="Palatino Linotype" w:hAnsi="Palatino Linotype"/>
          <w:b/>
          <w:snapToGrid/>
          <w:szCs w:val="24"/>
          <w:lang w:val="nl-NL"/>
        </w:rPr>
        <w:t>LANDSBESLUIT, HOUDENDE ALGEMENE MAATREGELEN, van de 12</w:t>
      </w:r>
      <w:r w:rsidRPr="00723C1D">
        <w:rPr>
          <w:rFonts w:ascii="Palatino Linotype" w:hAnsi="Palatino Linotype"/>
          <w:b/>
          <w:snapToGrid/>
          <w:szCs w:val="24"/>
          <w:vertAlign w:val="superscript"/>
          <w:lang w:val="nl-NL"/>
        </w:rPr>
        <w:t>de</w:t>
      </w:r>
      <w:r w:rsidRPr="00723C1D">
        <w:rPr>
          <w:rFonts w:ascii="Palatino Linotype" w:hAnsi="Palatino Linotype"/>
          <w:b/>
          <w:snapToGrid/>
          <w:szCs w:val="24"/>
          <w:lang w:val="nl-NL"/>
        </w:rPr>
        <w:t xml:space="preserve"> februari 2025 tot wijziging van het </w:t>
      </w:r>
      <w:proofErr w:type="spellStart"/>
      <w:r w:rsidRPr="00723C1D">
        <w:rPr>
          <w:rFonts w:ascii="Palatino Linotype" w:hAnsi="Palatino Linotype"/>
          <w:b/>
          <w:snapToGrid/>
          <w:szCs w:val="24"/>
          <w:lang w:val="nl-NL"/>
        </w:rPr>
        <w:t>Eilandsbesluit</w:t>
      </w:r>
      <w:proofErr w:type="spellEnd"/>
      <w:r w:rsidRPr="00723C1D">
        <w:rPr>
          <w:rFonts w:ascii="Palatino Linotype" w:hAnsi="Palatino Linotype"/>
          <w:b/>
          <w:snapToGrid/>
          <w:szCs w:val="24"/>
          <w:lang w:val="nl-NL"/>
        </w:rPr>
        <w:t xml:space="preserve"> aanwijzing havenfaciliteiten (Landsbesluit aanwijzing Curaçao </w:t>
      </w:r>
      <w:proofErr w:type="spellStart"/>
      <w:r w:rsidRPr="00723C1D">
        <w:rPr>
          <w:rFonts w:ascii="Palatino Linotype" w:hAnsi="Palatino Linotype"/>
          <w:b/>
          <w:snapToGrid/>
          <w:szCs w:val="24"/>
          <w:lang w:val="nl-NL"/>
        </w:rPr>
        <w:t>Refinery</w:t>
      </w:r>
      <w:proofErr w:type="spellEnd"/>
      <w:r w:rsidRPr="00723C1D">
        <w:rPr>
          <w:rFonts w:ascii="Palatino Linotype" w:hAnsi="Palatino Linotype"/>
          <w:b/>
          <w:snapToGrid/>
          <w:szCs w:val="24"/>
          <w:lang w:val="nl-NL"/>
        </w:rPr>
        <w:t xml:space="preserve"> Utilities B.V. als havenfaciliteit)</w:t>
      </w:r>
    </w:p>
    <w:p w:rsidR="00723C1D" w:rsidRPr="00723C1D" w:rsidRDefault="00657565" w:rsidP="00657565">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723C1D" w:rsidRPr="00723C1D" w:rsidRDefault="00723C1D" w:rsidP="00657565">
      <w:pPr>
        <w:widowControl/>
        <w:spacing w:line="240" w:lineRule="exact"/>
        <w:jc w:val="center"/>
        <w:rPr>
          <w:rFonts w:ascii="Palatino Linotype" w:hAnsi="Palatino Linotype"/>
          <w:snapToGrid/>
          <w:sz w:val="22"/>
          <w:szCs w:val="22"/>
          <w:lang w:val="nl-NL"/>
        </w:rPr>
      </w:pPr>
    </w:p>
    <w:p w:rsidR="00723C1D" w:rsidRPr="00723C1D" w:rsidRDefault="00723C1D" w:rsidP="00723C1D">
      <w:pPr>
        <w:widowControl/>
        <w:suppressAutoHyphens/>
        <w:jc w:val="center"/>
        <w:rPr>
          <w:rFonts w:ascii="Palatino Linotype" w:hAnsi="Palatino Linotype"/>
          <w:snapToGrid/>
          <w:spacing w:val="-3"/>
          <w:sz w:val="22"/>
          <w:szCs w:val="22"/>
          <w:lang w:val="nl-NL"/>
        </w:rPr>
      </w:pPr>
      <w:r w:rsidRPr="00723C1D">
        <w:rPr>
          <w:rFonts w:ascii="Palatino Linotype" w:hAnsi="Palatino Linotype"/>
          <w:snapToGrid/>
          <w:spacing w:val="-3"/>
          <w:sz w:val="22"/>
          <w:szCs w:val="22"/>
          <w:lang w:val="nl-NL"/>
        </w:rPr>
        <w:t>In  naam  van de  Koning!</w:t>
      </w:r>
    </w:p>
    <w:p w:rsidR="00723C1D" w:rsidRDefault="00657565" w:rsidP="00723C1D">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657565" w:rsidRPr="00723C1D" w:rsidRDefault="00657565" w:rsidP="00657565">
      <w:pPr>
        <w:widowControl/>
        <w:suppressAutoHyphens/>
        <w:spacing w:line="240" w:lineRule="exact"/>
        <w:jc w:val="center"/>
        <w:rPr>
          <w:rFonts w:ascii="Palatino Linotype" w:hAnsi="Palatino Linotype"/>
          <w:snapToGrid/>
          <w:spacing w:val="-3"/>
          <w:sz w:val="22"/>
          <w:szCs w:val="22"/>
          <w:lang w:val="nl-NL"/>
        </w:rPr>
      </w:pPr>
    </w:p>
    <w:p w:rsidR="00723C1D" w:rsidRPr="00723C1D" w:rsidRDefault="00723C1D" w:rsidP="00723C1D">
      <w:pPr>
        <w:widowControl/>
        <w:suppressAutoHyphens/>
        <w:jc w:val="center"/>
        <w:rPr>
          <w:rFonts w:ascii="Palatino Linotype" w:hAnsi="Palatino Linotype"/>
          <w:snapToGrid/>
          <w:spacing w:val="-3"/>
          <w:sz w:val="22"/>
          <w:szCs w:val="22"/>
          <w:lang w:val="nl-NL"/>
        </w:rPr>
      </w:pPr>
      <w:r w:rsidRPr="00723C1D">
        <w:rPr>
          <w:rFonts w:ascii="Palatino Linotype" w:hAnsi="Palatino Linotype"/>
          <w:snapToGrid/>
          <w:spacing w:val="-3"/>
          <w:sz w:val="22"/>
          <w:szCs w:val="22"/>
          <w:lang w:val="nl-NL"/>
        </w:rPr>
        <w:t>De  Gouverneur  van  Curaçao,</w:t>
      </w:r>
    </w:p>
    <w:p w:rsidR="00723C1D" w:rsidRPr="00723C1D" w:rsidRDefault="00723C1D" w:rsidP="00723C1D">
      <w:pPr>
        <w:widowControl/>
        <w:jc w:val="center"/>
        <w:rPr>
          <w:rFonts w:ascii="Palatino Linotype" w:hAnsi="Palatino Linotype"/>
          <w:snapToGrid/>
          <w:sz w:val="22"/>
          <w:szCs w:val="22"/>
          <w:lang w:val="nl-NL"/>
        </w:rPr>
      </w:pPr>
    </w:p>
    <w:p w:rsidR="00723C1D" w:rsidRPr="00723C1D" w:rsidRDefault="00723C1D" w:rsidP="00723C1D">
      <w:pPr>
        <w:widowControl/>
        <w:jc w:val="both"/>
        <w:rPr>
          <w:rFonts w:ascii="Palatino Linotype" w:hAnsi="Palatino Linotype"/>
          <w:snapToGrid/>
          <w:sz w:val="22"/>
          <w:szCs w:val="22"/>
          <w:lang w:val="nl-NL"/>
        </w:rPr>
      </w:pPr>
    </w:p>
    <w:p w:rsidR="00723C1D" w:rsidRPr="00723C1D" w:rsidRDefault="00723C1D" w:rsidP="00723C1D">
      <w:pPr>
        <w:widowControl/>
        <w:jc w:val="both"/>
        <w:rPr>
          <w:rFonts w:ascii="Palatino Linotype" w:hAnsi="Palatino Linotype"/>
          <w:snapToGrid/>
          <w:sz w:val="22"/>
          <w:szCs w:val="22"/>
          <w:lang w:val="nl-NL"/>
        </w:rPr>
      </w:pPr>
    </w:p>
    <w:p w:rsidR="00723C1D" w:rsidRPr="00723C1D" w:rsidRDefault="00723C1D" w:rsidP="00723C1D">
      <w:pPr>
        <w:widowControl/>
        <w:tabs>
          <w:tab w:val="left" w:pos="567"/>
        </w:tabs>
        <w:ind w:left="567" w:hanging="567"/>
        <w:rPr>
          <w:rFonts w:ascii="Palatino Linotype" w:hAnsi="Palatino Linotype"/>
          <w:snapToGrid/>
          <w:sz w:val="22"/>
          <w:szCs w:val="22"/>
          <w:lang w:val="nl-NL"/>
        </w:rPr>
      </w:pPr>
      <w:r w:rsidRPr="00723C1D">
        <w:rPr>
          <w:rFonts w:ascii="Palatino Linotype" w:hAnsi="Palatino Linotype"/>
          <w:snapToGrid/>
          <w:sz w:val="22"/>
          <w:szCs w:val="22"/>
          <w:lang w:val="nl-NL"/>
        </w:rPr>
        <w:t>In overweging genomen hebbende:</w:t>
      </w:r>
    </w:p>
    <w:p w:rsidR="00723C1D" w:rsidRPr="00723C1D" w:rsidRDefault="00723C1D" w:rsidP="00723C1D">
      <w:pPr>
        <w:keepNext/>
        <w:widowControl/>
        <w:jc w:val="both"/>
        <w:outlineLvl w:val="0"/>
        <w:rPr>
          <w:rFonts w:ascii="Palatino Linotype" w:hAnsi="Palatino Linotype"/>
          <w:snapToGrid/>
          <w:sz w:val="22"/>
          <w:szCs w:val="22"/>
          <w:lang w:val="nl-NL"/>
        </w:rPr>
      </w:pPr>
    </w:p>
    <w:p w:rsidR="00723C1D" w:rsidRPr="00723C1D" w:rsidRDefault="00723C1D" w:rsidP="00723C1D">
      <w:pPr>
        <w:keepNext/>
        <w:widowControl/>
        <w:jc w:val="both"/>
        <w:outlineLvl w:val="0"/>
        <w:rPr>
          <w:rFonts w:ascii="Palatino Linotype" w:hAnsi="Palatino Linotype"/>
          <w:snapToGrid/>
          <w:sz w:val="22"/>
          <w:szCs w:val="22"/>
          <w:lang w:val="nl-NL"/>
        </w:rPr>
      </w:pPr>
      <w:r w:rsidRPr="00723C1D">
        <w:rPr>
          <w:rFonts w:ascii="Palatino Linotype" w:hAnsi="Palatino Linotype"/>
          <w:snapToGrid/>
          <w:sz w:val="22"/>
          <w:szCs w:val="22"/>
          <w:lang w:val="nl-NL"/>
        </w:rPr>
        <w:t xml:space="preserve">dat Curaçao </w:t>
      </w:r>
      <w:proofErr w:type="spellStart"/>
      <w:r w:rsidRPr="00723C1D">
        <w:rPr>
          <w:rFonts w:ascii="Palatino Linotype" w:hAnsi="Palatino Linotype"/>
          <w:snapToGrid/>
          <w:sz w:val="22"/>
          <w:szCs w:val="22"/>
          <w:lang w:val="nl-NL"/>
        </w:rPr>
        <w:t>Refinery</w:t>
      </w:r>
      <w:proofErr w:type="spellEnd"/>
      <w:r w:rsidRPr="00723C1D">
        <w:rPr>
          <w:rFonts w:ascii="Palatino Linotype" w:hAnsi="Palatino Linotype"/>
          <w:snapToGrid/>
          <w:sz w:val="22"/>
          <w:szCs w:val="22"/>
          <w:lang w:val="nl-NL"/>
        </w:rPr>
        <w:t xml:space="preserve"> Utilities B.V. vanwege het aflopen van het contract tussen </w:t>
      </w:r>
      <w:proofErr w:type="spellStart"/>
      <w:r w:rsidRPr="00723C1D">
        <w:rPr>
          <w:rFonts w:ascii="Palatino Linotype" w:hAnsi="Palatino Linotype"/>
          <w:snapToGrid/>
          <w:sz w:val="22"/>
          <w:szCs w:val="22"/>
          <w:lang w:val="nl-NL"/>
        </w:rPr>
        <w:t>Refineria</w:t>
      </w:r>
      <w:proofErr w:type="spellEnd"/>
      <w:r w:rsidRPr="00723C1D">
        <w:rPr>
          <w:rFonts w:ascii="Palatino Linotype" w:hAnsi="Palatino Linotype"/>
          <w:snapToGrid/>
          <w:sz w:val="22"/>
          <w:szCs w:val="22"/>
          <w:lang w:val="nl-NL"/>
        </w:rPr>
        <w:t xml:space="preserve"> di </w:t>
      </w:r>
      <w:proofErr w:type="spellStart"/>
      <w:r w:rsidRPr="00723C1D">
        <w:rPr>
          <w:rFonts w:ascii="Palatino Linotype" w:hAnsi="Palatino Linotype"/>
          <w:snapToGrid/>
          <w:sz w:val="22"/>
          <w:szCs w:val="22"/>
          <w:lang w:val="nl-NL"/>
        </w:rPr>
        <w:t>Korsou</w:t>
      </w:r>
      <w:proofErr w:type="spellEnd"/>
      <w:r w:rsidRPr="00723C1D">
        <w:rPr>
          <w:rFonts w:ascii="Palatino Linotype" w:hAnsi="Palatino Linotype"/>
          <w:snapToGrid/>
          <w:sz w:val="22"/>
          <w:szCs w:val="22"/>
          <w:lang w:val="nl-NL"/>
        </w:rPr>
        <w:t xml:space="preserve"> N.V. en </w:t>
      </w:r>
      <w:proofErr w:type="spellStart"/>
      <w:r w:rsidRPr="00723C1D">
        <w:rPr>
          <w:rFonts w:ascii="Palatino Linotype" w:hAnsi="Palatino Linotype"/>
          <w:snapToGrid/>
          <w:sz w:val="22"/>
          <w:szCs w:val="22"/>
          <w:lang w:val="nl-NL"/>
        </w:rPr>
        <w:t>Petroleos</w:t>
      </w:r>
      <w:proofErr w:type="spellEnd"/>
      <w:r w:rsidRPr="00723C1D">
        <w:rPr>
          <w:rFonts w:ascii="Palatino Linotype" w:hAnsi="Palatino Linotype"/>
          <w:snapToGrid/>
          <w:sz w:val="22"/>
          <w:szCs w:val="22"/>
          <w:lang w:val="nl-NL"/>
        </w:rPr>
        <w:t xml:space="preserve"> de Venezuela S.A. inzake de exploitatie van de olieraffinaderij, met ingang van 15 januari 2020 tijdelijk belast is met de operatie, het onderhoud en de beveiliging in de haven van het </w:t>
      </w:r>
      <w:proofErr w:type="spellStart"/>
      <w:r w:rsidRPr="00723C1D">
        <w:rPr>
          <w:rFonts w:ascii="Palatino Linotype" w:hAnsi="Palatino Linotype"/>
          <w:snapToGrid/>
          <w:sz w:val="22"/>
          <w:szCs w:val="22"/>
          <w:lang w:val="nl-NL"/>
        </w:rPr>
        <w:t>Schottegat</w:t>
      </w:r>
      <w:proofErr w:type="spellEnd"/>
      <w:r w:rsidRPr="00723C1D">
        <w:rPr>
          <w:rFonts w:ascii="Palatino Linotype" w:hAnsi="Palatino Linotype"/>
          <w:snapToGrid/>
          <w:sz w:val="22"/>
          <w:szCs w:val="22"/>
          <w:lang w:val="nl-NL"/>
        </w:rPr>
        <w:t xml:space="preserve"> bij de olieraffinaderij en de haven van Bullenbaai;</w:t>
      </w:r>
    </w:p>
    <w:p w:rsidR="00723C1D" w:rsidRPr="00723C1D" w:rsidRDefault="00723C1D" w:rsidP="00723C1D">
      <w:pPr>
        <w:widowControl/>
        <w:jc w:val="both"/>
        <w:rPr>
          <w:rFonts w:ascii="Palatino Linotype" w:hAnsi="Palatino Linotype"/>
          <w:snapToGrid/>
          <w:sz w:val="22"/>
          <w:szCs w:val="22"/>
          <w:lang w:val="nl-NL"/>
        </w:rPr>
      </w:pPr>
    </w:p>
    <w:p w:rsidR="00723C1D" w:rsidRPr="00723C1D" w:rsidRDefault="00723C1D" w:rsidP="00723C1D">
      <w:pPr>
        <w:widowControl/>
        <w:jc w:val="both"/>
        <w:rPr>
          <w:rFonts w:ascii="Palatino Linotype" w:hAnsi="Palatino Linotype"/>
          <w:snapToGrid/>
          <w:sz w:val="22"/>
          <w:szCs w:val="22"/>
          <w:lang w:val="nl-NL"/>
        </w:rPr>
      </w:pPr>
      <w:r w:rsidRPr="00723C1D">
        <w:rPr>
          <w:rFonts w:ascii="Palatino Linotype" w:hAnsi="Palatino Linotype"/>
          <w:snapToGrid/>
          <w:sz w:val="22"/>
          <w:szCs w:val="22"/>
          <w:lang w:val="nl-NL"/>
        </w:rPr>
        <w:t>dat krachtens artikel 3, eerste lid, van het Tijdelijk Havenbeveiligingsbesluit bij landsbesluit, houdende algemene maatregelen, havenfaciliteiten worden aangewezen;</w:t>
      </w:r>
    </w:p>
    <w:p w:rsidR="00723C1D" w:rsidRPr="00723C1D" w:rsidRDefault="00723C1D" w:rsidP="00723C1D">
      <w:pPr>
        <w:widowControl/>
        <w:jc w:val="both"/>
        <w:rPr>
          <w:rFonts w:ascii="Palatino Linotype" w:hAnsi="Palatino Linotype"/>
          <w:snapToGrid/>
          <w:sz w:val="22"/>
          <w:szCs w:val="22"/>
          <w:lang w:val="nl-NL"/>
        </w:rPr>
      </w:pPr>
    </w:p>
    <w:p w:rsidR="00723C1D" w:rsidRPr="00723C1D" w:rsidRDefault="00723C1D" w:rsidP="00723C1D">
      <w:pPr>
        <w:widowControl/>
        <w:jc w:val="both"/>
        <w:rPr>
          <w:rFonts w:ascii="Palatino Linotype" w:hAnsi="Palatino Linotype"/>
          <w:snapToGrid/>
          <w:sz w:val="22"/>
          <w:szCs w:val="22"/>
          <w:lang w:val="nl-NL"/>
        </w:rPr>
      </w:pPr>
      <w:r w:rsidRPr="00723C1D">
        <w:rPr>
          <w:rFonts w:ascii="Palatino Linotype" w:hAnsi="Palatino Linotype"/>
          <w:snapToGrid/>
          <w:sz w:val="22"/>
          <w:szCs w:val="22"/>
          <w:lang w:val="nl-NL"/>
        </w:rPr>
        <w:t xml:space="preserve">dat het wenselijk is om Curaçao </w:t>
      </w:r>
      <w:proofErr w:type="spellStart"/>
      <w:r w:rsidRPr="00723C1D">
        <w:rPr>
          <w:rFonts w:ascii="Palatino Linotype" w:hAnsi="Palatino Linotype"/>
          <w:snapToGrid/>
          <w:sz w:val="22"/>
          <w:szCs w:val="22"/>
          <w:lang w:val="nl-NL"/>
        </w:rPr>
        <w:t>Refinery</w:t>
      </w:r>
      <w:proofErr w:type="spellEnd"/>
      <w:r w:rsidRPr="00723C1D">
        <w:rPr>
          <w:rFonts w:ascii="Palatino Linotype" w:hAnsi="Palatino Linotype"/>
          <w:snapToGrid/>
          <w:sz w:val="22"/>
          <w:szCs w:val="22"/>
          <w:lang w:val="nl-NL"/>
        </w:rPr>
        <w:t xml:space="preserve"> Utilities B.V. met terugwerkende kracht aan te wijzen als havenfaciliteit, teneinde te voldoen aan de betreffende voorschriften overeenkomstig de International </w:t>
      </w:r>
      <w:proofErr w:type="spellStart"/>
      <w:r w:rsidRPr="00723C1D">
        <w:rPr>
          <w:rFonts w:ascii="Palatino Linotype" w:hAnsi="Palatino Linotype"/>
          <w:snapToGrid/>
          <w:sz w:val="22"/>
          <w:szCs w:val="22"/>
          <w:lang w:val="nl-NL"/>
        </w:rPr>
        <w:t>Ship</w:t>
      </w:r>
      <w:proofErr w:type="spellEnd"/>
      <w:r w:rsidRPr="00723C1D">
        <w:rPr>
          <w:rFonts w:ascii="Palatino Linotype" w:hAnsi="Palatino Linotype"/>
          <w:snapToGrid/>
          <w:sz w:val="22"/>
          <w:szCs w:val="22"/>
          <w:lang w:val="nl-NL"/>
        </w:rPr>
        <w:t xml:space="preserve"> </w:t>
      </w:r>
      <w:proofErr w:type="spellStart"/>
      <w:r w:rsidRPr="00723C1D">
        <w:rPr>
          <w:rFonts w:ascii="Palatino Linotype" w:hAnsi="Palatino Linotype"/>
          <w:snapToGrid/>
          <w:sz w:val="22"/>
          <w:szCs w:val="22"/>
          <w:lang w:val="nl-NL"/>
        </w:rPr>
        <w:t>and</w:t>
      </w:r>
      <w:proofErr w:type="spellEnd"/>
      <w:r w:rsidRPr="00723C1D">
        <w:rPr>
          <w:rFonts w:ascii="Palatino Linotype" w:hAnsi="Palatino Linotype"/>
          <w:snapToGrid/>
          <w:sz w:val="22"/>
          <w:szCs w:val="22"/>
          <w:lang w:val="nl-NL"/>
        </w:rPr>
        <w:t xml:space="preserve"> Port Facility Code (ISPS-code);</w:t>
      </w:r>
    </w:p>
    <w:p w:rsidR="00723C1D" w:rsidRPr="00723C1D" w:rsidRDefault="00723C1D" w:rsidP="00723C1D">
      <w:pPr>
        <w:widowControl/>
        <w:jc w:val="both"/>
        <w:rPr>
          <w:rFonts w:ascii="Palatino Linotype" w:hAnsi="Palatino Linotype"/>
          <w:snapToGrid/>
          <w:sz w:val="22"/>
          <w:szCs w:val="22"/>
          <w:lang w:val="nl-NL"/>
        </w:rPr>
      </w:pPr>
    </w:p>
    <w:p w:rsidR="00723C1D" w:rsidRPr="00723C1D" w:rsidRDefault="00723C1D" w:rsidP="00723C1D">
      <w:pPr>
        <w:widowControl/>
        <w:jc w:val="both"/>
        <w:rPr>
          <w:rFonts w:ascii="Palatino Linotype" w:hAnsi="Palatino Linotype"/>
          <w:snapToGrid/>
          <w:sz w:val="22"/>
          <w:szCs w:val="22"/>
          <w:lang w:val="nl-NL"/>
        </w:rPr>
      </w:pPr>
      <w:r w:rsidRPr="00723C1D">
        <w:rPr>
          <w:rFonts w:ascii="Palatino Linotype" w:hAnsi="Palatino Linotype"/>
          <w:snapToGrid/>
          <w:sz w:val="22"/>
          <w:szCs w:val="22"/>
          <w:lang w:val="nl-NL"/>
        </w:rPr>
        <w:t>Heeft, de Raad van Advies gehoord, besloten:</w:t>
      </w:r>
    </w:p>
    <w:p w:rsidR="00723C1D" w:rsidRDefault="00723C1D" w:rsidP="00723C1D">
      <w:pPr>
        <w:widowControl/>
        <w:tabs>
          <w:tab w:val="right" w:leader="dot" w:pos="-1728"/>
          <w:tab w:val="left" w:pos="0"/>
        </w:tabs>
        <w:rPr>
          <w:rFonts w:ascii="Palatino Linotype" w:hAnsi="Palatino Linotype"/>
          <w:snapToGrid/>
          <w:sz w:val="22"/>
          <w:szCs w:val="22"/>
          <w:lang w:val="nl-NL"/>
        </w:rPr>
      </w:pPr>
    </w:p>
    <w:p w:rsidR="00657565" w:rsidRPr="00723C1D" w:rsidRDefault="00657565" w:rsidP="00723C1D">
      <w:pPr>
        <w:widowControl/>
        <w:tabs>
          <w:tab w:val="right" w:leader="dot" w:pos="-1728"/>
          <w:tab w:val="left" w:pos="0"/>
        </w:tabs>
        <w:rPr>
          <w:rFonts w:ascii="Palatino Linotype" w:hAnsi="Palatino Linotype"/>
          <w:snapToGrid/>
          <w:sz w:val="22"/>
          <w:szCs w:val="22"/>
          <w:lang w:val="nl-NL"/>
        </w:rPr>
      </w:pPr>
    </w:p>
    <w:p w:rsidR="00723C1D" w:rsidRPr="00723C1D" w:rsidRDefault="00723C1D" w:rsidP="00723C1D">
      <w:pPr>
        <w:widowControl/>
        <w:tabs>
          <w:tab w:val="right" w:leader="dot" w:pos="-1728"/>
          <w:tab w:val="left" w:pos="0"/>
        </w:tabs>
        <w:rPr>
          <w:rFonts w:ascii="Palatino Linotype" w:hAnsi="Palatino Linotype"/>
          <w:snapToGrid/>
          <w:sz w:val="22"/>
          <w:szCs w:val="22"/>
          <w:lang w:val="nl-NL"/>
        </w:rPr>
      </w:pPr>
      <w:r w:rsidRPr="00723C1D">
        <w:rPr>
          <w:rFonts w:ascii="Palatino Linotype" w:hAnsi="Palatino Linotype"/>
          <w:snapToGrid/>
          <w:sz w:val="22"/>
          <w:szCs w:val="22"/>
          <w:lang w:val="nl-NL"/>
        </w:rPr>
        <w:t>Artikel I</w:t>
      </w:r>
    </w:p>
    <w:p w:rsidR="00723C1D" w:rsidRPr="00723C1D" w:rsidRDefault="00723C1D" w:rsidP="00723C1D">
      <w:pPr>
        <w:widowControl/>
        <w:tabs>
          <w:tab w:val="right" w:leader="dot" w:pos="-1728"/>
          <w:tab w:val="left" w:pos="0"/>
        </w:tabs>
        <w:rPr>
          <w:rFonts w:ascii="Palatino Linotype" w:hAnsi="Palatino Linotype"/>
          <w:snapToGrid/>
          <w:sz w:val="22"/>
          <w:szCs w:val="22"/>
          <w:lang w:val="nl-NL"/>
        </w:rPr>
      </w:pPr>
    </w:p>
    <w:p w:rsidR="00723C1D" w:rsidRPr="00723C1D" w:rsidRDefault="00723C1D" w:rsidP="00723C1D">
      <w:pPr>
        <w:widowControl/>
        <w:tabs>
          <w:tab w:val="right" w:leader="dot" w:pos="-1728"/>
          <w:tab w:val="left" w:pos="0"/>
        </w:tabs>
        <w:rPr>
          <w:rFonts w:ascii="Palatino Linotype" w:hAnsi="Palatino Linotype"/>
          <w:snapToGrid/>
          <w:sz w:val="22"/>
          <w:szCs w:val="22"/>
          <w:lang w:val="nl-NL"/>
        </w:rPr>
      </w:pPr>
      <w:r w:rsidRPr="00723C1D">
        <w:rPr>
          <w:rFonts w:ascii="Palatino Linotype" w:hAnsi="Palatino Linotype" w:cs="Arial"/>
          <w:snapToGrid/>
          <w:sz w:val="22"/>
          <w:szCs w:val="22"/>
          <w:lang w:val="nl-NL"/>
        </w:rPr>
        <w:t xml:space="preserve">Artikel 1, onderdeel 5, van het </w:t>
      </w:r>
      <w:bookmarkStart w:id="1" w:name="_Hlk181617617"/>
      <w:proofErr w:type="spellStart"/>
      <w:r w:rsidRPr="00723C1D">
        <w:rPr>
          <w:rFonts w:ascii="Palatino Linotype" w:hAnsi="Palatino Linotype"/>
          <w:snapToGrid/>
          <w:szCs w:val="24"/>
          <w:lang w:val="nl-NL"/>
        </w:rPr>
        <w:t>Eilandsbesluit</w:t>
      </w:r>
      <w:proofErr w:type="spellEnd"/>
      <w:r w:rsidRPr="00723C1D">
        <w:rPr>
          <w:rFonts w:ascii="Palatino Linotype" w:hAnsi="Palatino Linotype"/>
          <w:snapToGrid/>
          <w:sz w:val="22"/>
          <w:szCs w:val="22"/>
          <w:lang w:val="nl-NL"/>
        </w:rPr>
        <w:t xml:space="preserve"> aanwijzing havenfaciliteiten</w:t>
      </w:r>
      <w:bookmarkEnd w:id="1"/>
      <w:r w:rsidRPr="00723C1D">
        <w:rPr>
          <w:rFonts w:ascii="Palatino Linotype" w:hAnsi="Palatino Linotype"/>
          <w:snapToGrid/>
          <w:sz w:val="22"/>
          <w:szCs w:val="22"/>
          <w:vertAlign w:val="superscript"/>
          <w:lang w:val="nl-NL"/>
        </w:rPr>
        <w:footnoteReference w:id="1"/>
      </w:r>
      <w:r w:rsidRPr="00723C1D">
        <w:rPr>
          <w:rFonts w:ascii="Palatino Linotype" w:hAnsi="Palatino Linotype"/>
          <w:snapToGrid/>
          <w:sz w:val="22"/>
          <w:szCs w:val="22"/>
          <w:lang w:val="nl-NL"/>
        </w:rPr>
        <w:t xml:space="preserve"> </w:t>
      </w:r>
      <w:r w:rsidRPr="00723C1D">
        <w:rPr>
          <w:rFonts w:ascii="Palatino Linotype" w:hAnsi="Palatino Linotype" w:cs="Arial"/>
          <w:snapToGrid/>
          <w:sz w:val="22"/>
          <w:szCs w:val="22"/>
          <w:lang w:val="nl-NL"/>
        </w:rPr>
        <w:t>komt te luiden</w:t>
      </w:r>
      <w:r w:rsidRPr="00723C1D">
        <w:rPr>
          <w:rFonts w:ascii="Palatino Linotype" w:hAnsi="Palatino Linotype"/>
          <w:snapToGrid/>
          <w:sz w:val="22"/>
          <w:szCs w:val="22"/>
          <w:lang w:val="nl-NL"/>
        </w:rPr>
        <w:t xml:space="preserve"> als volgt:</w:t>
      </w:r>
    </w:p>
    <w:p w:rsidR="00723C1D" w:rsidRPr="00723C1D" w:rsidRDefault="00723C1D" w:rsidP="00723C1D">
      <w:pPr>
        <w:widowControl/>
        <w:tabs>
          <w:tab w:val="right" w:leader="dot" w:pos="-1728"/>
          <w:tab w:val="left" w:pos="0"/>
        </w:tabs>
        <w:rPr>
          <w:rFonts w:ascii="Palatino Linotype" w:hAnsi="Palatino Linotype"/>
          <w:snapToGrid/>
          <w:sz w:val="22"/>
          <w:szCs w:val="22"/>
          <w:lang w:val="nl-NL"/>
        </w:rPr>
      </w:pPr>
    </w:p>
    <w:p w:rsidR="00723C1D" w:rsidRPr="00723C1D" w:rsidRDefault="00723C1D" w:rsidP="00723C1D">
      <w:pPr>
        <w:widowControl/>
        <w:suppressAutoHyphens/>
        <w:ind w:left="360" w:hanging="360"/>
        <w:rPr>
          <w:rFonts w:ascii="Palatino Linotype" w:hAnsi="Palatino Linotype"/>
          <w:snapToGrid/>
          <w:sz w:val="22"/>
          <w:szCs w:val="22"/>
        </w:rPr>
      </w:pPr>
      <w:r w:rsidRPr="00723C1D">
        <w:rPr>
          <w:rFonts w:ascii="Palatino Linotype" w:hAnsi="Palatino Linotype"/>
          <w:snapToGrid/>
          <w:sz w:val="22"/>
          <w:szCs w:val="22"/>
        </w:rPr>
        <w:t>5.</w:t>
      </w:r>
      <w:r w:rsidRPr="00723C1D">
        <w:rPr>
          <w:rFonts w:ascii="Palatino Linotype" w:hAnsi="Palatino Linotype"/>
          <w:snapToGrid/>
          <w:sz w:val="22"/>
          <w:szCs w:val="22"/>
        </w:rPr>
        <w:tab/>
        <w:t>Curaçao Refinery Utilities B.V.;</w:t>
      </w:r>
    </w:p>
    <w:p w:rsidR="00657565" w:rsidRDefault="00657565">
      <w:pPr>
        <w:widowControl/>
        <w:rPr>
          <w:rFonts w:ascii="Palatino Linotype" w:hAnsi="Palatino Linotype"/>
          <w:snapToGrid/>
          <w:sz w:val="22"/>
          <w:szCs w:val="22"/>
        </w:rPr>
      </w:pPr>
      <w:r>
        <w:rPr>
          <w:rFonts w:ascii="Palatino Linotype" w:hAnsi="Palatino Linotype"/>
          <w:snapToGrid/>
          <w:sz w:val="22"/>
          <w:szCs w:val="22"/>
        </w:rPr>
        <w:br w:type="page"/>
      </w:r>
    </w:p>
    <w:p w:rsidR="00723C1D" w:rsidRDefault="00723C1D" w:rsidP="00723C1D">
      <w:pPr>
        <w:widowControl/>
        <w:suppressAutoHyphens/>
        <w:rPr>
          <w:rFonts w:ascii="Palatino Linotype" w:hAnsi="Palatino Linotype"/>
          <w:snapToGrid/>
          <w:sz w:val="22"/>
          <w:szCs w:val="22"/>
        </w:rPr>
      </w:pPr>
    </w:p>
    <w:p w:rsidR="00657565" w:rsidRPr="00723C1D" w:rsidRDefault="00657565" w:rsidP="00723C1D">
      <w:pPr>
        <w:widowControl/>
        <w:suppressAutoHyphens/>
        <w:rPr>
          <w:rFonts w:ascii="Palatino Linotype" w:hAnsi="Palatino Linotype"/>
          <w:snapToGrid/>
          <w:sz w:val="22"/>
          <w:szCs w:val="22"/>
        </w:rPr>
      </w:pPr>
    </w:p>
    <w:p w:rsidR="00723C1D" w:rsidRPr="00723C1D" w:rsidRDefault="00723C1D" w:rsidP="00723C1D">
      <w:pPr>
        <w:widowControl/>
        <w:tabs>
          <w:tab w:val="right" w:leader="dot" w:pos="-1728"/>
          <w:tab w:val="left" w:pos="0"/>
        </w:tabs>
        <w:rPr>
          <w:rFonts w:ascii="Palatino Linotype" w:hAnsi="Palatino Linotype"/>
          <w:snapToGrid/>
          <w:sz w:val="22"/>
          <w:szCs w:val="22"/>
          <w:lang w:val="nl-NL"/>
        </w:rPr>
      </w:pPr>
      <w:r w:rsidRPr="00723C1D">
        <w:rPr>
          <w:rFonts w:ascii="Palatino Linotype" w:hAnsi="Palatino Linotype"/>
          <w:snapToGrid/>
          <w:sz w:val="22"/>
          <w:szCs w:val="22"/>
          <w:lang w:val="nl-NL"/>
        </w:rPr>
        <w:t>Artikel II</w:t>
      </w:r>
    </w:p>
    <w:p w:rsidR="00723C1D" w:rsidRPr="00723C1D" w:rsidRDefault="00723C1D" w:rsidP="00723C1D">
      <w:pPr>
        <w:widowControl/>
        <w:suppressAutoHyphens/>
        <w:rPr>
          <w:rFonts w:ascii="Palatino Linotype" w:hAnsi="Palatino Linotype"/>
          <w:snapToGrid/>
          <w:sz w:val="22"/>
          <w:szCs w:val="22"/>
          <w:lang w:val="nl-NL"/>
        </w:rPr>
      </w:pPr>
    </w:p>
    <w:p w:rsidR="00723C1D" w:rsidRPr="00723C1D" w:rsidRDefault="00723C1D" w:rsidP="00723C1D">
      <w:pPr>
        <w:widowControl/>
        <w:jc w:val="both"/>
        <w:rPr>
          <w:rFonts w:ascii="Palatino Linotype" w:hAnsi="Palatino Linotype"/>
          <w:snapToGrid/>
          <w:sz w:val="22"/>
          <w:szCs w:val="22"/>
          <w:lang w:val="nl-NL"/>
        </w:rPr>
      </w:pPr>
      <w:r w:rsidRPr="00723C1D">
        <w:rPr>
          <w:rFonts w:ascii="Palatino Linotype" w:hAnsi="Palatino Linotype"/>
          <w:snapToGrid/>
          <w:sz w:val="22"/>
          <w:szCs w:val="22"/>
          <w:lang w:val="nl-NL"/>
        </w:rPr>
        <w:t>Dit landsbesluit treedt in werking met ingang van de dag na de datum van bekendmaking en werkt terug tot en met 15 januari 2020.</w:t>
      </w:r>
    </w:p>
    <w:p w:rsidR="00723C1D" w:rsidRPr="00723C1D" w:rsidRDefault="00723C1D" w:rsidP="00723C1D">
      <w:pPr>
        <w:widowControl/>
        <w:jc w:val="both"/>
        <w:rPr>
          <w:rFonts w:ascii="Palatino Linotype" w:hAnsi="Palatino Linotype"/>
          <w:snapToGrid/>
          <w:sz w:val="22"/>
          <w:szCs w:val="22"/>
          <w:lang w:val="nl-NL"/>
        </w:rPr>
      </w:pPr>
    </w:p>
    <w:p w:rsidR="00723C1D" w:rsidRPr="00723C1D" w:rsidRDefault="00723C1D" w:rsidP="00723C1D">
      <w:pPr>
        <w:widowControl/>
        <w:jc w:val="both"/>
        <w:rPr>
          <w:rFonts w:ascii="Palatino Linotype" w:hAnsi="Palatino Linotype"/>
          <w:snapToGrid/>
          <w:sz w:val="22"/>
          <w:szCs w:val="22"/>
          <w:lang w:val="nl-NL"/>
        </w:rPr>
      </w:pPr>
    </w:p>
    <w:p w:rsidR="00723C1D" w:rsidRPr="00723C1D" w:rsidRDefault="00723C1D" w:rsidP="00723C1D">
      <w:pPr>
        <w:widowControl/>
        <w:rPr>
          <w:rFonts w:ascii="Palatino Linotype" w:hAnsi="Palatino Linotype"/>
          <w:snapToGrid/>
          <w:sz w:val="22"/>
          <w:szCs w:val="22"/>
          <w:lang w:val="nl-NL"/>
        </w:rPr>
      </w:pPr>
      <w:r w:rsidRPr="00723C1D">
        <w:rPr>
          <w:rFonts w:ascii="Palatino Linotype" w:hAnsi="Palatino Linotype"/>
          <w:snapToGrid/>
          <w:sz w:val="22"/>
          <w:szCs w:val="22"/>
          <w:lang w:val="nl-NL"/>
        </w:rPr>
        <w:t>Artikel III</w:t>
      </w:r>
    </w:p>
    <w:p w:rsidR="00723C1D" w:rsidRPr="00723C1D" w:rsidRDefault="00723C1D" w:rsidP="00723C1D">
      <w:pPr>
        <w:widowControl/>
        <w:jc w:val="center"/>
        <w:rPr>
          <w:rFonts w:ascii="Palatino Linotype" w:hAnsi="Palatino Linotype"/>
          <w:snapToGrid/>
          <w:sz w:val="22"/>
          <w:szCs w:val="22"/>
          <w:lang w:val="nl-NL"/>
        </w:rPr>
      </w:pPr>
    </w:p>
    <w:p w:rsidR="00723C1D" w:rsidRPr="00723C1D" w:rsidRDefault="00723C1D" w:rsidP="00723C1D">
      <w:pPr>
        <w:widowControl/>
        <w:rPr>
          <w:rFonts w:ascii="Palatino Linotype" w:hAnsi="Palatino Linotype"/>
          <w:snapToGrid/>
          <w:sz w:val="22"/>
          <w:szCs w:val="22"/>
          <w:lang w:val="nl-NL"/>
        </w:rPr>
      </w:pPr>
      <w:r w:rsidRPr="00723C1D">
        <w:rPr>
          <w:rFonts w:ascii="Palatino Linotype" w:hAnsi="Palatino Linotype"/>
          <w:snapToGrid/>
          <w:sz w:val="22"/>
          <w:szCs w:val="22"/>
          <w:lang w:val="nl-NL"/>
        </w:rPr>
        <w:t xml:space="preserve">Dit landsbesluit wordt aangehaald als: Landsbesluit aanwijzing Curaçao </w:t>
      </w:r>
      <w:proofErr w:type="spellStart"/>
      <w:r w:rsidRPr="00723C1D">
        <w:rPr>
          <w:rFonts w:ascii="Palatino Linotype" w:hAnsi="Palatino Linotype"/>
          <w:snapToGrid/>
          <w:sz w:val="22"/>
          <w:szCs w:val="22"/>
          <w:lang w:val="nl-NL"/>
        </w:rPr>
        <w:t>Refinery</w:t>
      </w:r>
      <w:proofErr w:type="spellEnd"/>
      <w:r w:rsidRPr="00723C1D">
        <w:rPr>
          <w:rFonts w:ascii="Palatino Linotype" w:hAnsi="Palatino Linotype"/>
          <w:snapToGrid/>
          <w:sz w:val="22"/>
          <w:szCs w:val="22"/>
          <w:lang w:val="nl-NL"/>
        </w:rPr>
        <w:t xml:space="preserve"> Utilities B.V. als havenfaciliteit.</w:t>
      </w:r>
    </w:p>
    <w:p w:rsidR="00723C1D" w:rsidRPr="00723C1D" w:rsidRDefault="00723C1D" w:rsidP="00723C1D">
      <w:pPr>
        <w:widowControl/>
        <w:suppressAutoHyphens/>
        <w:rPr>
          <w:rFonts w:ascii="Palatino Linotype" w:hAnsi="Palatino Linotype"/>
          <w:snapToGrid/>
          <w:sz w:val="22"/>
          <w:szCs w:val="22"/>
          <w:lang w:val="nl-NL"/>
        </w:rPr>
      </w:pPr>
    </w:p>
    <w:p w:rsidR="00723C1D" w:rsidRPr="00723C1D" w:rsidRDefault="00723C1D" w:rsidP="00723C1D">
      <w:pPr>
        <w:widowControl/>
        <w:suppressAutoHyphens/>
        <w:rPr>
          <w:rFonts w:ascii="Palatino Linotype" w:hAnsi="Palatino Linotype"/>
          <w:snapToGrid/>
          <w:sz w:val="22"/>
          <w:szCs w:val="22"/>
          <w:lang w:val="nl-NL"/>
        </w:rPr>
      </w:pPr>
    </w:p>
    <w:p w:rsidR="00723C1D" w:rsidRPr="00723C1D" w:rsidRDefault="00723C1D" w:rsidP="00723C1D">
      <w:pPr>
        <w:widowControl/>
        <w:suppressAutoHyphens/>
        <w:rPr>
          <w:rFonts w:ascii="Palatino Linotype" w:hAnsi="Palatino Linotype"/>
          <w:snapToGrid/>
          <w:sz w:val="22"/>
          <w:szCs w:val="22"/>
          <w:lang w:val="nl-NL"/>
        </w:rPr>
      </w:pPr>
    </w:p>
    <w:p w:rsidR="00723C1D" w:rsidRDefault="00723C1D" w:rsidP="002643B0">
      <w:pPr>
        <w:widowControl/>
        <w:suppressAutoHyphens/>
        <w:ind w:left="4500"/>
        <w:rPr>
          <w:rFonts w:ascii="Palatino Linotype" w:hAnsi="Palatino Linotype"/>
          <w:snapToGrid/>
          <w:sz w:val="22"/>
          <w:szCs w:val="22"/>
          <w:lang w:val="nl-NL"/>
        </w:rPr>
      </w:pPr>
      <w:r w:rsidRPr="00723C1D">
        <w:rPr>
          <w:rFonts w:ascii="Palatino Linotype" w:hAnsi="Palatino Linotype"/>
          <w:snapToGrid/>
          <w:sz w:val="22"/>
          <w:szCs w:val="22"/>
          <w:lang w:val="nl-NL"/>
        </w:rPr>
        <w:t xml:space="preserve">Gegeven te Willemstad, </w:t>
      </w:r>
      <w:r>
        <w:rPr>
          <w:rFonts w:ascii="Palatino Linotype" w:hAnsi="Palatino Linotype"/>
          <w:snapToGrid/>
          <w:sz w:val="22"/>
          <w:szCs w:val="22"/>
          <w:lang w:val="nl-NL"/>
        </w:rPr>
        <w:t>12 februari 2025</w:t>
      </w:r>
    </w:p>
    <w:p w:rsidR="002643B0" w:rsidRPr="002643B0" w:rsidRDefault="002643B0" w:rsidP="002643B0">
      <w:pPr>
        <w:widowControl/>
        <w:tabs>
          <w:tab w:val="left" w:pos="8370"/>
        </w:tabs>
        <w:autoSpaceDE w:val="0"/>
        <w:autoSpaceDN w:val="0"/>
        <w:ind w:left="4500" w:right="940"/>
        <w:jc w:val="center"/>
        <w:rPr>
          <w:rFonts w:ascii="Palatino Linotype" w:eastAsia="Calibri" w:hAnsi="Palatino Linotype" w:cs="Palatino Linotype"/>
          <w:snapToGrid/>
          <w:sz w:val="22"/>
          <w:szCs w:val="22"/>
          <w:lang w:val="nl-NL"/>
        </w:rPr>
      </w:pPr>
      <w:r w:rsidRPr="002643B0">
        <w:rPr>
          <w:rFonts w:ascii="Palatino Linotype" w:eastAsia="Palatino Linotype" w:hAnsi="Palatino Linotype" w:cs="Palatino Linotype"/>
          <w:snapToGrid/>
          <w:sz w:val="22"/>
          <w:szCs w:val="22"/>
          <w:lang w:val="nl-NL"/>
        </w:rPr>
        <w:t>L.A. GEORGE-WOUT</w:t>
      </w:r>
    </w:p>
    <w:p w:rsidR="00723C1D" w:rsidRPr="00723C1D" w:rsidRDefault="00723C1D" w:rsidP="00723C1D">
      <w:pPr>
        <w:widowControl/>
        <w:suppressAutoHyphens/>
        <w:ind w:left="3600"/>
        <w:rPr>
          <w:rFonts w:ascii="Palatino Linotype" w:hAnsi="Palatino Linotype"/>
          <w:snapToGrid/>
          <w:sz w:val="22"/>
          <w:szCs w:val="22"/>
          <w:lang w:val="nl-NL"/>
        </w:rPr>
      </w:pPr>
    </w:p>
    <w:p w:rsidR="00723C1D" w:rsidRPr="00723C1D" w:rsidRDefault="00723C1D" w:rsidP="00723C1D">
      <w:pPr>
        <w:widowControl/>
        <w:suppressAutoHyphens/>
        <w:rPr>
          <w:rFonts w:ascii="Palatino Linotype" w:hAnsi="Palatino Linotype"/>
          <w:snapToGrid/>
          <w:sz w:val="22"/>
          <w:szCs w:val="22"/>
          <w:lang w:val="nl-NL"/>
        </w:rPr>
      </w:pPr>
    </w:p>
    <w:p w:rsidR="00723C1D" w:rsidRPr="00723C1D" w:rsidRDefault="00723C1D" w:rsidP="00723C1D">
      <w:pPr>
        <w:widowControl/>
        <w:suppressAutoHyphens/>
        <w:rPr>
          <w:rFonts w:ascii="Palatino Linotype" w:hAnsi="Palatino Linotype"/>
          <w:snapToGrid/>
          <w:sz w:val="22"/>
          <w:szCs w:val="22"/>
          <w:lang w:val="nl-NL"/>
        </w:rPr>
      </w:pPr>
    </w:p>
    <w:p w:rsidR="002643B0" w:rsidRDefault="00723C1D" w:rsidP="00723C1D">
      <w:pPr>
        <w:widowControl/>
        <w:suppressAutoHyphens/>
        <w:rPr>
          <w:rFonts w:ascii="Palatino Linotype" w:hAnsi="Palatino Linotype"/>
          <w:snapToGrid/>
          <w:sz w:val="22"/>
          <w:szCs w:val="22"/>
          <w:lang w:val="nl-NL"/>
        </w:rPr>
      </w:pPr>
      <w:r w:rsidRPr="00723C1D">
        <w:rPr>
          <w:rFonts w:ascii="Palatino Linotype" w:hAnsi="Palatino Linotype"/>
          <w:snapToGrid/>
          <w:sz w:val="22"/>
          <w:szCs w:val="22"/>
          <w:lang w:val="nl-NL"/>
        </w:rPr>
        <w:t xml:space="preserve">De Minister van Verkeer, Vervoer </w:t>
      </w:r>
    </w:p>
    <w:p w:rsidR="00723C1D" w:rsidRPr="00723C1D" w:rsidRDefault="00723C1D" w:rsidP="00723C1D">
      <w:pPr>
        <w:widowControl/>
        <w:suppressAutoHyphens/>
        <w:rPr>
          <w:rFonts w:ascii="Palatino Linotype" w:hAnsi="Palatino Linotype"/>
          <w:snapToGrid/>
          <w:sz w:val="22"/>
          <w:szCs w:val="22"/>
          <w:lang w:val="nl-NL"/>
        </w:rPr>
      </w:pPr>
      <w:r w:rsidRPr="00723C1D">
        <w:rPr>
          <w:rFonts w:ascii="Palatino Linotype" w:hAnsi="Palatino Linotype"/>
          <w:snapToGrid/>
          <w:sz w:val="22"/>
          <w:szCs w:val="22"/>
          <w:lang w:val="nl-NL"/>
        </w:rPr>
        <w:t xml:space="preserve">en Ruimtelijke Planning, </w:t>
      </w:r>
    </w:p>
    <w:p w:rsidR="002643B0" w:rsidRPr="009C210F" w:rsidRDefault="002643B0" w:rsidP="002643B0">
      <w:pPr>
        <w:pStyle w:val="BodyText"/>
        <w:ind w:right="5980"/>
        <w:jc w:val="center"/>
        <w:rPr>
          <w:lang w:val="nl-NL"/>
        </w:rPr>
      </w:pPr>
      <w:r w:rsidRPr="009C210F">
        <w:rPr>
          <w:lang w:val="nl-NL"/>
        </w:rPr>
        <w:t>C.F. COOPER</w:t>
      </w:r>
    </w:p>
    <w:p w:rsidR="00723C1D" w:rsidRPr="00723C1D" w:rsidRDefault="00723C1D" w:rsidP="00723C1D">
      <w:pPr>
        <w:widowControl/>
        <w:suppressAutoHyphens/>
        <w:rPr>
          <w:rFonts w:ascii="Palatino Linotype" w:hAnsi="Palatino Linotype"/>
          <w:snapToGrid/>
          <w:sz w:val="22"/>
          <w:szCs w:val="22"/>
          <w:lang w:val="nl-NL"/>
        </w:rPr>
      </w:pPr>
    </w:p>
    <w:p w:rsidR="00723C1D" w:rsidRDefault="00723C1D" w:rsidP="00723C1D">
      <w:pPr>
        <w:widowControl/>
        <w:suppressAutoHyphens/>
        <w:rPr>
          <w:rFonts w:ascii="Palatino Linotype" w:hAnsi="Palatino Linotype"/>
          <w:snapToGrid/>
          <w:sz w:val="22"/>
          <w:szCs w:val="22"/>
          <w:lang w:val="nl-NL"/>
        </w:rPr>
      </w:pPr>
    </w:p>
    <w:p w:rsidR="002643B0" w:rsidRPr="00723C1D" w:rsidRDefault="002643B0" w:rsidP="00723C1D">
      <w:pPr>
        <w:widowControl/>
        <w:suppressAutoHyphens/>
        <w:rPr>
          <w:rFonts w:ascii="Palatino Linotype" w:hAnsi="Palatino Linotype"/>
          <w:snapToGrid/>
          <w:sz w:val="22"/>
          <w:szCs w:val="22"/>
          <w:lang w:val="nl-NL"/>
        </w:rPr>
      </w:pPr>
    </w:p>
    <w:p w:rsidR="00723C1D" w:rsidRPr="00723C1D" w:rsidRDefault="00723C1D" w:rsidP="002643B0">
      <w:pPr>
        <w:widowControl/>
        <w:suppressAutoHyphens/>
        <w:ind w:left="4500"/>
        <w:rPr>
          <w:rFonts w:ascii="Palatino Linotype" w:hAnsi="Palatino Linotype"/>
          <w:snapToGrid/>
          <w:sz w:val="22"/>
          <w:szCs w:val="22"/>
          <w:lang w:val="nl-NL"/>
        </w:rPr>
      </w:pPr>
      <w:r w:rsidRPr="00723C1D">
        <w:rPr>
          <w:rFonts w:ascii="Palatino Linotype" w:hAnsi="Palatino Linotype"/>
          <w:snapToGrid/>
          <w:sz w:val="22"/>
          <w:szCs w:val="22"/>
          <w:lang w:val="nl-NL"/>
        </w:rPr>
        <w:t>Uitgegeven de</w:t>
      </w:r>
      <w:r>
        <w:rPr>
          <w:rFonts w:ascii="Palatino Linotype" w:hAnsi="Palatino Linotype"/>
          <w:snapToGrid/>
          <w:sz w:val="22"/>
          <w:szCs w:val="22"/>
          <w:lang w:val="nl-NL"/>
        </w:rPr>
        <w:t xml:space="preserve"> </w:t>
      </w:r>
      <w:r w:rsidR="000840D6">
        <w:rPr>
          <w:rFonts w:ascii="Palatino Linotype" w:hAnsi="Palatino Linotype"/>
          <w:snapToGrid/>
          <w:sz w:val="22"/>
          <w:szCs w:val="22"/>
          <w:lang w:val="nl-NL"/>
        </w:rPr>
        <w:t>4</w:t>
      </w:r>
      <w:r w:rsidR="000840D6" w:rsidRPr="000840D6">
        <w:rPr>
          <w:rFonts w:ascii="Palatino Linotype" w:hAnsi="Palatino Linotype"/>
          <w:snapToGrid/>
          <w:sz w:val="22"/>
          <w:szCs w:val="22"/>
          <w:vertAlign w:val="superscript"/>
          <w:lang w:val="nl-NL"/>
        </w:rPr>
        <w:t>de</w:t>
      </w:r>
      <w:r w:rsidR="000840D6">
        <w:rPr>
          <w:rFonts w:ascii="Palatino Linotype" w:hAnsi="Palatino Linotype"/>
          <w:snapToGrid/>
          <w:sz w:val="22"/>
          <w:szCs w:val="22"/>
          <w:lang w:val="nl-NL"/>
        </w:rPr>
        <w:t xml:space="preserve"> maart</w:t>
      </w:r>
      <w:bookmarkStart w:id="2" w:name="_GoBack"/>
      <w:bookmarkEnd w:id="2"/>
      <w:r w:rsidR="002643B0">
        <w:rPr>
          <w:rFonts w:ascii="Palatino Linotype" w:hAnsi="Palatino Linotype"/>
          <w:snapToGrid/>
          <w:sz w:val="22"/>
          <w:szCs w:val="22"/>
          <w:lang w:val="nl-NL"/>
        </w:rPr>
        <w:t xml:space="preserve"> 2025</w:t>
      </w:r>
    </w:p>
    <w:p w:rsidR="00723C1D" w:rsidRDefault="00723C1D" w:rsidP="002643B0">
      <w:pPr>
        <w:widowControl/>
        <w:suppressAutoHyphens/>
        <w:ind w:left="4500"/>
        <w:rPr>
          <w:rFonts w:ascii="Palatino Linotype" w:hAnsi="Palatino Linotype"/>
          <w:snapToGrid/>
          <w:sz w:val="22"/>
          <w:szCs w:val="22"/>
          <w:lang w:val="nl-NL"/>
        </w:rPr>
      </w:pPr>
      <w:r w:rsidRPr="00723C1D">
        <w:rPr>
          <w:rFonts w:ascii="Palatino Linotype" w:hAnsi="Palatino Linotype"/>
          <w:snapToGrid/>
          <w:sz w:val="22"/>
          <w:szCs w:val="22"/>
          <w:lang w:val="nl-NL"/>
        </w:rPr>
        <w:t>De Minister van Algemene Zaken,</w:t>
      </w:r>
    </w:p>
    <w:p w:rsidR="00657565" w:rsidRPr="00657565" w:rsidRDefault="00657565" w:rsidP="00657565">
      <w:pPr>
        <w:autoSpaceDE w:val="0"/>
        <w:autoSpaceDN w:val="0"/>
        <w:ind w:left="4500" w:right="1480"/>
        <w:jc w:val="center"/>
        <w:rPr>
          <w:rFonts w:ascii="Palatino Linotype" w:eastAsia="Palatino Linotype" w:hAnsi="Palatino Linotype" w:cs="Palatino Linotype"/>
          <w:snapToGrid/>
          <w:sz w:val="22"/>
          <w:szCs w:val="22"/>
          <w:lang w:val="nl-NL"/>
        </w:rPr>
      </w:pPr>
      <w:r w:rsidRPr="00657565">
        <w:rPr>
          <w:rFonts w:ascii="Palatino Linotype" w:eastAsia="Palatino Linotype" w:hAnsi="Palatino Linotype" w:cs="Palatino Linotype"/>
          <w:snapToGrid/>
          <w:sz w:val="22"/>
          <w:szCs w:val="22"/>
          <w:lang w:val="nl-NL"/>
        </w:rPr>
        <w:t>G.S. PISAS</w:t>
      </w:r>
    </w:p>
    <w:p w:rsidR="00657565" w:rsidRPr="00723C1D" w:rsidRDefault="00657565" w:rsidP="002643B0">
      <w:pPr>
        <w:widowControl/>
        <w:suppressAutoHyphens/>
        <w:ind w:left="4500"/>
        <w:rPr>
          <w:rFonts w:ascii="Palatino Linotype" w:hAnsi="Palatino Linotype"/>
          <w:snapToGrid/>
          <w:sz w:val="22"/>
          <w:szCs w:val="22"/>
          <w:lang w:val="nl-NL"/>
        </w:rPr>
      </w:pPr>
    </w:p>
    <w:p w:rsidR="00723C1D" w:rsidRPr="00723C1D" w:rsidRDefault="00723C1D" w:rsidP="00723C1D">
      <w:pPr>
        <w:widowControl/>
        <w:rPr>
          <w:rFonts w:ascii="Palatino Linotype" w:hAnsi="Palatino Linotype"/>
          <w:snapToGrid/>
          <w:sz w:val="22"/>
          <w:szCs w:val="22"/>
          <w:lang w:val="nl-NL"/>
        </w:rPr>
      </w:pPr>
      <w:r w:rsidRPr="00723C1D">
        <w:rPr>
          <w:rFonts w:ascii="Palatino Linotype" w:hAnsi="Palatino Linotype"/>
          <w:snapToGrid/>
          <w:sz w:val="22"/>
          <w:szCs w:val="22"/>
          <w:lang w:val="nl-NL"/>
        </w:rPr>
        <w:br w:type="page"/>
      </w: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lastRenderedPageBreak/>
        <w:t xml:space="preserve">NOTA VAN TOELICHTING behorende bij het Landsbesluit aanwijzing Curaçao </w:t>
      </w:r>
      <w:proofErr w:type="spellStart"/>
      <w:r w:rsidRPr="00723C1D">
        <w:rPr>
          <w:rFonts w:ascii="Palatino Linotype" w:hAnsi="Palatino Linotype"/>
          <w:snapToGrid/>
          <w:sz w:val="22"/>
          <w:lang w:val="nl-NL"/>
        </w:rPr>
        <w:t>Refinery</w:t>
      </w:r>
      <w:proofErr w:type="spellEnd"/>
      <w:r w:rsidRPr="00723C1D">
        <w:rPr>
          <w:rFonts w:ascii="Palatino Linotype" w:hAnsi="Palatino Linotype"/>
          <w:snapToGrid/>
          <w:sz w:val="22"/>
          <w:lang w:val="nl-NL"/>
        </w:rPr>
        <w:t xml:space="preserve"> Utilities B.V. als havenfaciliteit</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b/>
          <w:snapToGrid/>
          <w:sz w:val="22"/>
          <w:lang w:val="nl-NL"/>
        </w:rPr>
      </w:pPr>
      <w:r w:rsidRPr="00723C1D">
        <w:rPr>
          <w:rFonts w:ascii="Palatino Linotype" w:hAnsi="Palatino Linotype"/>
          <w:b/>
          <w:snapToGrid/>
          <w:sz w:val="22"/>
          <w:lang w:val="nl-NL"/>
        </w:rPr>
        <w:t>I.</w:t>
      </w:r>
      <w:r w:rsidRPr="00723C1D">
        <w:rPr>
          <w:rFonts w:ascii="Palatino Linotype" w:hAnsi="Palatino Linotype"/>
          <w:b/>
          <w:snapToGrid/>
          <w:sz w:val="22"/>
          <w:lang w:val="nl-NL"/>
        </w:rPr>
        <w:tab/>
        <w:t>Algemeen deel</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i/>
          <w:snapToGrid/>
          <w:sz w:val="22"/>
          <w:lang w:val="nl-NL"/>
        </w:rPr>
      </w:pPr>
      <w:r w:rsidRPr="00723C1D">
        <w:rPr>
          <w:rFonts w:ascii="Palatino Linotype" w:hAnsi="Palatino Linotype"/>
          <w:i/>
          <w:snapToGrid/>
          <w:sz w:val="22"/>
          <w:lang w:val="nl-NL"/>
        </w:rPr>
        <w:t>Inleiding</w:t>
      </w:r>
    </w:p>
    <w:p w:rsidR="00723C1D" w:rsidRPr="00723C1D" w:rsidRDefault="00723C1D" w:rsidP="00723C1D">
      <w:pPr>
        <w:widowControl/>
        <w:jc w:val="both"/>
        <w:rPr>
          <w:rFonts w:ascii="Calibri" w:eastAsia="Calibri" w:hAnsi="Calibri"/>
          <w:snapToGrid/>
          <w:sz w:val="22"/>
          <w:szCs w:val="22"/>
          <w:lang w:val="nl-NL"/>
        </w:rPr>
      </w:pPr>
      <w:r w:rsidRPr="00723C1D">
        <w:rPr>
          <w:rFonts w:ascii="Palatino Linotype" w:hAnsi="Palatino Linotype"/>
          <w:snapToGrid/>
          <w:sz w:val="22"/>
          <w:lang w:val="nl-NL"/>
        </w:rPr>
        <w:t xml:space="preserve">Artikel 3, eerste lid, van het Tijdelijk havenbeveiligingsbesluit schrijft voor dat havenfaciliteiten bij landsbesluit, houdende algemene maatregelen, worden aangewezen. Wegens het aflopen van het contract tussen </w:t>
      </w:r>
      <w:proofErr w:type="spellStart"/>
      <w:r w:rsidRPr="00723C1D">
        <w:rPr>
          <w:rFonts w:ascii="Palatino Linotype" w:hAnsi="Palatino Linotype"/>
          <w:snapToGrid/>
          <w:sz w:val="22"/>
          <w:lang w:val="nl-NL"/>
        </w:rPr>
        <w:t>Refineria</w:t>
      </w:r>
      <w:proofErr w:type="spellEnd"/>
      <w:r w:rsidRPr="00723C1D">
        <w:rPr>
          <w:rFonts w:ascii="Palatino Linotype" w:hAnsi="Palatino Linotype"/>
          <w:snapToGrid/>
          <w:sz w:val="22"/>
          <w:lang w:val="nl-NL"/>
        </w:rPr>
        <w:t xml:space="preserve"> di </w:t>
      </w:r>
      <w:proofErr w:type="spellStart"/>
      <w:r w:rsidRPr="00723C1D">
        <w:rPr>
          <w:rFonts w:ascii="Palatino Linotype" w:hAnsi="Palatino Linotype"/>
          <w:snapToGrid/>
          <w:sz w:val="22"/>
          <w:lang w:val="nl-NL"/>
        </w:rPr>
        <w:t>Kòrsou</w:t>
      </w:r>
      <w:proofErr w:type="spellEnd"/>
      <w:r w:rsidRPr="00723C1D">
        <w:rPr>
          <w:rFonts w:ascii="Palatino Linotype" w:hAnsi="Palatino Linotype"/>
          <w:snapToGrid/>
          <w:sz w:val="22"/>
          <w:lang w:val="nl-NL"/>
        </w:rPr>
        <w:t xml:space="preserve"> N.V. (hierna: </w:t>
      </w:r>
      <w:proofErr w:type="spellStart"/>
      <w:r w:rsidRPr="00723C1D">
        <w:rPr>
          <w:rFonts w:ascii="Palatino Linotype" w:hAnsi="Palatino Linotype"/>
          <w:snapToGrid/>
          <w:sz w:val="22"/>
          <w:lang w:val="nl-NL"/>
        </w:rPr>
        <w:t>RdK</w:t>
      </w:r>
      <w:proofErr w:type="spellEnd"/>
      <w:r w:rsidRPr="00723C1D">
        <w:rPr>
          <w:rFonts w:ascii="Palatino Linotype" w:hAnsi="Palatino Linotype"/>
          <w:snapToGrid/>
          <w:sz w:val="22"/>
          <w:lang w:val="nl-NL"/>
        </w:rPr>
        <w:t xml:space="preserve">) en </w:t>
      </w:r>
      <w:proofErr w:type="spellStart"/>
      <w:r w:rsidRPr="00723C1D">
        <w:rPr>
          <w:rFonts w:ascii="Palatino Linotype" w:hAnsi="Palatino Linotype"/>
          <w:snapToGrid/>
          <w:sz w:val="22"/>
          <w:lang w:val="nl-NL"/>
        </w:rPr>
        <w:t>Petroleos</w:t>
      </w:r>
      <w:proofErr w:type="spellEnd"/>
      <w:r w:rsidRPr="00723C1D">
        <w:rPr>
          <w:rFonts w:ascii="Palatino Linotype" w:hAnsi="Palatino Linotype"/>
          <w:snapToGrid/>
          <w:sz w:val="22"/>
          <w:lang w:val="nl-NL"/>
        </w:rPr>
        <w:t xml:space="preserve"> de Venezuela S.A./</w:t>
      </w:r>
      <w:proofErr w:type="spellStart"/>
      <w:r w:rsidRPr="00723C1D">
        <w:rPr>
          <w:rFonts w:ascii="Palatino Linotype" w:hAnsi="Palatino Linotype"/>
          <w:snapToGrid/>
          <w:sz w:val="22"/>
          <w:lang w:val="nl-NL"/>
        </w:rPr>
        <w:t>Refinería</w:t>
      </w:r>
      <w:proofErr w:type="spellEnd"/>
      <w:r w:rsidRPr="00723C1D">
        <w:rPr>
          <w:rFonts w:ascii="Palatino Linotype" w:hAnsi="Palatino Linotype"/>
          <w:snapToGrid/>
          <w:sz w:val="22"/>
          <w:lang w:val="nl-NL"/>
        </w:rPr>
        <w:t xml:space="preserve"> </w:t>
      </w:r>
      <w:proofErr w:type="spellStart"/>
      <w:r w:rsidRPr="00723C1D">
        <w:rPr>
          <w:rFonts w:ascii="Palatino Linotype" w:hAnsi="Palatino Linotype"/>
          <w:snapToGrid/>
          <w:sz w:val="22"/>
          <w:lang w:val="nl-NL"/>
        </w:rPr>
        <w:t>Isla</w:t>
      </w:r>
      <w:proofErr w:type="spellEnd"/>
      <w:r w:rsidRPr="00723C1D">
        <w:rPr>
          <w:rFonts w:ascii="Palatino Linotype" w:hAnsi="Palatino Linotype"/>
          <w:snapToGrid/>
          <w:sz w:val="22"/>
          <w:lang w:val="nl-NL"/>
        </w:rPr>
        <w:t xml:space="preserve"> N.V. (hierna: PDVSA) inzake de exploitatie van de raffinaderij te Emmastad en de op- en overslaghaven te Bullenbaai eind 2019, is het noodzakelijk deze wijziging te verwerken in de wettelijke regeling omtrent de beveiliging van havenfaciliteiten.</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i/>
          <w:snapToGrid/>
          <w:sz w:val="22"/>
          <w:lang w:val="nl-NL"/>
        </w:rPr>
      </w:pPr>
      <w:r w:rsidRPr="00723C1D">
        <w:rPr>
          <w:rFonts w:ascii="Palatino Linotype" w:hAnsi="Palatino Linotype"/>
          <w:i/>
          <w:snapToGrid/>
          <w:sz w:val="22"/>
          <w:lang w:val="nl-NL"/>
        </w:rPr>
        <w:t>Grondslag voor de aanwijzing van de havenfaciliteit</w:t>
      </w: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 xml:space="preserve">De aanwijzing als havenfaciliteit en de daaruit voortvloeiende verplichtingen maken deel uit van een set van maatregelen in het kader van de beveiliging van schepen, locaties en activiteiten in de betreffende haven. </w:t>
      </w:r>
    </w:p>
    <w:p w:rsidR="00723C1D" w:rsidRPr="00723C1D" w:rsidRDefault="00723C1D" w:rsidP="00723C1D">
      <w:pPr>
        <w:widowControl/>
        <w:jc w:val="both"/>
        <w:rPr>
          <w:rFonts w:ascii="Calibri" w:eastAsia="Calibri" w:hAnsi="Calibri"/>
          <w:snapToGrid/>
          <w:sz w:val="22"/>
          <w:szCs w:val="22"/>
          <w:lang w:val="nl-NL"/>
        </w:rPr>
      </w:pPr>
      <w:r w:rsidRPr="00723C1D">
        <w:rPr>
          <w:rFonts w:ascii="Palatino Linotype" w:hAnsi="Palatino Linotype"/>
          <w:snapToGrid/>
          <w:sz w:val="22"/>
          <w:lang w:val="nl-NL"/>
        </w:rPr>
        <w:t xml:space="preserve">De Minister van Verkeer, Vervoer en Ruimtelijke Planning (VVRP) is conform het tweede lid van artikel 3, van het Tijdelijk havenbeveiligingsbesluit de bevoegde autoriteit, verantwoordelijk voor de implementatie van de internationale voorschriften met betrekking tot de beveiliging van havenfaciliteiten en de interacties tussen een schip en de haven. Verwezen wordt naar afspraken en beveiligingsmaatregelen opgenomen in het Internationaal verdrag voor de beveiliging van mensenlevens op zee oftewel </w:t>
      </w:r>
      <w:bookmarkStart w:id="3" w:name="_Hlk122456844"/>
      <w:r w:rsidRPr="00723C1D">
        <w:rPr>
          <w:rFonts w:ascii="Palatino Linotype" w:hAnsi="Palatino Linotype"/>
          <w:snapToGrid/>
          <w:sz w:val="22"/>
          <w:lang w:val="nl-NL"/>
        </w:rPr>
        <w:t>het SOLAS-verdrag (</w:t>
      </w:r>
      <w:proofErr w:type="spellStart"/>
      <w:r w:rsidRPr="00723C1D">
        <w:rPr>
          <w:rFonts w:ascii="Palatino Linotype" w:hAnsi="Palatino Linotype"/>
          <w:snapToGrid/>
          <w:sz w:val="22"/>
          <w:lang w:val="nl-NL"/>
        </w:rPr>
        <w:t>Trb</w:t>
      </w:r>
      <w:proofErr w:type="spellEnd"/>
      <w:r w:rsidRPr="00723C1D">
        <w:rPr>
          <w:rFonts w:ascii="Palatino Linotype" w:hAnsi="Palatino Linotype"/>
          <w:snapToGrid/>
          <w:sz w:val="22"/>
          <w:lang w:val="nl-NL"/>
        </w:rPr>
        <w:t xml:space="preserve">. 1976, 157)  en de International </w:t>
      </w:r>
      <w:proofErr w:type="spellStart"/>
      <w:r w:rsidRPr="00723C1D">
        <w:rPr>
          <w:rFonts w:ascii="Palatino Linotype" w:hAnsi="Palatino Linotype"/>
          <w:snapToGrid/>
          <w:sz w:val="22"/>
          <w:lang w:val="nl-NL"/>
        </w:rPr>
        <w:t>Ship</w:t>
      </w:r>
      <w:proofErr w:type="spellEnd"/>
      <w:r w:rsidRPr="00723C1D">
        <w:rPr>
          <w:rFonts w:ascii="Palatino Linotype" w:hAnsi="Palatino Linotype"/>
          <w:snapToGrid/>
          <w:sz w:val="22"/>
          <w:lang w:val="nl-NL"/>
        </w:rPr>
        <w:t xml:space="preserve"> </w:t>
      </w:r>
      <w:proofErr w:type="spellStart"/>
      <w:r w:rsidRPr="00723C1D">
        <w:rPr>
          <w:rFonts w:ascii="Palatino Linotype" w:hAnsi="Palatino Linotype"/>
          <w:snapToGrid/>
          <w:sz w:val="22"/>
          <w:lang w:val="nl-NL"/>
        </w:rPr>
        <w:t>and</w:t>
      </w:r>
      <w:proofErr w:type="spellEnd"/>
      <w:r w:rsidRPr="00723C1D">
        <w:rPr>
          <w:rFonts w:ascii="Palatino Linotype" w:hAnsi="Palatino Linotype"/>
          <w:snapToGrid/>
          <w:sz w:val="22"/>
          <w:lang w:val="nl-NL"/>
        </w:rPr>
        <w:t xml:space="preserve"> Port Facility Security Code </w:t>
      </w:r>
      <w:bookmarkEnd w:id="3"/>
      <w:r w:rsidRPr="00723C1D">
        <w:rPr>
          <w:rFonts w:ascii="Palatino Linotype" w:hAnsi="Palatino Linotype"/>
          <w:snapToGrid/>
          <w:sz w:val="22"/>
          <w:lang w:val="nl-NL"/>
        </w:rPr>
        <w:t>(hierna: ISPS Code) bij Hoofdstuk XI-2 van de bijlage bij dat verdrag.</w:t>
      </w: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Een havenfaciliteit is volgens de definitie van het Tijdelijk havenbeveiligingsbesluit, het aangewezen gebied waarin interactie tussen een schip en de haven plaatsvindt. Dit omvat onder meer ankerplaatsen, ligplaatsen en aanvaarroutes. Met interactie wordt bedoeld het laden of lossen van goederen, het inschepen of ontschepen van passagiers en personen werkzaam aan boord en het verlenen respectievelijk gebruiken van havendiensten.</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snapToGrid/>
          <w:sz w:val="22"/>
          <w:szCs w:val="22"/>
          <w:lang w:val="nl-NL"/>
        </w:rPr>
      </w:pPr>
      <w:r w:rsidRPr="00723C1D">
        <w:rPr>
          <w:rFonts w:ascii="Palatino Linotype" w:hAnsi="Palatino Linotype"/>
          <w:snapToGrid/>
          <w:sz w:val="22"/>
          <w:lang w:val="nl-NL"/>
        </w:rPr>
        <w:t>De verplichtingen van het Tijdelijk havenbeveiligingsbesluit voor een havenfaciliteit omvatten onder andere het aanstellen van een beheerder, het aanstellen van een havenbeveiligingsfunctionaris, het vaststellen van het beveiligingsniveau, het indienen en beoordelen van gedocumenteerde aanvragen voor een beveiligingscertificaat en het voldoen aan internationale rapportageverplichtingen.</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i/>
          <w:snapToGrid/>
          <w:sz w:val="22"/>
          <w:lang w:val="nl-NL"/>
        </w:rPr>
      </w:pPr>
    </w:p>
    <w:p w:rsidR="00723C1D" w:rsidRPr="00723C1D" w:rsidRDefault="00723C1D" w:rsidP="00723C1D">
      <w:pPr>
        <w:widowControl/>
        <w:jc w:val="both"/>
        <w:rPr>
          <w:rFonts w:ascii="Palatino Linotype" w:hAnsi="Palatino Linotype"/>
          <w:i/>
          <w:snapToGrid/>
          <w:sz w:val="22"/>
        </w:rPr>
      </w:pPr>
      <w:r w:rsidRPr="00723C1D">
        <w:rPr>
          <w:rFonts w:ascii="Palatino Linotype" w:hAnsi="Palatino Linotype"/>
          <w:i/>
          <w:snapToGrid/>
          <w:sz w:val="22"/>
        </w:rPr>
        <w:t>Curaçao Refinery Utilities B.V.</w:t>
      </w: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 xml:space="preserve">Curaçao </w:t>
      </w:r>
      <w:proofErr w:type="spellStart"/>
      <w:r w:rsidRPr="00723C1D">
        <w:rPr>
          <w:rFonts w:ascii="Palatino Linotype" w:hAnsi="Palatino Linotype"/>
          <w:snapToGrid/>
          <w:sz w:val="22"/>
          <w:lang w:val="nl-NL"/>
        </w:rPr>
        <w:t>Refinery</w:t>
      </w:r>
      <w:proofErr w:type="spellEnd"/>
      <w:r w:rsidRPr="00723C1D">
        <w:rPr>
          <w:rFonts w:ascii="Palatino Linotype" w:hAnsi="Palatino Linotype"/>
          <w:snapToGrid/>
          <w:sz w:val="22"/>
          <w:lang w:val="nl-NL"/>
        </w:rPr>
        <w:t xml:space="preserve"> Utilities B.V. (hierna: CRU) is een dochteronderneming van </w:t>
      </w:r>
      <w:proofErr w:type="spellStart"/>
      <w:r w:rsidRPr="00723C1D">
        <w:rPr>
          <w:rFonts w:ascii="Palatino Linotype" w:hAnsi="Palatino Linotype"/>
          <w:snapToGrid/>
          <w:sz w:val="22"/>
          <w:lang w:val="nl-NL"/>
        </w:rPr>
        <w:t>RdK</w:t>
      </w:r>
      <w:proofErr w:type="spellEnd"/>
      <w:r w:rsidRPr="00723C1D">
        <w:rPr>
          <w:rFonts w:ascii="Palatino Linotype" w:hAnsi="Palatino Linotype"/>
          <w:snapToGrid/>
          <w:sz w:val="22"/>
          <w:lang w:val="nl-NL"/>
        </w:rPr>
        <w:t xml:space="preserve">. </w:t>
      </w:r>
      <w:proofErr w:type="spellStart"/>
      <w:r w:rsidRPr="00723C1D">
        <w:rPr>
          <w:rFonts w:ascii="Palatino Linotype" w:hAnsi="Palatino Linotype"/>
          <w:snapToGrid/>
          <w:sz w:val="22"/>
          <w:lang w:val="nl-NL"/>
        </w:rPr>
        <w:t>RdK</w:t>
      </w:r>
      <w:proofErr w:type="spellEnd"/>
      <w:r w:rsidRPr="00723C1D">
        <w:rPr>
          <w:rFonts w:ascii="Palatino Linotype" w:hAnsi="Palatino Linotype"/>
          <w:snapToGrid/>
          <w:sz w:val="22"/>
          <w:lang w:val="nl-NL"/>
        </w:rPr>
        <w:t xml:space="preserve"> is statutair bestuurder van CRU en enig aandeelhouder. </w:t>
      </w:r>
      <w:proofErr w:type="spellStart"/>
      <w:r w:rsidRPr="00723C1D">
        <w:rPr>
          <w:rFonts w:ascii="Palatino Linotype" w:hAnsi="Palatino Linotype"/>
          <w:snapToGrid/>
          <w:sz w:val="22"/>
          <w:lang w:val="nl-NL"/>
        </w:rPr>
        <w:t>RdK</w:t>
      </w:r>
      <w:proofErr w:type="spellEnd"/>
      <w:r w:rsidRPr="00723C1D">
        <w:rPr>
          <w:rFonts w:ascii="Palatino Linotype" w:hAnsi="Palatino Linotype"/>
          <w:snapToGrid/>
          <w:sz w:val="22"/>
          <w:lang w:val="nl-NL"/>
        </w:rPr>
        <w:t xml:space="preserve"> is als overheidsentiteit gebonden aan het beleid van de regering.</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 xml:space="preserve">Wegens het aflopen van het contract tussen </w:t>
      </w:r>
      <w:proofErr w:type="spellStart"/>
      <w:r w:rsidRPr="00723C1D">
        <w:rPr>
          <w:rFonts w:ascii="Palatino Linotype" w:hAnsi="Palatino Linotype"/>
          <w:snapToGrid/>
          <w:sz w:val="22"/>
          <w:lang w:val="nl-NL"/>
        </w:rPr>
        <w:t>RdK</w:t>
      </w:r>
      <w:proofErr w:type="spellEnd"/>
      <w:r w:rsidRPr="00723C1D">
        <w:rPr>
          <w:rFonts w:ascii="Palatino Linotype" w:hAnsi="Palatino Linotype"/>
          <w:snapToGrid/>
          <w:sz w:val="22"/>
          <w:lang w:val="nl-NL"/>
        </w:rPr>
        <w:t xml:space="preserve"> en PDVSA inzake de exploitatie van de raffinaderij te Emmastad en de op- en overslaghaven te Bullenbaai eind 2019, werd CRU met ingang van 15 januari 2020 door </w:t>
      </w:r>
      <w:proofErr w:type="spellStart"/>
      <w:r w:rsidRPr="00723C1D">
        <w:rPr>
          <w:rFonts w:ascii="Palatino Linotype" w:hAnsi="Palatino Linotype"/>
          <w:snapToGrid/>
          <w:sz w:val="22"/>
          <w:lang w:val="nl-NL"/>
        </w:rPr>
        <w:t>RdK</w:t>
      </w:r>
      <w:proofErr w:type="spellEnd"/>
      <w:r w:rsidRPr="00723C1D">
        <w:rPr>
          <w:rFonts w:ascii="Palatino Linotype" w:hAnsi="Palatino Linotype"/>
          <w:snapToGrid/>
          <w:sz w:val="22"/>
          <w:lang w:val="nl-NL"/>
        </w:rPr>
        <w:t xml:space="preserve"> belast met de operatie, het onderhoud en de beveiliging van de betreffende faciliteiten en installaties in het </w:t>
      </w:r>
      <w:proofErr w:type="spellStart"/>
      <w:r w:rsidRPr="00723C1D">
        <w:rPr>
          <w:rFonts w:ascii="Palatino Linotype" w:hAnsi="Palatino Linotype"/>
          <w:snapToGrid/>
          <w:sz w:val="22"/>
          <w:lang w:val="nl-NL"/>
        </w:rPr>
        <w:t>Schottegat</w:t>
      </w:r>
      <w:proofErr w:type="spellEnd"/>
      <w:r w:rsidRPr="00723C1D">
        <w:rPr>
          <w:rFonts w:ascii="Palatino Linotype" w:hAnsi="Palatino Linotype"/>
          <w:snapToGrid/>
          <w:sz w:val="22"/>
          <w:lang w:val="nl-NL"/>
        </w:rPr>
        <w:t xml:space="preserve"> en Bullenbaai. De faciliteiten en </w:t>
      </w:r>
      <w:r w:rsidRPr="00723C1D">
        <w:rPr>
          <w:rFonts w:ascii="Palatino Linotype" w:hAnsi="Palatino Linotype"/>
          <w:snapToGrid/>
          <w:sz w:val="22"/>
          <w:lang w:val="nl-NL"/>
        </w:rPr>
        <w:lastRenderedPageBreak/>
        <w:t xml:space="preserve">installaties die CRU beheert, staan op overheidsterreinen die ondergebracht zijn bij </w:t>
      </w:r>
      <w:proofErr w:type="spellStart"/>
      <w:r w:rsidRPr="00723C1D">
        <w:rPr>
          <w:rFonts w:ascii="Palatino Linotype" w:hAnsi="Palatino Linotype"/>
          <w:snapToGrid/>
          <w:sz w:val="22"/>
          <w:lang w:val="nl-NL"/>
        </w:rPr>
        <w:t>RdK</w:t>
      </w:r>
      <w:proofErr w:type="spellEnd"/>
      <w:r w:rsidRPr="00723C1D">
        <w:rPr>
          <w:rFonts w:ascii="Palatino Linotype" w:hAnsi="Palatino Linotype"/>
          <w:snapToGrid/>
          <w:sz w:val="22"/>
          <w:lang w:val="nl-NL"/>
        </w:rPr>
        <w:t xml:space="preserve">/CRU. De intentie was en is nog steeds dat de operatie, het onderhoud en de beveiliging door CRU van tijdelijke aard zijn en zullen eindigen wanneer </w:t>
      </w:r>
      <w:proofErr w:type="spellStart"/>
      <w:r w:rsidRPr="00723C1D">
        <w:rPr>
          <w:rFonts w:ascii="Palatino Linotype" w:hAnsi="Palatino Linotype"/>
          <w:snapToGrid/>
          <w:sz w:val="22"/>
          <w:lang w:val="nl-NL"/>
        </w:rPr>
        <w:t>RdK</w:t>
      </w:r>
      <w:proofErr w:type="spellEnd"/>
      <w:r w:rsidRPr="00723C1D">
        <w:rPr>
          <w:rFonts w:ascii="Palatino Linotype" w:hAnsi="Palatino Linotype"/>
          <w:snapToGrid/>
          <w:sz w:val="22"/>
          <w:lang w:val="nl-NL"/>
        </w:rPr>
        <w:t xml:space="preserve"> een nieuwe exploitant heeft gevonden voor de olieraffinaderij. Het is derhalve van belang dat CRU tot die tijd ook wettelijk in staat wordt gesteld om als havenfaciliteit te fungeren.</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snapToGrid/>
          <w:sz w:val="22"/>
          <w:szCs w:val="22"/>
          <w:lang w:val="nl-NL"/>
        </w:rPr>
      </w:pPr>
      <w:r w:rsidRPr="00723C1D">
        <w:rPr>
          <w:rFonts w:ascii="Palatino Linotype" w:hAnsi="Palatino Linotype"/>
          <w:snapToGrid/>
          <w:sz w:val="22"/>
          <w:lang w:val="nl-NL"/>
        </w:rPr>
        <w:t xml:space="preserve">PDVSA, zijnde de voormalige exploitant van de olieraffinaderij, werd bij het </w:t>
      </w:r>
      <w:proofErr w:type="spellStart"/>
      <w:r w:rsidRPr="00723C1D">
        <w:rPr>
          <w:rFonts w:ascii="Palatino Linotype" w:hAnsi="Palatino Linotype"/>
          <w:snapToGrid/>
          <w:sz w:val="22"/>
          <w:lang w:val="nl-NL"/>
        </w:rPr>
        <w:t>Eilandsbesluit</w:t>
      </w:r>
      <w:proofErr w:type="spellEnd"/>
      <w:r w:rsidRPr="00723C1D">
        <w:rPr>
          <w:rFonts w:ascii="Palatino Linotype" w:hAnsi="Palatino Linotype"/>
          <w:snapToGrid/>
          <w:sz w:val="22"/>
          <w:lang w:val="nl-NL"/>
        </w:rPr>
        <w:t xml:space="preserve"> aanwijzing havenfaciliteiten, als havenfaciliteit aangewezen. De aanwijzing van CRU als havenfaciliteit heeft betrekking op dezelfde plaatsen, gebieden en installaties die door PDVSA als havenfaciliteit werden geëxploiteerd.</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snapToGrid/>
          <w:sz w:val="22"/>
          <w:szCs w:val="22"/>
          <w:lang w:val="nl-NL"/>
        </w:rPr>
      </w:pPr>
      <w:r w:rsidRPr="00723C1D">
        <w:rPr>
          <w:rFonts w:ascii="Palatino Linotype" w:hAnsi="Palatino Linotype"/>
          <w:snapToGrid/>
          <w:sz w:val="22"/>
          <w:lang w:val="nl-NL"/>
        </w:rPr>
        <w:t>De onderhandelingen die momenteel gaande zijn om te komen tot een nieuwe exploitant voor de olieraffinaderij, kunnen resulteren in een afwijkende verdeling van het beheer over plaatsen en gebieden dan wel activiteiten in de betreffende havens. Er zal dan een nieuwe, daarmee corresponderende aanwijzing als havenfaciliteit nodig zijn om te blijven voldoen aan de ISPS Code.</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i/>
          <w:snapToGrid/>
          <w:sz w:val="22"/>
          <w:szCs w:val="22"/>
          <w:lang w:val="nl-NL"/>
        </w:rPr>
      </w:pPr>
      <w:r w:rsidRPr="00723C1D">
        <w:rPr>
          <w:rFonts w:ascii="Palatino Linotype" w:hAnsi="Palatino Linotype"/>
          <w:i/>
          <w:snapToGrid/>
          <w:sz w:val="22"/>
          <w:lang w:val="nl-NL"/>
        </w:rPr>
        <w:t xml:space="preserve">Terugwerkende kracht </w:t>
      </w: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 xml:space="preserve">Aan de aanwijzing van CRU als havenfaciliteit wordt terugwerkende kracht verleend, en wel tot en met ingang van de datum waarop CRU met de activiteiten werd belast, te weten 15 januari 2020. De regering is zich ervan bewust dat terugwerkende kracht in wet- en regelgeving spaarzaam moet worden toegepast. In lijn met aanwijzing 126 van de Aanwijzingen voor de regelgeving, kan terugwerkende kracht gerechtvaardigd zijn als het gaat om een geval waar de wettelijke regeling een achterstand heeft opgelopen ten opzichte van de praktijk. Omdat het hier om dezelfde plaatsen en gebieden, installaties en activiteiten gaat, die eerder ook al onder PDVSA als havenfaciliteit golden, zijn er termen aanwezig om die praktijksituatie te formaliseren. In dit geval is er een vloeiende overgang van verantwoordelijkheden en bestaat er geen reden om terugwerkende kracht aan de nieuwe aanwijzing te onthouden. </w:t>
      </w:r>
    </w:p>
    <w:p w:rsidR="00723C1D" w:rsidRPr="00723C1D" w:rsidRDefault="00723C1D" w:rsidP="00723C1D">
      <w:pPr>
        <w:widowControl/>
        <w:jc w:val="both"/>
        <w:rPr>
          <w:rFonts w:ascii="Palatino Linotype" w:hAnsi="Palatino Linotype"/>
          <w:snapToGrid/>
          <w:sz w:val="22"/>
          <w:szCs w:val="22"/>
          <w:lang w:val="nl-NL"/>
        </w:rPr>
      </w:pPr>
    </w:p>
    <w:p w:rsidR="00723C1D" w:rsidRPr="00723C1D" w:rsidRDefault="00723C1D" w:rsidP="00723C1D">
      <w:pPr>
        <w:widowControl/>
        <w:jc w:val="both"/>
        <w:rPr>
          <w:rFonts w:ascii="Palatino Linotype" w:hAnsi="Palatino Linotype"/>
          <w:i/>
          <w:snapToGrid/>
          <w:sz w:val="22"/>
          <w:lang w:val="nl-NL"/>
        </w:rPr>
      </w:pPr>
    </w:p>
    <w:p w:rsidR="00723C1D" w:rsidRPr="00723C1D" w:rsidRDefault="00723C1D" w:rsidP="00723C1D">
      <w:pPr>
        <w:widowControl/>
        <w:jc w:val="both"/>
        <w:rPr>
          <w:rFonts w:ascii="Calibri" w:eastAsia="Calibri" w:hAnsi="Calibri"/>
          <w:i/>
          <w:snapToGrid/>
          <w:sz w:val="22"/>
          <w:szCs w:val="22"/>
          <w:lang w:val="nl-NL"/>
        </w:rPr>
      </w:pPr>
      <w:r w:rsidRPr="00723C1D">
        <w:rPr>
          <w:rFonts w:ascii="Palatino Linotype" w:hAnsi="Palatino Linotype"/>
          <w:i/>
          <w:snapToGrid/>
          <w:sz w:val="22"/>
          <w:lang w:val="nl-NL"/>
        </w:rPr>
        <w:t>ISPS beveiligingscertificering</w:t>
      </w:r>
    </w:p>
    <w:p w:rsidR="00723C1D" w:rsidRPr="00723C1D" w:rsidRDefault="00723C1D" w:rsidP="00723C1D">
      <w:pPr>
        <w:widowControl/>
        <w:jc w:val="both"/>
        <w:rPr>
          <w:rFonts w:ascii="Calibri" w:eastAsia="Calibri" w:hAnsi="Calibri"/>
          <w:snapToGrid/>
          <w:sz w:val="22"/>
          <w:szCs w:val="22"/>
          <w:lang w:val="nl-NL"/>
        </w:rPr>
      </w:pPr>
      <w:r w:rsidRPr="00723C1D">
        <w:rPr>
          <w:rFonts w:ascii="Palatino Linotype" w:hAnsi="Palatino Linotype"/>
          <w:snapToGrid/>
          <w:sz w:val="22"/>
          <w:lang w:val="nl-NL"/>
        </w:rPr>
        <w:t>Conform artikel 10 van het Tijdelijke Havenbeveiligingsbesluit moet een havenfaciliteit beschikken over een beveiligingscertificaat, afgegeven door de minister. De geldigheidsduur van zo’n certificaat is maximaal 5 jaar. CRU hanteert procedures voor het beheer en de handhaving van de ISPS code aan de hand van de risicoanalyse en het beveiligingsplan, bedoeld in artikel 13, van het Tijdelijk havenbeveiligingsbesluit. Mede op grond daarvan, is CRU vooruitlopend op een wettelijke aanwijzing van CRU als havenfaciliteit, gecertificeerd. Rekening houdend met de ontbrekende status van havenfaciliteit, besloeg de verlenging van het certificaat echter telkens een periode van slechts zes maanden. De aanwijzing van CRU als havenfaciliteit geeft wettelijke basis aan de beveiligingscertificaten die reeds door de minister aan CRU zijn afgegeven. Aangezien een havenbeveiligingscertificaat kan worden afgegeven voor maximaal vijf jaar, is het formaliseren van de grondslag onder de reeds afgegeven kortlopende havenbeveiligingscertificaten, in lijn met de voorschriften van het Tijdelijk havenbeveiligingsbesluit. Die certificering had immers betrekking op dezelfde plaatsen, gebieden, installaties, activiteiten, procedures en kritieke personele functies als voorheen bij PDVSA het geval was</w:t>
      </w:r>
      <w:r w:rsidRPr="00723C1D">
        <w:rPr>
          <w:rFonts w:ascii="Calibri" w:eastAsia="Calibri" w:hAnsi="Calibri"/>
          <w:snapToGrid/>
          <w:sz w:val="22"/>
          <w:szCs w:val="22"/>
          <w:lang w:val="nl-NL"/>
        </w:rPr>
        <w:t xml:space="preserve">. </w:t>
      </w:r>
      <w:r w:rsidRPr="00723C1D">
        <w:rPr>
          <w:rFonts w:ascii="Palatino Linotype" w:hAnsi="Palatino Linotype"/>
          <w:snapToGrid/>
          <w:sz w:val="22"/>
          <w:lang w:val="nl-NL"/>
        </w:rPr>
        <w:t xml:space="preserve">Door de aanwijzing als havenfaciliteit  kan CRU  gecertificeerd worden </w:t>
      </w:r>
      <w:r w:rsidRPr="00723C1D">
        <w:rPr>
          <w:rFonts w:ascii="Palatino Linotype" w:hAnsi="Palatino Linotype"/>
          <w:snapToGrid/>
          <w:sz w:val="22"/>
          <w:lang w:val="nl-NL"/>
        </w:rPr>
        <w:lastRenderedPageBreak/>
        <w:t>voor een substantieel langere periode, hetgeen het vertrouwen in de continuïteit van de bedrijfsvoering versterkt.</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i/>
          <w:snapToGrid/>
          <w:sz w:val="22"/>
          <w:szCs w:val="22"/>
          <w:lang w:val="nl-NL"/>
        </w:rPr>
      </w:pPr>
      <w:r w:rsidRPr="00723C1D">
        <w:rPr>
          <w:rFonts w:ascii="Palatino Linotype" w:hAnsi="Palatino Linotype"/>
          <w:i/>
          <w:snapToGrid/>
          <w:sz w:val="22"/>
          <w:lang w:val="nl-NL"/>
        </w:rPr>
        <w:t>Economisch belang</w:t>
      </w: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 xml:space="preserve">Het voldoen aan de internationale voorschriften ter beveiliging van de havenfaciliteiten en van de schepen die deze havens aandoen, heeft naast de bevordering van de veiligheid ter plekke, ook een economisch belang.  Compliance waarborgt immers de continue toevoer van goederen en passagiers naar het eiland. </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b/>
          <w:snapToGrid/>
          <w:sz w:val="22"/>
          <w:szCs w:val="22"/>
          <w:lang w:val="nl-NL"/>
        </w:rPr>
      </w:pPr>
      <w:r w:rsidRPr="00723C1D">
        <w:rPr>
          <w:rFonts w:ascii="Palatino Linotype" w:hAnsi="Palatino Linotype"/>
          <w:b/>
          <w:snapToGrid/>
          <w:sz w:val="22"/>
          <w:lang w:val="nl-NL"/>
        </w:rPr>
        <w:t>II. Financieel</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snapToGrid/>
          <w:sz w:val="22"/>
          <w:szCs w:val="22"/>
          <w:lang w:val="nl-NL"/>
        </w:rPr>
      </w:pPr>
      <w:r w:rsidRPr="00723C1D">
        <w:rPr>
          <w:rFonts w:ascii="Palatino Linotype" w:hAnsi="Palatino Linotype"/>
          <w:snapToGrid/>
          <w:sz w:val="22"/>
          <w:lang w:val="nl-NL"/>
        </w:rPr>
        <w:t xml:space="preserve">De aanwijzing van CRU als havenfaciliteit heeft geen financiële gevolgen voor de begroting van het Land. </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b/>
          <w:snapToGrid/>
          <w:sz w:val="22"/>
          <w:szCs w:val="22"/>
          <w:lang w:val="nl-NL"/>
        </w:rPr>
      </w:pPr>
      <w:r w:rsidRPr="00723C1D">
        <w:rPr>
          <w:rFonts w:ascii="Palatino Linotype" w:hAnsi="Palatino Linotype"/>
          <w:b/>
          <w:snapToGrid/>
          <w:sz w:val="22"/>
          <w:lang w:val="nl-NL"/>
        </w:rPr>
        <w:t>III. Raad van Advies</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Calibri" w:eastAsia="Calibri" w:hAnsi="Calibri"/>
          <w:snapToGrid/>
          <w:sz w:val="22"/>
          <w:szCs w:val="22"/>
          <w:lang w:val="nl-NL"/>
        </w:rPr>
      </w:pPr>
      <w:r w:rsidRPr="00723C1D">
        <w:rPr>
          <w:rFonts w:ascii="Palatino Linotype" w:hAnsi="Palatino Linotype"/>
          <w:snapToGrid/>
          <w:sz w:val="22"/>
          <w:lang w:val="nl-NL"/>
        </w:rPr>
        <w:t xml:space="preserve">De Raad van Advies heeft op 20 augustus 2024 (RvA no RA/18-24-LB) advies uitgebracht. Het advies van de Raad van Advies is in overwegende mate overgenomen. In plaats van een (nieuw) op zich staand landsbesluit ter aanwijzing van de CRU als havenfaciliteit tot stand te brengen, is gekozen voor een wijziging van het geldende </w:t>
      </w:r>
      <w:proofErr w:type="spellStart"/>
      <w:r w:rsidRPr="00723C1D">
        <w:rPr>
          <w:rFonts w:ascii="Palatino Linotype" w:hAnsi="Palatino Linotype"/>
          <w:snapToGrid/>
          <w:sz w:val="22"/>
          <w:lang w:val="nl-NL"/>
        </w:rPr>
        <w:t>Eilandsbesluit</w:t>
      </w:r>
      <w:proofErr w:type="spellEnd"/>
      <w:r w:rsidRPr="00723C1D">
        <w:rPr>
          <w:rFonts w:ascii="Palatino Linotype" w:hAnsi="Palatino Linotype"/>
          <w:snapToGrid/>
          <w:sz w:val="22"/>
          <w:lang w:val="nl-NL"/>
        </w:rPr>
        <w:t xml:space="preserve"> aanwijzing havenfaciliteiten ontworpen. De tekst van de nota van toelichting is ook aangepast.</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De Raad van Advies heeft tevens opgemerkt, dat een landsverordening tot stand moet worden gebracht ter implementatie van de ISPS-code. De regering neemt het advies van de Raad over en zal met de nodige spoed de ontwerplandsverordening ontwikkelen ter vervanging van het Tijdelijk havenbeveiligingsbesluit.</w:t>
      </w: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snapToGrid/>
          <w:sz w:val="22"/>
          <w:lang w:val="nl-NL"/>
        </w:rPr>
      </w:pPr>
    </w:p>
    <w:p w:rsidR="00723C1D" w:rsidRPr="00723C1D"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Willemstad,</w:t>
      </w:r>
    </w:p>
    <w:p w:rsidR="002643B0" w:rsidRDefault="00723C1D" w:rsidP="00723C1D">
      <w:pPr>
        <w:widowControl/>
        <w:jc w:val="both"/>
        <w:rPr>
          <w:rFonts w:ascii="Palatino Linotype" w:hAnsi="Palatino Linotype"/>
          <w:snapToGrid/>
          <w:sz w:val="22"/>
          <w:lang w:val="nl-NL"/>
        </w:rPr>
      </w:pPr>
      <w:r w:rsidRPr="00723C1D">
        <w:rPr>
          <w:rFonts w:ascii="Palatino Linotype" w:hAnsi="Palatino Linotype"/>
          <w:snapToGrid/>
          <w:sz w:val="22"/>
          <w:lang w:val="nl-NL"/>
        </w:rPr>
        <w:t xml:space="preserve">De Minister van Verkeer, Vervoer </w:t>
      </w:r>
    </w:p>
    <w:p w:rsidR="00723C1D" w:rsidRPr="00723C1D" w:rsidRDefault="002643B0" w:rsidP="00723C1D">
      <w:pPr>
        <w:widowControl/>
        <w:jc w:val="both"/>
        <w:rPr>
          <w:rFonts w:ascii="Palatino Linotype" w:hAnsi="Palatino Linotype"/>
          <w:snapToGrid/>
          <w:sz w:val="22"/>
          <w:lang w:val="nl-NL"/>
        </w:rPr>
      </w:pPr>
      <w:r>
        <w:rPr>
          <w:rFonts w:ascii="Palatino Linotype" w:hAnsi="Palatino Linotype"/>
          <w:snapToGrid/>
          <w:sz w:val="22"/>
          <w:lang w:val="nl-NL"/>
        </w:rPr>
        <w:t>e</w:t>
      </w:r>
      <w:r w:rsidR="00723C1D" w:rsidRPr="00723C1D">
        <w:rPr>
          <w:rFonts w:ascii="Palatino Linotype" w:hAnsi="Palatino Linotype"/>
          <w:snapToGrid/>
          <w:sz w:val="22"/>
          <w:lang w:val="nl-NL"/>
        </w:rPr>
        <w:t>n</w:t>
      </w:r>
      <w:r>
        <w:rPr>
          <w:rFonts w:ascii="Palatino Linotype" w:hAnsi="Palatino Linotype"/>
          <w:snapToGrid/>
          <w:sz w:val="22"/>
          <w:lang w:val="nl-NL"/>
        </w:rPr>
        <w:t xml:space="preserve"> </w:t>
      </w:r>
      <w:r w:rsidR="00723C1D" w:rsidRPr="00723C1D">
        <w:rPr>
          <w:rFonts w:ascii="Palatino Linotype" w:hAnsi="Palatino Linotype"/>
          <w:snapToGrid/>
          <w:sz w:val="22"/>
          <w:lang w:val="nl-NL"/>
        </w:rPr>
        <w:t>Ruimtelijke Planning,</w:t>
      </w:r>
    </w:p>
    <w:p w:rsidR="002643B0" w:rsidRDefault="002643B0" w:rsidP="002643B0">
      <w:pPr>
        <w:pStyle w:val="BodyText"/>
        <w:ind w:right="5980"/>
        <w:jc w:val="center"/>
        <w:rPr>
          <w:lang w:val="nl-NL"/>
        </w:rPr>
      </w:pPr>
      <w:r>
        <w:rPr>
          <w:lang w:val="nl-NL"/>
        </w:rPr>
        <w:t>C.F. COOPER</w:t>
      </w:r>
    </w:p>
    <w:p w:rsidR="00723C1D" w:rsidRPr="00723C1D" w:rsidRDefault="00723C1D" w:rsidP="002643B0">
      <w:pPr>
        <w:widowControl/>
        <w:suppressAutoHyphens/>
        <w:ind w:right="6070"/>
        <w:rPr>
          <w:rFonts w:ascii="Palatino Linotype" w:hAnsi="Palatino Linotype"/>
          <w:snapToGrid/>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23C1D" w:rsidRPr="003A7FEC" w:rsidRDefault="00723C1D" w:rsidP="00723C1D">
      <w:pPr>
        <w:pStyle w:val="FootnoteText"/>
      </w:pPr>
      <w:r w:rsidRPr="00AF15AA">
        <w:rPr>
          <w:rStyle w:val="FootnoteReference"/>
          <w:rFonts w:ascii="Palatino Linotype" w:hAnsi="Palatino Linotype"/>
          <w:sz w:val="18"/>
          <w:szCs w:val="18"/>
        </w:rPr>
        <w:footnoteRef/>
      </w:r>
      <w:r w:rsidRPr="00AF15AA">
        <w:rPr>
          <w:rFonts w:ascii="Palatino Linotype" w:hAnsi="Palatino Linotype"/>
          <w:sz w:val="18"/>
          <w:szCs w:val="18"/>
        </w:rPr>
        <w:t xml:space="preserve"> </w:t>
      </w:r>
      <w:r w:rsidR="009937F9">
        <w:rPr>
          <w:rFonts w:ascii="Palatino Linotype" w:hAnsi="Palatino Linotype"/>
          <w:sz w:val="18"/>
          <w:szCs w:val="18"/>
        </w:rPr>
        <w:t>A</w:t>
      </w:r>
      <w:r w:rsidRPr="00AF15AA">
        <w:rPr>
          <w:rFonts w:ascii="Palatino Linotype" w:hAnsi="Palatino Linotype"/>
          <w:sz w:val="18"/>
          <w:szCs w:val="18"/>
        </w:rPr>
        <w:t>.B. 2006, no.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23C1D">
      <w:rPr>
        <w:rFonts w:ascii="Times New Roman" w:hAnsi="Times New Roman"/>
        <w:b/>
        <w:spacing w:val="-4"/>
        <w:sz w:val="36"/>
      </w:rPr>
      <w:t>9</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23C1D">
      <w:rPr>
        <w:rFonts w:ascii="Times New Roman" w:hAnsi="Times New Roman"/>
        <w:b/>
        <w:spacing w:val="-4"/>
        <w:sz w:val="36"/>
      </w:rPr>
      <w:t>9</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840D6"/>
    <w:rsid w:val="000A0DBD"/>
    <w:rsid w:val="0014186C"/>
    <w:rsid w:val="00163B50"/>
    <w:rsid w:val="00173FBA"/>
    <w:rsid w:val="001A7D22"/>
    <w:rsid w:val="001C27B0"/>
    <w:rsid w:val="001C384D"/>
    <w:rsid w:val="001C4DF2"/>
    <w:rsid w:val="00213227"/>
    <w:rsid w:val="002643B0"/>
    <w:rsid w:val="00282C3F"/>
    <w:rsid w:val="002B27B9"/>
    <w:rsid w:val="002F0CFE"/>
    <w:rsid w:val="0032061F"/>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57565"/>
    <w:rsid w:val="006725E6"/>
    <w:rsid w:val="006C19FE"/>
    <w:rsid w:val="006F659E"/>
    <w:rsid w:val="00723C1D"/>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937F9"/>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E7CAC6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2643B0"/>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2643B0"/>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28129232">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1361</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2025-02-26T19:39:00Z</dcterms:created>
  <dcterms:modified xsi:type="dcterms:W3CDTF">2025-03-04T15:41:00Z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