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25AC" w:rsidRPr="00022D76" w:rsidRDefault="000A0DBD">
      <w:pPr>
        <w:pStyle w:val="Heading2"/>
        <w:tabs>
          <w:tab w:val="right" w:pos="9356"/>
        </w:tabs>
        <w:rPr>
          <w:sz w:val="36"/>
          <w:szCs w:val="36"/>
          <w:lang w:val="nl-NL"/>
        </w:rPr>
      </w:pPr>
      <w:r w:rsidRPr="00B920FE">
        <w:rPr>
          <w:b/>
          <w:noProof/>
          <w:sz w:val="36"/>
          <w:szCs w:val="36"/>
        </w:rPr>
        <w:drawing>
          <wp:anchor distT="0" distB="0" distL="114300" distR="114300" simplePos="0" relativeHeight="251657728" behindDoc="0" locked="0" layoutInCell="1" allowOverlap="1">
            <wp:simplePos x="0" y="0"/>
            <wp:positionH relativeFrom="column">
              <wp:posOffset>2675255</wp:posOffset>
            </wp:positionH>
            <wp:positionV relativeFrom="paragraph">
              <wp:posOffset>-260350</wp:posOffset>
            </wp:positionV>
            <wp:extent cx="612775" cy="914400"/>
            <wp:effectExtent l="0" t="0" r="0" b="0"/>
            <wp:wrapNone/>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3D25AC" w:rsidRPr="00022D76">
        <w:rPr>
          <w:b/>
          <w:sz w:val="36"/>
          <w:szCs w:val="36"/>
          <w:lang w:val="nl-NL"/>
        </w:rPr>
        <w:t>A° 20</w:t>
      </w:r>
      <w:r w:rsidR="0043209F">
        <w:rPr>
          <w:b/>
          <w:sz w:val="36"/>
          <w:szCs w:val="36"/>
          <w:lang w:val="nl-NL"/>
        </w:rPr>
        <w:t>2</w:t>
      </w:r>
      <w:r w:rsidR="00D43A7D">
        <w:rPr>
          <w:b/>
          <w:sz w:val="36"/>
          <w:szCs w:val="36"/>
          <w:lang w:val="nl-NL"/>
        </w:rPr>
        <w:t>6</w:t>
      </w:r>
      <w:r w:rsidR="003D25AC" w:rsidRPr="00022D76">
        <w:rPr>
          <w:sz w:val="36"/>
          <w:szCs w:val="36"/>
          <w:lang w:val="nl-NL"/>
        </w:rPr>
        <w:tab/>
      </w:r>
      <w:r w:rsidR="003D25AC" w:rsidRPr="00022D76">
        <w:rPr>
          <w:b/>
          <w:sz w:val="36"/>
          <w:szCs w:val="36"/>
          <w:lang w:val="nl-NL"/>
        </w:rPr>
        <w:t xml:space="preserve">N° </w:t>
      </w:r>
      <w:r w:rsidR="00340A62" w:rsidRPr="00340A62">
        <w:rPr>
          <w:b/>
          <w:sz w:val="36"/>
          <w:szCs w:val="36"/>
          <w:lang w:val="nl-NL"/>
        </w:rPr>
        <w:t>144</w:t>
      </w: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3D25AC" w:rsidRPr="00022D76" w:rsidRDefault="003D25AC">
      <w:pPr>
        <w:pStyle w:val="Header"/>
        <w:tabs>
          <w:tab w:val="clear" w:pos="4320"/>
          <w:tab w:val="clear" w:pos="8640"/>
        </w:tabs>
        <w:rPr>
          <w:sz w:val="24"/>
          <w:szCs w:val="24"/>
          <w:lang w:val="nl-NL"/>
        </w:rPr>
      </w:pPr>
    </w:p>
    <w:p w:rsidR="00022D76" w:rsidRDefault="003D25AC" w:rsidP="005D39A3">
      <w:pPr>
        <w:pStyle w:val="Heading1"/>
        <w:rPr>
          <w:b w:val="0"/>
          <w:sz w:val="44"/>
          <w:lang w:val="nl-NL"/>
        </w:rPr>
      </w:pPr>
      <w:r w:rsidRPr="00022D76">
        <w:rPr>
          <w:b w:val="0"/>
          <w:sz w:val="44"/>
          <w:lang w:val="nl-NL"/>
        </w:rPr>
        <w:t>PUBLICATIEBLAD</w:t>
      </w:r>
    </w:p>
    <w:p w:rsidR="005D39A3" w:rsidRPr="005D39A3" w:rsidRDefault="005D39A3" w:rsidP="005D39A3">
      <w:pPr>
        <w:rPr>
          <w:lang w:val="nl-NL"/>
        </w:rPr>
      </w:pPr>
    </w:p>
    <w:p w:rsidR="00340A62" w:rsidRPr="00340A62" w:rsidRDefault="00340A62" w:rsidP="00640985">
      <w:pPr>
        <w:widowControl/>
        <w:spacing w:after="240"/>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LANDSBESLUIT, HOUDENDE ALGEMENE MAATREGELEN, van de 5</w:t>
      </w:r>
      <w:r w:rsidRPr="00340A62">
        <w:rPr>
          <w:rFonts w:ascii="Palatino Linotype" w:hAnsi="Palatino Linotype"/>
          <w:b/>
          <w:snapToGrid/>
          <w:sz w:val="22"/>
          <w:szCs w:val="22"/>
          <w:vertAlign w:val="superscript"/>
          <w:lang w:val="nl-NL"/>
        </w:rPr>
        <w:t>de</w:t>
      </w:r>
      <w:r w:rsidRPr="00340A62">
        <w:rPr>
          <w:rFonts w:ascii="Palatino Linotype" w:hAnsi="Palatino Linotype"/>
          <w:b/>
          <w:snapToGrid/>
          <w:sz w:val="22"/>
          <w:szCs w:val="22"/>
          <w:lang w:val="nl-NL"/>
        </w:rPr>
        <w:t xml:space="preserve"> juni 2026 strekkende tot wijziging van het Omnibus-Sanctiebesluit Curaçao</w:t>
      </w:r>
      <w:r w:rsidRPr="00340A62">
        <w:rPr>
          <w:rFonts w:ascii="Palatino Linotype" w:hAnsi="Palatino Linotype"/>
          <w:b/>
          <w:snapToGrid/>
          <w:sz w:val="22"/>
          <w:szCs w:val="22"/>
          <w:vertAlign w:val="superscript"/>
          <w:lang w:val="nl-NL"/>
        </w:rPr>
        <w:footnoteReference w:id="1"/>
      </w:r>
      <w:r w:rsidRPr="00340A62">
        <w:rPr>
          <w:rFonts w:ascii="Palatino Linotype" w:hAnsi="Palatino Linotype"/>
          <w:b/>
          <w:snapToGrid/>
          <w:sz w:val="22"/>
          <w:szCs w:val="22"/>
          <w:lang w:val="nl-NL"/>
        </w:rPr>
        <w:t xml:space="preserve"> en het Landsbesluit aanwijzing vertrouwensfuncties en veiligheidsonderzoeken</w:t>
      </w:r>
      <w:r w:rsidRPr="00340A62">
        <w:rPr>
          <w:rFonts w:ascii="Palatino Linotype" w:hAnsi="Palatino Linotype"/>
          <w:b/>
          <w:snapToGrid/>
          <w:sz w:val="22"/>
          <w:szCs w:val="22"/>
          <w:vertAlign w:val="superscript"/>
          <w:lang w:val="nl-NL"/>
        </w:rPr>
        <w:footnoteReference w:id="2"/>
      </w:r>
    </w:p>
    <w:p w:rsidR="00DE4AE5" w:rsidRDefault="00DE4AE5" w:rsidP="00DE4AE5">
      <w:pPr>
        <w:suppressAutoHyphens/>
        <w:jc w:val="center"/>
        <w:rPr>
          <w:rFonts w:ascii="Palatino Linotype" w:hAnsi="Palatino Linotype"/>
          <w:spacing w:val="-3"/>
          <w:sz w:val="22"/>
          <w:szCs w:val="22"/>
          <w:lang w:val="nl-NL"/>
        </w:rPr>
      </w:pPr>
      <w:r>
        <w:rPr>
          <w:rFonts w:ascii="Palatino Linotype" w:hAnsi="Palatino Linotype"/>
          <w:spacing w:val="-3"/>
          <w:sz w:val="22"/>
          <w:szCs w:val="22"/>
          <w:lang w:val="nl-NL"/>
        </w:rPr>
        <w:t>____________</w:t>
      </w:r>
    </w:p>
    <w:p w:rsidR="00DE4AE5" w:rsidRDefault="00DE4AE5" w:rsidP="00DE4AE5">
      <w:pPr>
        <w:suppressAutoHyphens/>
        <w:spacing w:line="220" w:lineRule="exact"/>
        <w:jc w:val="center"/>
        <w:rPr>
          <w:rFonts w:ascii="Palatino Linotype" w:hAnsi="Palatino Linotype"/>
          <w:spacing w:val="-3"/>
          <w:sz w:val="22"/>
          <w:szCs w:val="22"/>
          <w:lang w:val="nl-NL"/>
        </w:rPr>
      </w:pPr>
    </w:p>
    <w:p w:rsidR="00DE4AE5" w:rsidRPr="00A85AFA" w:rsidRDefault="00DE4AE5" w:rsidP="00DE4AE5">
      <w:pPr>
        <w:suppressAutoHyphens/>
        <w:jc w:val="center"/>
        <w:rPr>
          <w:rFonts w:ascii="Palatino Linotype" w:hAnsi="Palatino Linotype"/>
          <w:spacing w:val="-3"/>
          <w:sz w:val="22"/>
          <w:szCs w:val="22"/>
          <w:lang w:val="nl-NL"/>
        </w:rPr>
      </w:pPr>
      <w:r w:rsidRPr="00A85AFA">
        <w:rPr>
          <w:rFonts w:ascii="Palatino Linotype" w:hAnsi="Palatino Linotype"/>
          <w:spacing w:val="-3"/>
          <w:sz w:val="22"/>
          <w:szCs w:val="22"/>
          <w:lang w:val="nl-NL"/>
        </w:rPr>
        <w:t>In  naam  van de  Koning!</w:t>
      </w:r>
    </w:p>
    <w:p w:rsidR="00DE4AE5" w:rsidRDefault="00DE4AE5" w:rsidP="00DE4AE5">
      <w:pPr>
        <w:suppressAutoHyphens/>
        <w:spacing w:line="300" w:lineRule="atLeast"/>
        <w:jc w:val="center"/>
        <w:rPr>
          <w:rFonts w:ascii="Palatino Linotype" w:hAnsi="Palatino Linotype"/>
          <w:spacing w:val="-3"/>
          <w:sz w:val="20"/>
          <w:szCs w:val="22"/>
          <w:lang w:val="nl-NL"/>
        </w:rPr>
      </w:pPr>
      <w:r>
        <w:rPr>
          <w:rFonts w:ascii="Palatino Linotype" w:hAnsi="Palatino Linotype"/>
          <w:spacing w:val="-3"/>
          <w:sz w:val="20"/>
          <w:szCs w:val="22"/>
          <w:lang w:val="nl-NL"/>
        </w:rPr>
        <w:t>______</w:t>
      </w:r>
    </w:p>
    <w:p w:rsidR="00DE4AE5" w:rsidRPr="00A85AFA" w:rsidRDefault="00DE4AE5" w:rsidP="00DE4AE5">
      <w:pPr>
        <w:suppressAutoHyphens/>
        <w:spacing w:line="220" w:lineRule="exact"/>
        <w:jc w:val="center"/>
        <w:rPr>
          <w:rFonts w:ascii="Palatino Linotype" w:hAnsi="Palatino Linotype"/>
          <w:spacing w:val="-3"/>
          <w:sz w:val="20"/>
          <w:szCs w:val="22"/>
          <w:lang w:val="nl-NL"/>
        </w:rPr>
      </w:pPr>
    </w:p>
    <w:p w:rsidR="00340A62" w:rsidRPr="00340A62" w:rsidRDefault="00DE4AE5" w:rsidP="00DE4AE5">
      <w:pPr>
        <w:widowControl/>
        <w:suppressAutoHyphens/>
        <w:jc w:val="center"/>
        <w:rPr>
          <w:rFonts w:ascii="Palatino Linotype" w:hAnsi="Palatino Linotype"/>
          <w:snapToGrid/>
          <w:spacing w:val="-3"/>
          <w:sz w:val="22"/>
          <w:szCs w:val="22"/>
          <w:lang w:val="nl-NL"/>
        </w:rPr>
      </w:pPr>
      <w:r w:rsidRPr="00A85AFA">
        <w:rPr>
          <w:rFonts w:ascii="Palatino Linotype" w:hAnsi="Palatino Linotype"/>
          <w:spacing w:val="-3"/>
          <w:sz w:val="22"/>
          <w:szCs w:val="22"/>
          <w:lang w:val="nl-NL"/>
        </w:rPr>
        <w:t>De  Gouverneur  van  Curaçao,</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tabs>
          <w:tab w:val="left" w:pos="567"/>
        </w:tabs>
        <w:ind w:left="567" w:hanging="567"/>
        <w:rPr>
          <w:rFonts w:ascii="Palatino Linotype" w:hAnsi="Palatino Linotype"/>
          <w:snapToGrid/>
          <w:sz w:val="22"/>
          <w:szCs w:val="22"/>
          <w:lang w:val="nl-NL"/>
        </w:rPr>
      </w:pPr>
      <w:r w:rsidRPr="00340A62">
        <w:rPr>
          <w:rFonts w:ascii="Palatino Linotype" w:hAnsi="Palatino Linotype"/>
          <w:snapToGrid/>
          <w:sz w:val="22"/>
          <w:szCs w:val="22"/>
          <w:lang w:val="nl-NL"/>
        </w:rPr>
        <w:t>In overweging genomen hebbende:</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keepNext/>
        <w:widowControl/>
        <w:jc w:val="both"/>
        <w:outlineLvl w:val="0"/>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dat de internationale sanctiemaatregelen van de Europese Unie en van de Veiligheidsraad van de Verenigde Naties continu wijzigen als gevolg waarvan de regering van Curaçao ook het Omnibus-Sanctiebesluit Curaçao dient te wijzigen;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dat wenselijk is de Commissie aanwijzing personen en organisaties uit te breiden met twee nieuwe leden;</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p>
    <w:p w:rsidR="00340A62" w:rsidRPr="00340A62" w:rsidRDefault="00340A62" w:rsidP="00340A62">
      <w:pPr>
        <w:widowControl/>
        <w:tabs>
          <w:tab w:val="left" w:pos="567"/>
        </w:tabs>
        <w:ind w:left="567" w:hanging="567"/>
        <w:rPr>
          <w:rFonts w:ascii="Palatino Linotype" w:hAnsi="Palatino Linotype"/>
          <w:snapToGrid/>
          <w:sz w:val="22"/>
          <w:szCs w:val="22"/>
          <w:lang w:val="nl-NL"/>
        </w:rPr>
      </w:pPr>
      <w:r w:rsidRPr="00340A62">
        <w:rPr>
          <w:rFonts w:ascii="Palatino Linotype" w:hAnsi="Palatino Linotype"/>
          <w:snapToGrid/>
          <w:sz w:val="22"/>
          <w:szCs w:val="22"/>
          <w:lang w:val="nl-NL"/>
        </w:rPr>
        <w:t>Heeft, de Raad van Advies gehoord, besloten:</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Het Omnibus-Sanctiebesluit Curaçao wordt als volgt gewijzigd:</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I</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A  </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1. Artikelen 1.5 tot en met 1.38 worden vernummerd tot 1.6 tot en met 1.39.</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 xml:space="preserve">2. Artikel 1.5 komt te luiden: </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1.5 Terrorismebestrijding</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color w:val="333333"/>
          <w:sz w:val="22"/>
          <w:szCs w:val="22"/>
          <w:shd w:val="clear" w:color="auto" w:fill="FFFFFF"/>
          <w:lang w:val="nl-NL"/>
        </w:rPr>
        <w:t>Het is verboden te handelen in strijd met de artikelen 2, eerste en tweede lid, 3 en 4 van </w:t>
      </w:r>
      <w:hyperlink r:id="rId8" w:history="1">
        <w:r w:rsidRPr="00340A62">
          <w:rPr>
            <w:rFonts w:ascii="Palatino Linotype" w:hAnsi="Palatino Linotype"/>
            <w:snapToGrid/>
            <w:sz w:val="22"/>
            <w:szCs w:val="22"/>
            <w:bdr w:val="none" w:sz="0" w:space="0" w:color="auto" w:frame="1"/>
            <w:shd w:val="clear" w:color="auto" w:fill="FFFFFF"/>
            <w:lang w:val="nl-NL"/>
          </w:rPr>
          <w:t xml:space="preserve">de </w:t>
        </w:r>
        <w:bookmarkStart w:id="0" w:name="_Hlk214772128"/>
        <w:r w:rsidRPr="00340A62">
          <w:rPr>
            <w:rFonts w:ascii="Palatino Linotype" w:hAnsi="Palatino Linotype"/>
            <w:snapToGrid/>
            <w:color w:val="0000FF"/>
            <w:sz w:val="22"/>
            <w:szCs w:val="22"/>
            <w:u w:val="single"/>
            <w:shd w:val="clear" w:color="auto" w:fill="FFFFFF"/>
            <w:lang w:val="nl-NL"/>
          </w:rPr>
          <w:t>Verordening (EG) nr. 2580/2001</w:t>
        </w:r>
        <w:bookmarkEnd w:id="0"/>
      </w:hyperlink>
      <w:r w:rsidRPr="00340A62">
        <w:rPr>
          <w:rFonts w:ascii="Palatino Linotype" w:hAnsi="Palatino Linotype"/>
          <w:snapToGrid/>
          <w:sz w:val="22"/>
          <w:szCs w:val="22"/>
          <w:shd w:val="clear" w:color="auto" w:fill="FFFFFF"/>
          <w:lang w:val="nl-NL"/>
        </w:rPr>
        <w:t> v</w:t>
      </w:r>
      <w:r w:rsidRPr="00340A62">
        <w:rPr>
          <w:rFonts w:ascii="Palatino Linotype" w:hAnsi="Palatino Linotype"/>
          <w:snapToGrid/>
          <w:color w:val="333333"/>
          <w:sz w:val="22"/>
          <w:szCs w:val="22"/>
          <w:shd w:val="clear" w:color="auto" w:fill="FFFFFF"/>
          <w:lang w:val="nl-NL"/>
        </w:rPr>
        <w:t xml:space="preserve">an de Raad van de Europese Unie van 27 december 2001 inzake </w:t>
      </w:r>
      <w:r w:rsidRPr="00340A62">
        <w:rPr>
          <w:rFonts w:ascii="Palatino Linotype" w:hAnsi="Palatino Linotype"/>
          <w:snapToGrid/>
          <w:color w:val="333333"/>
          <w:sz w:val="22"/>
          <w:szCs w:val="22"/>
          <w:shd w:val="clear" w:color="auto" w:fill="FFFFFF"/>
          <w:lang w:val="nl-NL"/>
        </w:rPr>
        <w:lastRenderedPageBreak/>
        <w:t>specifieke beperkende maatregelen tegen bepaalde personen en entiteiten met het oog op de strijd tegen het terrorisme (PbEG L 344).</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B</w:t>
      </w:r>
    </w:p>
    <w:p w:rsidR="00340A62" w:rsidRPr="00340A62" w:rsidRDefault="00340A62" w:rsidP="00340A62">
      <w:pPr>
        <w:widowControl/>
        <w:rPr>
          <w:rFonts w:ascii="Palatino Linotype" w:hAnsi="Palatino Linotype"/>
          <w:snapToGrid/>
          <w:color w:val="FF0000"/>
          <w:sz w:val="22"/>
          <w:szCs w:val="22"/>
          <w:lang w:val="nl-NL"/>
        </w:rPr>
      </w:pPr>
      <w:r w:rsidRPr="00340A62">
        <w:rPr>
          <w:rFonts w:ascii="Palatino Linotype" w:hAnsi="Palatino Linotype"/>
          <w:snapToGrid/>
          <w:sz w:val="22"/>
          <w:szCs w:val="22"/>
          <w:lang w:val="nl-NL"/>
        </w:rPr>
        <w:t>Artikel 1.8  Belarus komt te luiden:</w:t>
      </w: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p>
    <w:p w:rsidR="00340A62" w:rsidRPr="00340A62" w:rsidRDefault="00340A62" w:rsidP="00340A62">
      <w:pPr>
        <w:widowControl/>
        <w:autoSpaceDE w:val="0"/>
        <w:autoSpaceDN w:val="0"/>
        <w:adjustRightInd w:val="0"/>
        <w:jc w:val="center"/>
        <w:rPr>
          <w:rFonts w:ascii="Palatino Linotype" w:hAnsi="Palatino Linotype" w:cs="Arial"/>
          <w:bCs/>
          <w:iCs/>
          <w:snapToGrid/>
          <w:sz w:val="22"/>
          <w:szCs w:val="22"/>
          <w:lang w:val="nl-NL" w:eastAsia="zh-CN"/>
        </w:rPr>
      </w:pPr>
      <w:r w:rsidRPr="00340A62">
        <w:rPr>
          <w:rFonts w:ascii="Palatino Linotype" w:hAnsi="Palatino Linotype" w:cs="Arial"/>
          <w:bCs/>
          <w:iCs/>
          <w:snapToGrid/>
          <w:sz w:val="22"/>
          <w:szCs w:val="22"/>
          <w:lang w:val="nl-NL" w:eastAsia="zh-CN"/>
        </w:rPr>
        <w:t>Artikel 1.8 Belarus</w:t>
      </w: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p>
    <w:p w:rsidR="00340A62" w:rsidRPr="00340A62" w:rsidRDefault="00340A62" w:rsidP="00340A62">
      <w:pPr>
        <w:widowControl/>
        <w:autoSpaceDE w:val="0"/>
        <w:autoSpaceDN w:val="0"/>
        <w:adjustRightInd w:val="0"/>
        <w:jc w:val="both"/>
        <w:rPr>
          <w:rFonts w:ascii="Palatino Linotype" w:hAnsi="Palatino Linotype" w:cs="Arial"/>
          <w:bCs/>
          <w:iCs/>
          <w:snapToGrid/>
          <w:sz w:val="22"/>
          <w:szCs w:val="22"/>
          <w:lang w:val="nl-NL" w:eastAsia="zh-CN"/>
        </w:rPr>
      </w:pPr>
      <w:r w:rsidRPr="00340A62">
        <w:rPr>
          <w:rFonts w:ascii="Palatino Linotype" w:hAnsi="Palatino Linotype" w:cs="Arial"/>
          <w:bCs/>
          <w:iCs/>
          <w:snapToGrid/>
          <w:sz w:val="22"/>
          <w:szCs w:val="22"/>
          <w:lang w:val="nl-NL" w:eastAsia="zh-CN"/>
        </w:rPr>
        <w:t>Het is verboden te handelen in strijd met artikel 1 bis, eerste lid, artikel 1 bis bis, eerste en tweede lid, artikel 1 bis ter, eerste lid, artikel 1 ter, eerste lid, artikel 1 ter bis, artikel 1 ter ter, eerste, tweede en derde lid, artikel 1 quater, eerste lid, artikel 1 quinquies, eerste lid, artikel 1 sexies, eerste lid, lid 1 bis, tweede lid en derde lid, tweede alinea, artikel 1 septies, eerste lid, lid 1 bis, lid 1 bis bis, tweede lid en derde lid, tweede alinea, artikel 1 septies bis, eerste lid en lid 1 bis, artikel 1 septies quinquies, eerste en tweede lid, artikel 1 octies, eerste lid, en lid 1 bis, artikel 1 octies bis, eerste, tweede en derde lid, artikel 1 octies ter, eerste lid, artikel 1 octies quater, eerste en tweede lid, artikel 1 octies quinquies, eerste en tweede lid, artikel 1 nonies, eerste lid, tweede en vijfde lid, artikel 1 decies, eerste lid, en lid 1 bis, artikel 1 undecies, artikel 1 undecies bis, eerste lid, artikel 1 undecies ter, artikel 1 undecies quater, eerste tot en met vijfde lid, artikel 1 duodecies, eerste lid, artikel 1 terdecies, eerste lid, artikel 1 quaterdecies, artikel 1 sexdecies, eerste lid, artikel 1 septiesdecies, eerste lid, artikel 1 octiesdecies, eerste lid, artikel 1 noviesdecies, eerste lid, artikel 1 noviesdecies bis, eerste en tweede lid, artikel 1 noviesdecies ter, eerste tot en met vierde lid, artikel 1 noviesdecies quater, eerste tot en met derde lid, artikel 1 vicies, eerste lid, en lid 1 bis, artikel 1 vicies bis, eerste lid, lid 1 bis, tweede tot en met vierde lid, artikel 1 unvicies, eerste lid, artikel 1 duovicies, eerste, tweede en derde lid, artikel 1 quinvicies, eerste lid, artikel 1 sexvicies, eerste lid, artikel 1 septvicies, artikel 1 septvicies bis, eerste lid, artikel 1 septvicies ter, eerste lid, artikel 1 septvicies quater, eerste lid, lid 1 bis, lid 1 ter, lid 1 quater en lid 1 quinquies, artikel 2, eerste, tweede en derde lid, artikel 5, artikel 8 ter, eerste lid, artikel 8 quinquies, eerste lid, artikel 8 octies, eerste lid, vierde lid tot en met zesde lid, artikel 8 octies bis, eerste lid, lid 1 bis, derde lid en lid 3 bis, artikel 8 decies en artikel 8 undecies, eerste lid, van Verordening (EG) nr. 765/2006 van de Raad van de Europese Unie van 18 mei 2006 betreffende beperkende maatregelen met het oog op de situatie in Belarus en de betrokkenheid van Belarus bij de Russische agressie tegen Oekraïne (PbEU, L 134).</w:t>
      </w:r>
    </w:p>
    <w:p w:rsidR="00340A62" w:rsidRPr="00340A62" w:rsidRDefault="00340A62" w:rsidP="00340A62">
      <w:pPr>
        <w:autoSpaceDE w:val="0"/>
        <w:autoSpaceDN w:val="0"/>
        <w:adjustRightInd w:val="0"/>
        <w:ind w:left="72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hanging="72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C</w:t>
      </w:r>
    </w:p>
    <w:p w:rsidR="00340A62" w:rsidRPr="00340A62" w:rsidRDefault="00340A62" w:rsidP="00340A62">
      <w:pPr>
        <w:autoSpaceDE w:val="0"/>
        <w:autoSpaceDN w:val="0"/>
        <w:adjustRightInd w:val="0"/>
        <w:ind w:left="720" w:hanging="72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Artikel 1.19 Iran komt te luiden:</w:t>
      </w: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Artikel 1.19 Iran</w:t>
      </w:r>
    </w:p>
    <w:p w:rsidR="00340A62" w:rsidRPr="00340A62" w:rsidRDefault="00340A62" w:rsidP="00340A62">
      <w:pPr>
        <w:autoSpaceDE w:val="0"/>
        <w:autoSpaceDN w:val="0"/>
        <w:adjustRightInd w:val="0"/>
        <w:ind w:left="720" w:hanging="720"/>
        <w:jc w:val="center"/>
        <w:rPr>
          <w:rFonts w:ascii="Palatino Linotype" w:hAnsi="Palatino Linotype" w:cs="Arial"/>
          <w:snapToGrid/>
          <w:sz w:val="22"/>
          <w:szCs w:val="22"/>
          <w:lang w:val="nl-NL" w:eastAsia="zh-CN"/>
        </w:rPr>
      </w:pP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hAnsi="Palatino Linotype" w:cs="Arial"/>
          <w:snapToGrid/>
          <w:color w:val="333333"/>
          <w:sz w:val="22"/>
          <w:szCs w:val="22"/>
          <w:shd w:val="clear" w:color="auto" w:fill="FFFFFF"/>
          <w:lang w:val="nl-NL"/>
        </w:rPr>
        <w:t xml:space="preserve">Het is verboden te handelen in strijd met artikel 2, eerste lid, artikel 3, eerste en vierde lid, artikel 4, artikel 4 bis, eerste lid, artikel 4 ter, artikel 4 quater, artikel 5, eerste lid, artikel 8, eerste lid, artikel 9, artikel 10 bis, eerste lid, artikel 10 ter, artikel 10 quinquies, eerste lid, artikel 10 sexties, artikel 11, eerste lid, artikel 13, eerste lid, artikel 14 bis, eerste lid, artikel 15, eerste lid, artikel 15 bis, eerste lid, artikel 15 ter, eerste lid, artikel 16, artikel 17, eerste, tweede en vierde lid, artikel 18, eerst lid, artikel 22, artikel 23, eerste tot en met vierde lid, artikel 29, eerste lid, tweede volzin, artikel 30, eerste, derde, vijfde en zesde lid, artikel 30 bis, eerste en derde lid, artikel 30 ter, tweede lid, artikel 31, eerste lid, artikel 33, eerste en tweede lid, artikel </w:t>
      </w:r>
      <w:r w:rsidRPr="00340A62">
        <w:rPr>
          <w:rFonts w:ascii="Palatino Linotype" w:hAnsi="Palatino Linotype" w:cs="Arial"/>
          <w:snapToGrid/>
          <w:color w:val="333333"/>
          <w:sz w:val="22"/>
          <w:szCs w:val="22"/>
          <w:shd w:val="clear" w:color="auto" w:fill="FFFFFF"/>
          <w:lang w:val="nl-NL"/>
        </w:rPr>
        <w:lastRenderedPageBreak/>
        <w:t>34, artikel 35, eerste en vierde lid, artikel 36, eerste en tweede lid, artikel 37, eerste, tweede en derde lid, artikel 37 bis, artikel 37 ter, eerste lid, artikel 40, eerste lid, en artikel 41 van </w:t>
      </w:r>
      <w:hyperlink r:id="rId9" w:history="1">
        <w:r w:rsidRPr="00340A62">
          <w:rPr>
            <w:rFonts w:ascii="Palatino Linotype" w:hAnsi="Palatino Linotype" w:cs="Arial"/>
            <w:snapToGrid/>
            <w:color w:val="154273"/>
            <w:sz w:val="22"/>
            <w:szCs w:val="22"/>
            <w:u w:val="single"/>
            <w:bdr w:val="none" w:sz="0" w:space="0" w:color="auto" w:frame="1"/>
            <w:shd w:val="clear" w:color="auto" w:fill="FFFFFF"/>
            <w:lang w:val="nl-NL"/>
          </w:rPr>
          <w:t>Externe link:</w:t>
        </w:r>
        <w:r w:rsidRPr="00340A62">
          <w:rPr>
            <w:rFonts w:ascii="Palatino Linotype" w:hAnsi="Palatino Linotype" w:cs="Arial"/>
            <w:snapToGrid/>
            <w:color w:val="154273"/>
            <w:sz w:val="22"/>
            <w:szCs w:val="22"/>
            <w:u w:val="single"/>
            <w:shd w:val="clear" w:color="auto" w:fill="FFFFFF"/>
            <w:lang w:val="nl-NL"/>
          </w:rPr>
          <w:t>Verordening (EU) nr. 267/2012</w:t>
        </w:r>
      </w:hyperlink>
      <w:r w:rsidRPr="00340A62">
        <w:rPr>
          <w:rFonts w:ascii="Palatino Linotype" w:hAnsi="Palatino Linotype" w:cs="Arial"/>
          <w:snapToGrid/>
          <w:color w:val="333333"/>
          <w:sz w:val="22"/>
          <w:szCs w:val="22"/>
          <w:shd w:val="clear" w:color="auto" w:fill="FFFFFF"/>
          <w:lang w:val="nl-NL"/>
        </w:rPr>
        <w:t> van de Raad van de Europese Unie van 23 maart 2012 (Pb L 88).</w:t>
      </w: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eastAsia="Arial Unicode MS" w:hAnsi="Palatino Linotype" w:cs="Arial"/>
          <w:snapToGrid/>
          <w:color w:val="333333"/>
          <w:sz w:val="22"/>
          <w:szCs w:val="22"/>
          <w:bdr w:val="nil"/>
          <w:shd w:val="clear" w:color="auto" w:fill="FFFFFF"/>
          <w:lang w:val="nl-NL" w:eastAsia="nl-NL"/>
          <w14:textOutline w14:w="0" w14:cap="flat" w14:cmpd="sng" w14:algn="ctr">
            <w14:noFill/>
            <w14:prstDash w14:val="solid"/>
            <w14:bevel/>
          </w14:textOutline>
        </w:rPr>
        <w:t>Het is verboden te handelen in strijd met artikel 1 bis, artikel 1 ter, eerste lid, artikel 1 quater, eerste lid, artikel 2 en artikel 9, eerste lid, van Verordening (EU) nr. 359/2011 van de Raad van de Europese Unie van 12 april 2011 betreffende beperkende maatregelen tegen bepaalde personen, entiteiten en lichamen, in verband met de situatie in Iran (Pb L 100).</w:t>
      </w:r>
    </w:p>
    <w:p w:rsidR="00340A62" w:rsidRPr="00340A62" w:rsidRDefault="00340A62" w:rsidP="00340A62">
      <w:pPr>
        <w:widowControl/>
        <w:numPr>
          <w:ilvl w:val="0"/>
          <w:numId w:val="16"/>
        </w:numPr>
        <w:pBdr>
          <w:top w:val="nil"/>
          <w:left w:val="nil"/>
          <w:bottom w:val="nil"/>
          <w:right w:val="nil"/>
          <w:between w:val="nil"/>
          <w:bar w:val="nil"/>
        </w:pBdr>
        <w:ind w:left="360"/>
        <w:jc w:val="both"/>
        <w:rPr>
          <w:rFonts w:ascii="Palatino Linotype" w:hAnsi="Palatino Linotype" w:cs="Arial"/>
          <w:snapToGrid/>
          <w:color w:val="333333"/>
          <w:sz w:val="22"/>
          <w:szCs w:val="22"/>
          <w:shd w:val="clear" w:color="auto" w:fill="FFFFFF"/>
          <w:lang w:val="nl-NL"/>
        </w:rPr>
      </w:pPr>
      <w:r w:rsidRPr="00340A62">
        <w:rPr>
          <w:rFonts w:ascii="Palatino Linotype" w:hAnsi="Palatino Linotype" w:cs="Arial"/>
          <w:snapToGrid/>
          <w:color w:val="333333"/>
          <w:sz w:val="22"/>
          <w:szCs w:val="22"/>
          <w:shd w:val="clear" w:color="auto" w:fill="FFFFFF"/>
          <w:lang w:val="nl-NL"/>
        </w:rPr>
        <w:t>Het is verboden te handelen in strijd met artikel 2, eerste en tweede lid, artikel 2 bis, eerste lid, artikel 3, artikel 3 septies, tweede lid, artikel 5, eerste lid, en artikel 12, eerste en tweede lid, van </w:t>
      </w:r>
      <w:hyperlink r:id="rId10" w:history="1">
        <w:r w:rsidRPr="00340A62">
          <w:rPr>
            <w:rFonts w:ascii="Palatino Linotype" w:hAnsi="Palatino Linotype" w:cs="Arial"/>
            <w:snapToGrid/>
            <w:color w:val="154273"/>
            <w:sz w:val="22"/>
            <w:szCs w:val="22"/>
            <w:u w:val="single"/>
            <w:bdr w:val="none" w:sz="0" w:space="0" w:color="auto" w:frame="1"/>
            <w:shd w:val="clear" w:color="auto" w:fill="FFFFFF"/>
            <w:lang w:val="nl-NL"/>
          </w:rPr>
          <w:t>Externe link:</w:t>
        </w:r>
        <w:r w:rsidRPr="00340A62">
          <w:rPr>
            <w:rFonts w:ascii="Palatino Linotype" w:hAnsi="Palatino Linotype" w:cs="Arial"/>
            <w:snapToGrid/>
            <w:color w:val="154273"/>
            <w:sz w:val="22"/>
            <w:szCs w:val="22"/>
            <w:u w:val="single"/>
            <w:shd w:val="clear" w:color="auto" w:fill="FFFFFF"/>
            <w:lang w:val="nl-NL"/>
          </w:rPr>
          <w:t>Verordening (EU) nr. 2023/1529</w:t>
        </w:r>
      </w:hyperlink>
      <w:r w:rsidRPr="00340A62">
        <w:rPr>
          <w:rFonts w:ascii="Palatino Linotype" w:hAnsi="Palatino Linotype" w:cs="Arial"/>
          <w:snapToGrid/>
          <w:color w:val="333333"/>
          <w:sz w:val="22"/>
          <w:szCs w:val="22"/>
          <w:shd w:val="clear" w:color="auto" w:fill="FFFFFF"/>
          <w:lang w:val="nl-NL"/>
        </w:rPr>
        <w:t> van de Raad van de Europese Unie van 20 juli 2023 betreffende beperkende maatregelen in het licht van de militaire steun van Iran aan de Russische aanvalsoorlog tegen Oekraïne (PbEU 2023, L 186).</w:t>
      </w:r>
    </w:p>
    <w:p w:rsidR="00340A62" w:rsidRPr="00340A62" w:rsidRDefault="00340A62" w:rsidP="00340A62">
      <w:pPr>
        <w:widowControl/>
        <w:pBdr>
          <w:top w:val="nil"/>
          <w:left w:val="nil"/>
          <w:bottom w:val="nil"/>
          <w:right w:val="nil"/>
          <w:between w:val="nil"/>
          <w:bar w:val="nil"/>
        </w:pBdr>
        <w:jc w:val="both"/>
        <w:rPr>
          <w:rFonts w:ascii="Palatino Linotype" w:eastAsia="Arial Unicode MS" w:hAnsi="Palatino Linotype" w:cs="Arial Unicode MS"/>
          <w:snapToGrid/>
          <w:sz w:val="22"/>
          <w:szCs w:val="22"/>
          <w:bdr w:val="nil"/>
          <w:shd w:val="clear" w:color="auto" w:fill="FFFFFF"/>
          <w:lang w:val="nl-NL" w:eastAsia="nl-NL"/>
          <w14:textOutline w14:w="0" w14:cap="flat" w14:cmpd="sng" w14:algn="ctr">
            <w14:noFill/>
            <w14:prstDash w14:val="solid"/>
            <w14:bevel/>
          </w14:textOutline>
        </w:rPr>
      </w:pP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D</w:t>
      </w:r>
    </w:p>
    <w:p w:rsidR="00340A62" w:rsidRPr="00340A62" w:rsidRDefault="00340A62" w:rsidP="00340A62">
      <w:pPr>
        <w:widowControl/>
        <w:pBdr>
          <w:top w:val="nil"/>
          <w:left w:val="nil"/>
          <w:bottom w:val="nil"/>
          <w:right w:val="nil"/>
          <w:between w:val="nil"/>
          <w:bar w:val="nil"/>
        </w:pBdr>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In artikel 1.22 Libië wordt “artikel 3, eerste lid,” vervangen door “artikel 3, eerste en tweede lid, artikel 3 bis,“.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E</w:t>
      </w:r>
    </w:p>
    <w:p w:rsidR="00340A62" w:rsidRPr="00340A62" w:rsidRDefault="00340A62" w:rsidP="00340A62">
      <w:pPr>
        <w:widowControl/>
        <w:jc w:val="both"/>
        <w:rPr>
          <w:rFonts w:ascii="Palatino Linotype" w:hAnsi="Palatino Linotype"/>
          <w:snapToGrid/>
          <w:sz w:val="22"/>
          <w:szCs w:val="22"/>
          <w:lang w:val="nl-NL"/>
        </w:rPr>
      </w:pPr>
      <w:bookmarkStart w:id="1" w:name="_Hlk229039941"/>
      <w:r w:rsidRPr="00340A62">
        <w:rPr>
          <w:rFonts w:ascii="Palatino Linotype" w:hAnsi="Palatino Linotype"/>
          <w:snapToGrid/>
          <w:sz w:val="22"/>
          <w:szCs w:val="22"/>
          <w:lang w:val="nl-NL"/>
        </w:rPr>
        <w:t>Artikel 1.35 Zimbabwe (nieuw) vervalt</w:t>
      </w:r>
      <w:bookmarkEnd w:id="1"/>
      <w:r w:rsidRPr="00340A62">
        <w:rPr>
          <w:rFonts w:ascii="Palatino Linotype" w:hAnsi="Palatino Linotype"/>
          <w:snapToGrid/>
          <w:sz w:val="22"/>
          <w:szCs w:val="22"/>
          <w:lang w:val="nl-NL"/>
        </w:rPr>
        <w:t xml:space="preserve">.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F</w:t>
      </w: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Artikel 2.1, eerste lid, wordt als volgt gewijzgd:</w:t>
      </w:r>
    </w:p>
    <w:p w:rsidR="00340A62" w:rsidRPr="00340A62" w:rsidRDefault="00340A62" w:rsidP="00340A62">
      <w:pPr>
        <w:widowControl/>
        <w:pBdr>
          <w:top w:val="nil"/>
          <w:left w:val="nil"/>
          <w:bottom w:val="nil"/>
          <w:right w:val="nil"/>
          <w:between w:val="nil"/>
          <w:bar w:val="nil"/>
        </w:pBdr>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1.  Onderdeel l, komt te luiden:</w:t>
      </w:r>
    </w:p>
    <w:p w:rsidR="00340A62" w:rsidRPr="00340A62" w:rsidRDefault="00340A62" w:rsidP="00340A62">
      <w:pPr>
        <w:widowControl/>
        <w:pBdr>
          <w:top w:val="nil"/>
          <w:left w:val="nil"/>
          <w:bottom w:val="nil"/>
          <w:right w:val="nil"/>
          <w:between w:val="nil"/>
          <w:bar w:val="nil"/>
        </w:pBdr>
        <w:ind w:left="630" w:hanging="360"/>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 xml:space="preserve">l. </w:t>
      </w: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ab/>
        <w:t xml:space="preserve">meldplichten zoals bepaald in dit landsbesluit van toepassing verklaarde verordeningen, respectievelijk besluiten van de Raad van de Europese Unie, waaronder tevens de Resoluties van de Veiligheidsraad van de Verenigde Naties, met dien verstande dat de melding of in kennis stelling aan de bevoegde organen van de Europese Raad en de Verenigde Naties geschiedt door tussenkomst van de Directie Buitenlandse Betrekkingen van het Ministerie van Algemene Zaken; </w:t>
      </w:r>
    </w:p>
    <w:p w:rsidR="00340A62" w:rsidRPr="00340A62" w:rsidRDefault="00340A62" w:rsidP="00340A62">
      <w:pPr>
        <w:widowControl/>
        <w:pBdr>
          <w:top w:val="nil"/>
          <w:left w:val="nil"/>
          <w:bottom w:val="nil"/>
          <w:right w:val="nil"/>
          <w:between w:val="nil"/>
          <w:bar w:val="nil"/>
        </w:pBdr>
        <w:ind w:left="270" w:hanging="270"/>
        <w:jc w:val="both"/>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pPr>
      <w:r w:rsidRPr="00340A62">
        <w:rPr>
          <w:rFonts w:ascii="Palatino Linotype" w:eastAsia="Arial Unicode MS" w:hAnsi="Palatino Linotype" w:cs="Arial Unicode MS"/>
          <w:snapToGrid/>
          <w:sz w:val="22"/>
          <w:szCs w:val="22"/>
          <w:bdr w:val="nil"/>
          <w:lang w:val="nl-NL" w:eastAsia="nl-NL"/>
          <w14:textOutline w14:w="0" w14:cap="flat" w14:cmpd="sng" w14:algn="ctr">
            <w14:noFill/>
            <w14:prstDash w14:val="solid"/>
            <w14:bevel/>
          </w14:textOutline>
        </w:rPr>
        <w:t>2. Onderdeel n wordt geletterd tot o en er wordt een nieuwe letter n ingevoegd, luidende:</w:t>
      </w:r>
    </w:p>
    <w:p w:rsidR="00340A62" w:rsidRPr="00340A62" w:rsidRDefault="00340A62" w:rsidP="00340A62">
      <w:pPr>
        <w:widowControl/>
        <w:ind w:left="630" w:hanging="360"/>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n.  </w:t>
      </w:r>
      <w:r w:rsidRPr="00340A62">
        <w:rPr>
          <w:rFonts w:ascii="Palatino Linotype" w:hAnsi="Palatino Linotype"/>
          <w:snapToGrid/>
          <w:sz w:val="22"/>
          <w:szCs w:val="22"/>
          <w:lang w:val="nl-NL"/>
        </w:rPr>
        <w:tab/>
        <w:t xml:space="preserve">de communicatie met het Ministerie van Buitenlandse Zaken van Nederland over internationale sancties, waaronder de voordracht tot opvoeren van een lokale terrorist of terroristische groep op de sanctielijst van de Veiligheidsraad of de Europese Commissie. </w:t>
      </w:r>
    </w:p>
    <w:p w:rsidR="00340A62" w:rsidRPr="00340A62" w:rsidRDefault="00340A62" w:rsidP="00340A62">
      <w:pPr>
        <w:widowControl/>
        <w:ind w:left="630" w:hanging="630"/>
        <w:jc w:val="both"/>
        <w:rPr>
          <w:rFonts w:ascii="Palatino Linotype" w:hAnsi="Palatino Linotype"/>
          <w:snapToGrid/>
          <w:sz w:val="22"/>
          <w:szCs w:val="22"/>
          <w:lang w:val="nl-NL"/>
        </w:rPr>
      </w:pPr>
      <w:r w:rsidRPr="00340A62">
        <w:rPr>
          <w:rFonts w:ascii="Palatino Linotype" w:hAnsi="Palatino Linotype"/>
          <w:snapToGrid/>
          <w:sz w:val="22"/>
          <w:szCs w:val="22"/>
          <w:lang w:val="nl-NL"/>
        </w:rPr>
        <w:t>3.  In het tweede lid wordt het laatste (tweede) letter l, verletterd naar o.</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G</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3.1 wordt gewijzigd als volgt:</w:t>
      </w:r>
    </w:p>
    <w:p w:rsidR="00340A62" w:rsidRPr="00340A62" w:rsidRDefault="00340A62" w:rsidP="00340A62">
      <w:pPr>
        <w:widowControl/>
        <w:numPr>
          <w:ilvl w:val="0"/>
          <w:numId w:val="15"/>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nummer 3.1 wordt vernummerd tot 3.</w:t>
      </w:r>
    </w:p>
    <w:p w:rsidR="00340A62" w:rsidRPr="00340A62" w:rsidRDefault="00340A62" w:rsidP="00340A62">
      <w:pPr>
        <w:widowControl/>
        <w:numPr>
          <w:ilvl w:val="0"/>
          <w:numId w:val="15"/>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(nieuwe) nummer 3 komt te luiden:</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3 Wapenembargo’s</w:t>
      </w:r>
    </w:p>
    <w:p w:rsidR="00340A62" w:rsidRPr="00340A62" w:rsidRDefault="00340A62" w:rsidP="00340A62">
      <w:pPr>
        <w:widowControl/>
        <w:jc w:val="center"/>
        <w:rPr>
          <w:rFonts w:ascii="Palatino Linotype" w:eastAsia="Palatino Linotype" w:hAnsi="Palatino Linotype" w:cs="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Het is verboden om militaire goederen, alsmede militaire technologie, dan wel onderdelen daarvan, direct of indirect te verkopen of te leveren aan, door of uit te voeren naar, dan wel over te dragen aan, daaronder begrepen over te brengen naar, natuurlijke personen, rechtspersonen </w:t>
      </w:r>
      <w:r w:rsidRPr="00340A62">
        <w:rPr>
          <w:rFonts w:ascii="Palatino Linotype" w:eastAsia="Palatino Linotype" w:hAnsi="Palatino Linotype" w:cs="Palatino Linotype"/>
          <w:snapToGrid/>
          <w:sz w:val="22"/>
          <w:szCs w:val="22"/>
          <w:lang w:val="nl-NL"/>
        </w:rPr>
        <w:lastRenderedPageBreak/>
        <w:t>of entiteiten in of voor gebruik in of ten behoeve van de hierna aangewezen landen of personen of entiteiten, ongeacht het land van oorsprong:</w:t>
      </w:r>
    </w:p>
    <w:p w:rsidR="00340A62" w:rsidRPr="00340A62" w:rsidRDefault="00340A62" w:rsidP="00340A62">
      <w:pPr>
        <w:widowControl/>
        <w:numPr>
          <w:ilvl w:val="0"/>
          <w:numId w:val="8"/>
        </w:numPr>
        <w:ind w:left="360"/>
        <w:contextualSpacing/>
        <w:jc w:val="both"/>
        <w:rPr>
          <w:rFonts w:ascii="Palatino Linotype" w:eastAsia="Palatino Linotype" w:hAnsi="Palatino Linotype" w:cs="Palatino Linotype"/>
          <w:snapToGrid/>
          <w:sz w:val="22"/>
          <w:szCs w:val="22"/>
          <w:lang w:val="nl-NL"/>
        </w:rPr>
      </w:pPr>
      <w:bookmarkStart w:id="2" w:name="_2et92p0"/>
      <w:bookmarkEnd w:id="2"/>
      <w:r w:rsidRPr="00340A62">
        <w:rPr>
          <w:rFonts w:ascii="Palatino Linotype" w:eastAsia="Palatino Linotype" w:hAnsi="Palatino Linotype" w:cs="Palatino Linotype"/>
          <w:snapToGrid/>
          <w:sz w:val="22"/>
          <w:szCs w:val="22"/>
          <w:lang w:val="nl-NL"/>
        </w:rPr>
        <w:t>de personen of entiteiten, genoemd in bijlage I van het Besluit nr. 2011/486/GBVB van de Raad van de Europese Unie van 1 augustus 2011 (Pb L199) (</w:t>
      </w:r>
      <w:r w:rsidRPr="00340A62">
        <w:rPr>
          <w:rFonts w:ascii="Palatino Linotype" w:eastAsia="Palatino Linotype" w:hAnsi="Palatino Linotype" w:cs="Palatino Linotype"/>
          <w:b/>
          <w:snapToGrid/>
          <w:sz w:val="22"/>
          <w:szCs w:val="22"/>
          <w:lang w:val="nl-NL"/>
        </w:rPr>
        <w:t>Afghanistan</w:t>
      </w:r>
      <w:r w:rsidRPr="00340A62">
        <w:rPr>
          <w:rFonts w:ascii="Palatino Linotype" w:eastAsia="Palatino Linotype" w:hAnsi="Palatino Linotype" w:cs="Palatino Linotype"/>
          <w:snapToGrid/>
          <w:sz w:val="22"/>
          <w:szCs w:val="22"/>
          <w:lang w:val="nl-NL"/>
        </w:rPr>
        <w:t>)</w:t>
      </w:r>
      <w:r w:rsidRPr="00340A62">
        <w:rPr>
          <w:rFonts w:ascii="Palatino Linotype" w:eastAsia="Palatino Linotype" w:hAnsi="Palatino Linotype" w:cs="Palatino Linotype"/>
          <w:snapToGrid/>
          <w:sz w:val="22"/>
          <w:szCs w:val="22"/>
          <w:vertAlign w:val="superscript"/>
          <w:lang w:val="nl-NL"/>
        </w:rPr>
        <w:footnoteReference w:id="3"/>
      </w:r>
      <w:r w:rsidRPr="00340A62">
        <w:rPr>
          <w:rFonts w:ascii="Palatino Linotype" w:eastAsia="Palatino Linotype" w:hAnsi="Palatino Linotype" w:cs="Palatino Linotype"/>
          <w:snapToGrid/>
          <w:sz w:val="22"/>
          <w:szCs w:val="22"/>
          <w:lang w:val="nl-NL"/>
        </w:rPr>
        <w:t xml:space="preserve"> en de </w:t>
      </w:r>
      <w:r w:rsidRPr="00340A62">
        <w:rPr>
          <w:rFonts w:ascii="Palatino Linotype" w:eastAsia="Palatino Linotype" w:hAnsi="Palatino Linotype" w:cs="Palatino Linotype"/>
          <w:bCs/>
          <w:snapToGrid/>
          <w:sz w:val="22"/>
          <w:szCs w:val="22"/>
          <w:lang w:val="nl-NL"/>
        </w:rPr>
        <w:t>Verordening (EU) nr. 753/2011 van de Raad  van 1 augustus 2011 betreffende beperkende maatregelen tegen bepaalde personen, groepen, ondernemingen en entiteiten in verband met de situatie in Afghanistan</w:t>
      </w:r>
      <w:r w:rsidRPr="00340A62">
        <w:rPr>
          <w:rFonts w:ascii="Palatino Linotype" w:eastAsia="Palatino Linotype" w:hAnsi="Palatino Linotype" w:cs="Palatino Linotype"/>
          <w:snapToGrid/>
          <w:sz w:val="22"/>
          <w:szCs w:val="22"/>
          <w:vertAlign w:val="superscript"/>
          <w:lang w:val="nl-NL"/>
        </w:rPr>
        <w:footnoteReference w:id="4"/>
      </w:r>
      <w:r w:rsidRPr="00340A62">
        <w:rPr>
          <w:rFonts w:ascii="Palatino Linotype" w:eastAsia="Palatino Linotype" w:hAnsi="Palatino Linotype" w:cs="Palatino Linotype"/>
          <w:bCs/>
          <w:snapToGrid/>
          <w:sz w:val="22"/>
          <w:szCs w:val="22"/>
          <w:lang w:val="nl-NL"/>
        </w:rPr>
        <w:t>;</w:t>
      </w:r>
    </w:p>
    <w:p w:rsidR="00340A62" w:rsidRPr="00340A62" w:rsidRDefault="00340A62" w:rsidP="00340A62">
      <w:pPr>
        <w:widowControl/>
        <w:numPr>
          <w:ilvl w:val="0"/>
          <w:numId w:val="8"/>
        </w:numPr>
        <w:ind w:left="360"/>
        <w:jc w:val="both"/>
        <w:rPr>
          <w:rFonts w:ascii="Palatino Linotype" w:eastAsia="Calibri" w:hAnsi="Palatino Linotype"/>
          <w:snapToGrid/>
          <w:sz w:val="22"/>
          <w:szCs w:val="22"/>
          <w:lang w:val="pap-029"/>
        </w:rPr>
      </w:pPr>
      <w:r w:rsidRPr="00340A62">
        <w:rPr>
          <w:rFonts w:ascii="Palatino Linotype" w:eastAsia="Calibri" w:hAnsi="Palatino Linotype"/>
          <w:snapToGrid/>
          <w:color w:val="000000"/>
          <w:sz w:val="22"/>
          <w:szCs w:val="22"/>
          <w:shd w:val="clear" w:color="auto" w:fill="FFFFFF"/>
          <w:lang w:val="pap-029"/>
        </w:rPr>
        <w:t>de personen, groepen, ondernemingen of entiteiten die door de VN-Veiligheidsraad — uit hoofde van UNSCR's (United Nation Security Councel) 1267 (1999), 1333 (2000) en 2253 (2015), zoals bijgewerkt door het overeenkomstig UNSCR 1267 (1999) ingestelde comité, of door de Raad zijn aangewezen, of aan degenen die namens hen of op hun aanwijzing handelen, door onderdanen van de lidstaten of vanaf of via het grondgebied van de lidstaten, of met gebruikmaking van onder hun vlag varende schepen of hun luchtvaartuigen, is verboden, ongeacht of de goederen oorspronkelijk van het grondgebied van de lidstaten afkomstig zijn op grond van</w:t>
      </w:r>
      <w:r w:rsidRPr="00340A62">
        <w:rPr>
          <w:rFonts w:ascii="Palatino Linotype" w:eastAsia="Calibri" w:hAnsi="Palatino Linotype"/>
          <w:snapToGrid/>
          <w:sz w:val="22"/>
          <w:szCs w:val="22"/>
          <w:lang w:val="pap-029"/>
        </w:rPr>
        <w:t xml:space="preserve"> het Besluit nr. 2016/1693/GBVB van de Raad van 20 september 2016 betreffende beperkende maatregelen tegen ISIS (Da'esh) en Al Qaida en daarmee verbonden personen, groepen, ondernemingen en entiteiten, en tot intrekking van Gemeenschappelijk Standpunt 2002/402/GBVB</w:t>
      </w:r>
      <w:r w:rsidRPr="00340A62">
        <w:rPr>
          <w:rFonts w:ascii="Palatino Linotype" w:eastAsia="Calibri" w:hAnsi="Palatino Linotype"/>
          <w:snapToGrid/>
          <w:sz w:val="22"/>
          <w:szCs w:val="22"/>
          <w:vertAlign w:val="superscript"/>
          <w:lang w:val="pap-029"/>
        </w:rPr>
        <w:footnoteReference w:id="5"/>
      </w:r>
    </w:p>
    <w:p w:rsidR="00340A62" w:rsidRPr="00340A62" w:rsidRDefault="00340A62" w:rsidP="00340A62">
      <w:pPr>
        <w:widowControl/>
        <w:tabs>
          <w:tab w:val="left" w:pos="36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b.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Belarus</w:t>
      </w:r>
      <w:r w:rsidRPr="00340A62">
        <w:rPr>
          <w:rFonts w:ascii="Palatino Linotype" w:eastAsia="Palatino Linotype" w:hAnsi="Palatino Linotype" w:cs="Palatino Linotype"/>
          <w:snapToGrid/>
          <w:sz w:val="22"/>
          <w:szCs w:val="22"/>
          <w:lang w:val="nl-NL"/>
        </w:rPr>
        <w:t xml:space="preserve"> op grond van </w:t>
      </w:r>
      <w:r w:rsidRPr="00340A62">
        <w:rPr>
          <w:rFonts w:ascii="Palatino Linotype" w:hAnsi="Palatino Linotype"/>
          <w:snapToGrid/>
          <w:sz w:val="22"/>
          <w:szCs w:val="22"/>
          <w:lang w:val="nl-NL"/>
        </w:rPr>
        <w:t>Verordening (EG) nr. 765/2006 betreffende beperkende maatregelen tegen president Loekasjenko en bepaalde functionarissen van Belarus</w:t>
      </w:r>
      <w:r w:rsidRPr="00340A62">
        <w:rPr>
          <w:rFonts w:ascii="Palatino Linotype" w:hAnsi="Palatino Linotype"/>
          <w:snapToGrid/>
          <w:sz w:val="22"/>
          <w:szCs w:val="22"/>
          <w:vertAlign w:val="superscript"/>
          <w:lang w:val="nl-NL"/>
        </w:rPr>
        <w:t xml:space="preserve"> </w:t>
      </w:r>
      <w:r w:rsidRPr="00340A62">
        <w:rPr>
          <w:rFonts w:ascii="Palatino Linotype" w:hAnsi="Palatino Linotype"/>
          <w:snapToGrid/>
          <w:sz w:val="22"/>
          <w:szCs w:val="22"/>
          <w:vertAlign w:val="superscript"/>
          <w:lang w:val="nl-NL"/>
        </w:rPr>
        <w:footnoteReference w:id="6"/>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pap-029"/>
        </w:rPr>
        <w:t xml:space="preserve">c.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Birma/ Myanmar</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snapToGrid/>
          <w:sz w:val="22"/>
          <w:szCs w:val="22"/>
          <w:lang w:val="pap-029"/>
        </w:rPr>
        <w:t xml:space="preserve"> Verordening (EU) nr. 401/2013 van de Raad van 2 mei 2013 betreffende beperkende maatregelen tegen Myanmar/Birma en tot intrekking van Verordening (EG) nr. 194/2008</w:t>
      </w:r>
      <w:r w:rsidRPr="00340A62">
        <w:rPr>
          <w:rFonts w:ascii="Palatino Linotype" w:eastAsia="Calibri" w:hAnsi="Palatino Linotype"/>
          <w:snapToGrid/>
          <w:sz w:val="22"/>
          <w:szCs w:val="22"/>
          <w:vertAlign w:val="superscript"/>
          <w:lang w:val="pap-029"/>
        </w:rPr>
        <w:footnoteReference w:id="7"/>
      </w:r>
      <w:r w:rsidRPr="00340A62">
        <w:rPr>
          <w:rFonts w:ascii="Palatino Linotype" w:eastAsia="Palatino Linotype" w:hAnsi="Palatino Linotype" w:cs="Palatino Linotype"/>
          <w:snapToGrid/>
          <w:sz w:val="22"/>
          <w:szCs w:val="22"/>
          <w:lang w:val="pap-029"/>
        </w:rPr>
        <w:t>;</w:t>
      </w:r>
    </w:p>
    <w:p w:rsidR="00340A62" w:rsidRPr="00340A62" w:rsidRDefault="00340A62" w:rsidP="00340A62">
      <w:pPr>
        <w:widowControl/>
        <w:ind w:left="360" w:hanging="360"/>
        <w:contextualSpacing/>
        <w:jc w:val="both"/>
        <w:rPr>
          <w:rFonts w:ascii="Palatino Linotype" w:hAnsi="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d.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Centraal-Afrikaanse Republiek</w:t>
      </w:r>
      <w:r w:rsidRPr="00340A62">
        <w:rPr>
          <w:rFonts w:ascii="Palatino Linotype" w:eastAsia="Palatino Linotype" w:hAnsi="Palatino Linotype" w:cs="Palatino Linotype"/>
          <w:snapToGrid/>
          <w:sz w:val="22"/>
          <w:szCs w:val="22"/>
          <w:lang w:val="nl-NL"/>
        </w:rPr>
        <w:t xml:space="preserve"> op grond van het </w:t>
      </w:r>
      <w:r w:rsidRPr="00340A62">
        <w:rPr>
          <w:rFonts w:ascii="Palatino Linotype" w:hAnsi="Palatino Linotype"/>
          <w:snapToGrid/>
          <w:sz w:val="22"/>
          <w:szCs w:val="22"/>
          <w:lang w:val="nl-NL"/>
        </w:rPr>
        <w:t>Besluit nr. 2013/798/GBVB van de Raad van 23 december 2013 betreffende beperkende maatregelen ten aanzien van de Centraal-Afrikaanse Republiek</w:t>
      </w:r>
      <w:r w:rsidRPr="00340A62">
        <w:rPr>
          <w:rFonts w:ascii="Palatino Linotype" w:hAnsi="Palatino Linotype"/>
          <w:snapToGrid/>
          <w:sz w:val="22"/>
          <w:szCs w:val="22"/>
          <w:vertAlign w:val="superscript"/>
          <w:lang w:val="nl-NL"/>
        </w:rPr>
        <w:footnoteReference w:id="8"/>
      </w:r>
      <w:r w:rsidRPr="00340A62">
        <w:rPr>
          <w:rFonts w:ascii="Palatino Linotype" w:eastAsia="Palatino Linotype" w:hAnsi="Palatino Linotype" w:cs="Palatino Linotype"/>
          <w:snapToGrid/>
          <w:sz w:val="22"/>
          <w:szCs w:val="22"/>
          <w:lang w:val="nl-NL"/>
        </w:rPr>
        <w:t>;</w:t>
      </w:r>
      <w:r w:rsidRPr="00340A62">
        <w:rPr>
          <w:rFonts w:ascii="Palatino Linotype" w:hAnsi="Palatino Linotype"/>
          <w:snapToGrid/>
          <w:sz w:val="22"/>
          <w:szCs w:val="22"/>
          <w:lang w:val="nl-NL"/>
        </w:rPr>
        <w:t xml:space="preserve"> </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e.   </w:t>
      </w:r>
      <w:r w:rsidRPr="00340A62">
        <w:rPr>
          <w:rFonts w:ascii="Palatino Linotype" w:eastAsia="Palatino Linotype" w:hAnsi="Palatino Linotype" w:cs="Palatino Linotype"/>
          <w:b/>
          <w:snapToGrid/>
          <w:sz w:val="22"/>
          <w:szCs w:val="22"/>
          <w:lang w:val="nl-NL"/>
        </w:rPr>
        <w:t>China</w:t>
      </w:r>
      <w:r w:rsidRPr="00340A62">
        <w:rPr>
          <w:rFonts w:ascii="Palatino Linotype" w:eastAsia="Palatino Linotype" w:hAnsi="Palatino Linotype" w:cs="Palatino Linotype"/>
          <w:snapToGrid/>
          <w:sz w:val="22"/>
          <w:szCs w:val="22"/>
          <w:lang w:val="nl-NL"/>
        </w:rPr>
        <w:t xml:space="preserve"> op grond van de Verklaring van de Europese Raad van Madrid van 27 juni 1989</w:t>
      </w:r>
      <w:r w:rsidRPr="00340A62">
        <w:rPr>
          <w:rFonts w:ascii="Palatino Linotype" w:eastAsia="Palatino Linotype" w:hAnsi="Palatino Linotype" w:cs="Palatino Linotype"/>
          <w:snapToGrid/>
          <w:sz w:val="22"/>
          <w:szCs w:val="22"/>
          <w:vertAlign w:val="superscript"/>
          <w:lang w:val="nl-NL"/>
        </w:rPr>
        <w:footnoteReference w:id="9"/>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f.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Democratische Republiek Congo</w:t>
      </w:r>
      <w:r w:rsidRPr="00340A62">
        <w:rPr>
          <w:rFonts w:ascii="Palatino Linotype" w:eastAsia="Palatino Linotype" w:hAnsi="Palatino Linotype" w:cs="Palatino Linotype"/>
          <w:snapToGrid/>
          <w:sz w:val="22"/>
          <w:szCs w:val="22"/>
          <w:lang w:val="nl-NL"/>
        </w:rPr>
        <w:t xml:space="preserve"> op grond van de </w:t>
      </w:r>
      <w:r w:rsidRPr="00340A62">
        <w:rPr>
          <w:rFonts w:ascii="Palatino Linotype" w:hAnsi="Palatino Linotype" w:cs="Segoe UI"/>
          <w:bCs/>
          <w:snapToGrid/>
          <w:color w:val="333333"/>
          <w:sz w:val="22"/>
          <w:szCs w:val="22"/>
          <w:shd w:val="clear" w:color="auto" w:fill="FFFFFF"/>
          <w:lang w:val="nl-NL"/>
        </w:rPr>
        <w:t>Verordening (EG) nr. 1727/2003 van de Raad van 29 september 2003 betreffende een aantal beperkende maatregelen ten aanzien van de Democratische Republiek Congo</w:t>
      </w:r>
      <w:r w:rsidRPr="00340A62">
        <w:rPr>
          <w:rFonts w:ascii="Palatino Linotype" w:eastAsia="Palatino Linotype" w:hAnsi="Palatino Linotype" w:cs="Palatino Linotype"/>
          <w:snapToGrid/>
          <w:sz w:val="22"/>
          <w:szCs w:val="22"/>
          <w:vertAlign w:val="superscript"/>
          <w:lang w:val="nl-NL"/>
        </w:rPr>
        <w:footnoteReference w:id="10"/>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g. </w:t>
      </w:r>
      <w:r w:rsidRPr="00340A62">
        <w:rPr>
          <w:rFonts w:ascii="Palatino Linotype" w:eastAsia="Palatino Linotype" w:hAnsi="Palatino Linotype" w:cs="Palatino Linotype"/>
          <w:snapToGrid/>
          <w:sz w:val="22"/>
          <w:szCs w:val="22"/>
          <w:lang w:val="nl-NL"/>
        </w:rPr>
        <w:tab/>
        <w:t>de personen of entiteiten aangewezen bij punt 19 van Resolutie 2653 (2022) van de Veiligheidsraad van de Verenigde Naties ingestelde comité dan wel aan of ten behoeve van de in bijlage II van Besluit nr. 2022/2319/GBVB</w:t>
      </w:r>
      <w:r w:rsidRPr="00340A62" w:rsidDel="009B643B">
        <w:rPr>
          <w:rFonts w:ascii="Palatino Linotype" w:eastAsia="Palatino Linotype" w:hAnsi="Palatino Linotype" w:cs="Palatino Linotype"/>
          <w:snapToGrid/>
          <w:sz w:val="22"/>
          <w:szCs w:val="22"/>
          <w:lang w:val="nl-NL"/>
        </w:rPr>
        <w:t xml:space="preserve"> </w:t>
      </w:r>
      <w:r w:rsidRPr="00340A62">
        <w:rPr>
          <w:rFonts w:ascii="Palatino Linotype" w:eastAsia="Palatino Linotype" w:hAnsi="Palatino Linotype" w:cs="Palatino Linotype"/>
          <w:snapToGrid/>
          <w:sz w:val="22"/>
          <w:szCs w:val="22"/>
          <w:lang w:val="nl-NL"/>
        </w:rPr>
        <w:t xml:space="preserve">van de Raad van de Europese Unie van 25 november 2022 betreffende beperkende maatregelen in het licht van de situatie in </w:t>
      </w:r>
      <w:r w:rsidRPr="00340A62">
        <w:rPr>
          <w:rFonts w:ascii="Palatino Linotype" w:eastAsia="Palatino Linotype" w:hAnsi="Palatino Linotype" w:cs="Palatino Linotype"/>
          <w:b/>
          <w:snapToGrid/>
          <w:sz w:val="22"/>
          <w:szCs w:val="22"/>
          <w:lang w:val="nl-NL"/>
        </w:rPr>
        <w:t>Haïti</w:t>
      </w:r>
      <w:r w:rsidRPr="00340A62">
        <w:rPr>
          <w:rFonts w:ascii="Palatino Linotype" w:eastAsia="Palatino Linotype" w:hAnsi="Palatino Linotype" w:cs="Palatino Linotype"/>
          <w:snapToGrid/>
          <w:sz w:val="22"/>
          <w:szCs w:val="22"/>
          <w:lang w:val="nl-NL"/>
        </w:rPr>
        <w:t xml:space="preserve"> (Pb EU 2022, L 47) (Haïti);</w:t>
      </w:r>
    </w:p>
    <w:p w:rsidR="00340A62" w:rsidRPr="00340A62" w:rsidRDefault="00340A62" w:rsidP="00340A62">
      <w:pPr>
        <w:widowControl/>
        <w:ind w:left="360" w:hanging="360"/>
        <w:rPr>
          <w:rFonts w:ascii="Palatino Linotype" w:eastAsia="Palatino Linotype" w:hAnsi="Palatino Linotype" w:cs="Palatino Linotype"/>
          <w:snapToGrid/>
          <w:sz w:val="22"/>
          <w:szCs w:val="22"/>
          <w:lang w:val="pap-029"/>
        </w:rPr>
      </w:pPr>
      <w:r w:rsidRPr="00340A62">
        <w:rPr>
          <w:rFonts w:ascii="Palatino Linotype" w:eastAsia="Palatino Linotype" w:hAnsi="Palatino Linotype" w:cs="Palatino Linotype"/>
          <w:snapToGrid/>
          <w:sz w:val="22"/>
          <w:szCs w:val="22"/>
          <w:lang w:val="pap-029"/>
        </w:rPr>
        <w:t xml:space="preserve">h.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Irak</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snapToGrid/>
          <w:sz w:val="22"/>
          <w:szCs w:val="22"/>
          <w:lang w:val="pap-029"/>
        </w:rPr>
        <w:t xml:space="preserve"> de </w:t>
      </w:r>
      <w:r w:rsidRPr="00340A62">
        <w:rPr>
          <w:rFonts w:ascii="Palatino Linotype" w:eastAsia="Calibri" w:hAnsi="Palatino Linotype"/>
          <w:snapToGrid/>
          <w:sz w:val="22"/>
          <w:szCs w:val="22"/>
          <w:lang w:val="pap-029" w:eastAsia="pap-029"/>
        </w:rPr>
        <w:t xml:space="preserve">Verordening (EG) nr. 1210/2003 van de Raad van 7 juli 2003 </w:t>
      </w:r>
      <w:hyperlink r:id="rId11" w:tooltip="32003R1210" w:history="1">
        <w:r w:rsidRPr="00340A62">
          <w:rPr>
            <w:rFonts w:ascii="Palatino Linotype" w:eastAsia="Calibri" w:hAnsi="Palatino Linotype"/>
            <w:snapToGrid/>
            <w:sz w:val="22"/>
            <w:szCs w:val="22"/>
            <w:lang w:val="pap-029" w:eastAsia="pap-029"/>
          </w:rPr>
          <w:t>betreffende bepaalde specifieke restricties op de economische en financiële betrekkingen met Irak en tot intrekking van Verordening (EG) nr. 2465/96</w:t>
        </w:r>
      </w:hyperlink>
      <w:r w:rsidRPr="00340A62">
        <w:rPr>
          <w:rFonts w:ascii="Palatino Linotype" w:eastAsia="Calibri" w:hAnsi="Palatino Linotype"/>
          <w:snapToGrid/>
          <w:sz w:val="22"/>
          <w:szCs w:val="22"/>
          <w:vertAlign w:val="superscript"/>
          <w:lang w:val="pap-029"/>
        </w:rPr>
        <w:footnoteReference w:id="11"/>
      </w:r>
      <w:r w:rsidRPr="00340A62">
        <w:rPr>
          <w:rFonts w:ascii="Palatino Linotype" w:eastAsia="Palatino Linotype" w:hAnsi="Palatino Linotype" w:cs="Palatino Linotype"/>
          <w:snapToGrid/>
          <w:sz w:val="22"/>
          <w:szCs w:val="22"/>
          <w:lang w:val="pap-029"/>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 xml:space="preserve">i.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Iran</w:t>
      </w:r>
      <w:r w:rsidRPr="00340A62">
        <w:rPr>
          <w:rFonts w:ascii="Palatino Linotype" w:eastAsia="Palatino Linotype" w:hAnsi="Palatino Linotype" w:cs="Palatino Linotype"/>
          <w:snapToGrid/>
          <w:sz w:val="22"/>
          <w:szCs w:val="22"/>
          <w:lang w:val="nl-NL"/>
        </w:rPr>
        <w:t xml:space="preserve"> op grond van Besluit van de Raad van</w:t>
      </w:r>
      <w:r w:rsidRPr="00340A62">
        <w:rPr>
          <w:rFonts w:ascii="Palatino Linotype" w:hAnsi="Palatino Linotype" w:cs="Segoe UI"/>
          <w:bCs/>
          <w:snapToGrid/>
          <w:color w:val="333333"/>
          <w:sz w:val="22"/>
          <w:szCs w:val="22"/>
          <w:shd w:val="clear" w:color="auto" w:fill="FFFFFF"/>
          <w:lang w:val="nl-NL"/>
        </w:rPr>
        <w:t xml:space="preserve"> 26 juli 2010 betreffende beperkende maatregelen tegen Iran en tot intrekking van Gemeenschappelijk Standpunt 2007/140/GBVB (2010/413/GBVB)</w:t>
      </w:r>
      <w:r w:rsidRPr="00340A62">
        <w:rPr>
          <w:rFonts w:ascii="Palatino Linotype" w:hAnsi="Palatino Linotype" w:cs="Segoe UI"/>
          <w:bCs/>
          <w:snapToGrid/>
          <w:color w:val="333333"/>
          <w:sz w:val="22"/>
          <w:szCs w:val="22"/>
          <w:shd w:val="clear" w:color="auto" w:fill="FFFFFF"/>
          <w:vertAlign w:val="superscript"/>
          <w:lang w:val="nl-NL"/>
        </w:rPr>
        <w:footnoteReference w:id="12"/>
      </w:r>
      <w:r w:rsidRPr="00340A62">
        <w:rPr>
          <w:rFonts w:ascii="Palatino Linotype" w:hAnsi="Palatino Linotype" w:cs="Segoe UI"/>
          <w:bCs/>
          <w:snapToGrid/>
          <w:color w:val="333333"/>
          <w:sz w:val="22"/>
          <w:szCs w:val="22"/>
          <w:shd w:val="clear" w:color="auto" w:fill="FFFFFF"/>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j. </w:t>
      </w:r>
      <w:r w:rsidRPr="00340A62">
        <w:rPr>
          <w:rFonts w:ascii="Palatino Linotype" w:eastAsia="Palatino Linotype" w:hAnsi="Palatino Linotype" w:cs="Palatino Linotype"/>
          <w:snapToGrid/>
          <w:sz w:val="22"/>
          <w:szCs w:val="22"/>
          <w:lang w:val="nl-NL"/>
        </w:rPr>
        <w:tab/>
        <w:t xml:space="preserve">de personen of entiteiten die door de Veiligheidsraad van de Verenigde Naties, of door het op grond van punt 19 van Resolutie 2140 (2014) ingestelde comité, zijn aangewezen alsmede naar de personen die namens hen of op hun aanwijzing handelen in </w:t>
      </w:r>
      <w:r w:rsidRPr="00340A62">
        <w:rPr>
          <w:rFonts w:ascii="Palatino Linotype" w:eastAsia="Palatino Linotype" w:hAnsi="Palatino Linotype" w:cs="Palatino Linotype"/>
          <w:b/>
          <w:snapToGrid/>
          <w:sz w:val="22"/>
          <w:szCs w:val="22"/>
          <w:lang w:val="nl-NL"/>
        </w:rPr>
        <w:t>Jemen</w:t>
      </w:r>
      <w:r w:rsidRPr="00340A62">
        <w:rPr>
          <w:rFonts w:ascii="Palatino Linotype" w:eastAsia="Palatino Linotype" w:hAnsi="Palatino Linotype" w:cs="Palatino Linotype"/>
          <w:snapToGrid/>
          <w:sz w:val="22"/>
          <w:szCs w:val="22"/>
          <w:vertAlign w:val="superscript"/>
          <w:lang w:val="nl-NL"/>
        </w:rPr>
        <w:footnoteReference w:id="13"/>
      </w:r>
      <w:r w:rsidRPr="00340A62">
        <w:rPr>
          <w:rFonts w:ascii="Palatino Linotype" w:eastAsia="Palatino Linotype" w:hAnsi="Palatino Linotype" w:cs="Palatino Linotype"/>
          <w:snapToGrid/>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k.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Democratische Volksrepubliek Korea</w:t>
      </w:r>
      <w:r w:rsidRPr="00340A62">
        <w:rPr>
          <w:rFonts w:ascii="Palatino Linotype" w:eastAsia="Palatino Linotype" w:hAnsi="Palatino Linotype" w:cs="Palatino Linotype"/>
          <w:snapToGrid/>
          <w:sz w:val="22"/>
          <w:szCs w:val="22"/>
          <w:lang w:val="nl-NL"/>
        </w:rPr>
        <w:t xml:space="preserve"> op grond van</w:t>
      </w:r>
      <w:r w:rsidRPr="00340A62">
        <w:rPr>
          <w:rFonts w:ascii="Palatino Linotype" w:hAnsi="Palatino Linotype" w:cs="Segoe UI"/>
          <w:bCs/>
          <w:snapToGrid/>
          <w:color w:val="333333"/>
          <w:sz w:val="22"/>
          <w:szCs w:val="22"/>
          <w:shd w:val="clear" w:color="auto" w:fill="FFFFFF"/>
          <w:lang w:val="nl-NL"/>
        </w:rPr>
        <w:t xml:space="preserve"> het Besluit nr. 2016/849 van de Raad van 27 mei 2016 betreffende beperkende maatregelen tegen de Democratische Volksrepubliek Korea en tot intrekking van Besluit nr. 2013/183/GBVB</w:t>
      </w:r>
      <w:r w:rsidRPr="00340A62">
        <w:rPr>
          <w:rFonts w:ascii="Palatino Linotype" w:hAnsi="Palatino Linotype" w:cs="Segoe UI"/>
          <w:b/>
          <w:bCs/>
          <w:snapToGrid/>
          <w:color w:val="333333"/>
          <w:sz w:val="22"/>
          <w:szCs w:val="22"/>
          <w:shd w:val="clear" w:color="auto" w:fill="FFFFFF"/>
          <w:vertAlign w:val="superscript"/>
          <w:lang w:val="nl-NL"/>
        </w:rPr>
        <w:footnoteReference w:id="14"/>
      </w:r>
      <w:r w:rsidRPr="00340A62">
        <w:rPr>
          <w:rFonts w:ascii="Palatino Linotype" w:eastAsia="Palatino Linotype" w:hAnsi="Palatino Linotype" w:cs="Palatino Linotype"/>
          <w:snapToGrid/>
          <w:sz w:val="22"/>
          <w:szCs w:val="22"/>
          <w:lang w:val="nl-NL"/>
        </w:rPr>
        <w:t xml:space="preserve">  en de</w:t>
      </w:r>
      <w:r w:rsidRPr="00340A62">
        <w:rPr>
          <w:rFonts w:ascii="Palatino Linotype" w:hAnsi="Palatino Linotype"/>
          <w:snapToGrid/>
          <w:sz w:val="22"/>
          <w:szCs w:val="22"/>
          <w:lang w:val="nl-NL"/>
        </w:rPr>
        <w:t xml:space="preserve"> </w:t>
      </w:r>
      <w:r w:rsidRPr="00340A62">
        <w:rPr>
          <w:rFonts w:ascii="Palatino Linotype" w:eastAsia="Palatino Linotype" w:hAnsi="Palatino Linotype" w:cs="Palatino Linotype"/>
          <w:snapToGrid/>
          <w:sz w:val="22"/>
          <w:szCs w:val="22"/>
          <w:lang w:val="nl-NL"/>
        </w:rPr>
        <w:t>Verordening (EU) nr. 2017/1509 van 30 augustus 2017 betreffende beperkende maatregelen tegen de Democratische Volksrepubliek Korea en tot intrekking van Verordening (EG) nr. 329/2007</w:t>
      </w:r>
      <w:r w:rsidRPr="00340A62">
        <w:rPr>
          <w:rFonts w:ascii="Palatino Linotype" w:eastAsia="Palatino Linotype" w:hAnsi="Palatino Linotype" w:cs="Palatino Linotype"/>
          <w:snapToGrid/>
          <w:sz w:val="22"/>
          <w:szCs w:val="22"/>
          <w:vertAlign w:val="superscript"/>
          <w:lang w:val="nl-NL"/>
        </w:rPr>
        <w:footnoteReference w:id="15"/>
      </w:r>
      <w:r w:rsidRPr="00340A62">
        <w:rPr>
          <w:rFonts w:ascii="Palatino Linotype" w:eastAsia="Palatino Linotype" w:hAnsi="Palatino Linotype" w:cs="Palatino Linotype"/>
          <w:snapToGrid/>
          <w:sz w:val="22"/>
          <w:szCs w:val="22"/>
          <w:lang w:val="nl-NL"/>
        </w:rPr>
        <w:t xml:space="preserve"> ;</w:t>
      </w:r>
    </w:p>
    <w:p w:rsidR="00340A62" w:rsidRPr="00340A62" w:rsidRDefault="00340A62" w:rsidP="00340A62">
      <w:pPr>
        <w:widowControl/>
        <w:tabs>
          <w:tab w:val="left" w:pos="360"/>
        </w:tabs>
        <w:ind w:left="360" w:hanging="360"/>
        <w:jc w:val="both"/>
        <w:rPr>
          <w:rFonts w:ascii="Palatino Linotype" w:eastAsia="Calibri" w:hAnsi="Palatino Linotype"/>
          <w:snapToGrid/>
          <w:sz w:val="22"/>
          <w:szCs w:val="22"/>
          <w:lang w:val="pap-029"/>
        </w:rPr>
      </w:pPr>
      <w:r w:rsidRPr="00340A62">
        <w:rPr>
          <w:rFonts w:ascii="Palatino Linotype" w:eastAsia="Palatino Linotype" w:hAnsi="Palatino Linotype" w:cs="Palatino Linotype"/>
          <w:snapToGrid/>
          <w:sz w:val="22"/>
          <w:szCs w:val="22"/>
          <w:lang w:val="pap-029"/>
        </w:rPr>
        <w:t>l.</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Libanon en Syrië</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snapToGrid/>
          <w:sz w:val="22"/>
          <w:szCs w:val="22"/>
          <w:lang w:val="pap-029"/>
        </w:rPr>
        <w:t>Gemeenschappelijk Standpunt 2006/625/GBVB van 15 september 2006 betreffende een verbod op de verkoop of levering van wapens en aanverwant materieel en op het verrichten van aanverwante diensten aan entiteiten of personen in Libanon overeenkomstig Resolutie 1701 (2006) van de VN-Veiligheidsraad</w:t>
      </w:r>
      <w:r w:rsidRPr="00340A62">
        <w:rPr>
          <w:rFonts w:ascii="Palatino Linotype" w:eastAsia="Palatino Linotype" w:hAnsi="Palatino Linotype" w:cs="Palatino Linotype"/>
          <w:snapToGrid/>
          <w:sz w:val="22"/>
          <w:szCs w:val="22"/>
          <w:vertAlign w:val="superscript"/>
          <w:lang w:val="pap-029"/>
        </w:rPr>
        <w:footnoteReference w:id="16"/>
      </w:r>
      <w:r w:rsidRPr="00340A62">
        <w:rPr>
          <w:rFonts w:ascii="Palatino Linotype" w:eastAsia="Calibri" w:hAnsi="Palatino Linotype"/>
          <w:snapToGrid/>
          <w:sz w:val="22"/>
          <w:szCs w:val="22"/>
          <w:lang w:val="pap-029"/>
        </w:rPr>
        <w:t xml:space="preserve"> en de  Verordening (EG) nr. 1412/2006 van de Raad van 25 september 2006 betreffende bepaalde beperkende maatregelen ten aanzien van Libanon</w:t>
      </w:r>
      <w:r w:rsidRPr="00340A62">
        <w:rPr>
          <w:rFonts w:ascii="Palatino Linotype" w:eastAsia="Calibri" w:hAnsi="Palatino Linotype"/>
          <w:snapToGrid/>
          <w:sz w:val="22"/>
          <w:szCs w:val="22"/>
          <w:vertAlign w:val="superscript"/>
          <w:lang w:val="pap-029"/>
        </w:rPr>
        <w:footnoteReference w:id="17"/>
      </w:r>
      <w:r w:rsidRPr="00340A62">
        <w:rPr>
          <w:rFonts w:ascii="Palatino Linotype" w:eastAsia="Calibri" w:hAnsi="Palatino Linotype"/>
          <w:snapToGrid/>
          <w:sz w:val="22"/>
          <w:szCs w:val="22"/>
          <w:lang w:val="pap-029"/>
        </w:rPr>
        <w:t>;</w:t>
      </w:r>
    </w:p>
    <w:p w:rsidR="00340A62" w:rsidRPr="00340A62" w:rsidRDefault="00340A62" w:rsidP="00340A62">
      <w:pPr>
        <w:widowControl/>
        <w:ind w:left="360" w:hanging="360"/>
        <w:contextualSpacing/>
        <w:jc w:val="both"/>
        <w:rPr>
          <w:rFonts w:ascii="Palatino Linotype" w:hAnsi="Palatino Linotype" w:cs="Segoe UI"/>
          <w:bCs/>
          <w:snapToGrid/>
          <w:color w:val="333333"/>
          <w:sz w:val="22"/>
          <w:szCs w:val="22"/>
          <w:shd w:val="clear" w:color="auto" w:fill="FFFFFF"/>
          <w:lang w:val="nl-NL"/>
        </w:rPr>
      </w:pPr>
      <w:r w:rsidRPr="00340A62">
        <w:rPr>
          <w:rFonts w:ascii="Palatino Linotype" w:eastAsia="Palatino Linotype" w:hAnsi="Palatino Linotype" w:cs="Palatino Linotype"/>
          <w:snapToGrid/>
          <w:sz w:val="22"/>
          <w:szCs w:val="22"/>
          <w:lang w:val="nl-NL"/>
        </w:rPr>
        <w:t xml:space="preserve">m.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Libië</w:t>
      </w:r>
      <w:r w:rsidRPr="00340A62">
        <w:rPr>
          <w:rFonts w:ascii="Palatino Linotype" w:eastAsia="Palatino Linotype" w:hAnsi="Palatino Linotype" w:cs="Palatino Linotype"/>
          <w:snapToGrid/>
          <w:sz w:val="22"/>
          <w:szCs w:val="22"/>
          <w:lang w:val="nl-NL"/>
        </w:rPr>
        <w:t xml:space="preserve"> op grond van het</w:t>
      </w:r>
      <w:r w:rsidRPr="00340A62">
        <w:rPr>
          <w:rFonts w:ascii="Palatino Linotype" w:hAnsi="Palatino Linotype" w:cs="Segoe UI"/>
          <w:bCs/>
          <w:snapToGrid/>
          <w:color w:val="333333"/>
          <w:sz w:val="22"/>
          <w:szCs w:val="22"/>
          <w:shd w:val="clear" w:color="auto" w:fill="FFFFFF"/>
          <w:lang w:val="nl-NL"/>
        </w:rPr>
        <w:t xml:space="preserve"> Besluit nr. 2015/1333/GBVB van de Raad van 31 juli 2015 betreffende beperkende maatregelen in het licht van de situatie in Libië en tot intrekking van Besluit nr. 2011/137/GBVB</w:t>
      </w:r>
      <w:r w:rsidRPr="00340A62">
        <w:rPr>
          <w:rFonts w:ascii="Palatino Linotype" w:hAnsi="Palatino Linotype" w:cs="Segoe UI"/>
          <w:bCs/>
          <w:snapToGrid/>
          <w:color w:val="333333"/>
          <w:sz w:val="22"/>
          <w:szCs w:val="22"/>
          <w:shd w:val="clear" w:color="auto" w:fill="FFFFFF"/>
          <w:vertAlign w:val="superscript"/>
          <w:lang w:val="nl-NL"/>
        </w:rPr>
        <w:footnoteReference w:id="18"/>
      </w:r>
      <w:r w:rsidRPr="00340A62">
        <w:rPr>
          <w:rFonts w:ascii="Palatino Linotype" w:hAnsi="Palatino Linotype" w:cs="Segoe UI"/>
          <w:bCs/>
          <w:snapToGrid/>
          <w:color w:val="333333"/>
          <w:sz w:val="22"/>
          <w:szCs w:val="22"/>
          <w:shd w:val="clear" w:color="auto" w:fill="FFFFFF"/>
          <w:lang w:val="nl-NL"/>
        </w:rPr>
        <w:t xml:space="preserve"> en de Verordening (EU) 2016/44 van 18 januari 2016 betreffende beperkende maatregelen in het licht van de situatie in Libië en tot intrekking van Verordening (EU) nr. 204/2011</w:t>
      </w:r>
      <w:r w:rsidRPr="00340A62">
        <w:rPr>
          <w:rFonts w:ascii="Palatino Linotype" w:hAnsi="Palatino Linotype" w:cs="Segoe UI"/>
          <w:bCs/>
          <w:snapToGrid/>
          <w:color w:val="333333"/>
          <w:sz w:val="22"/>
          <w:szCs w:val="22"/>
          <w:shd w:val="clear" w:color="auto" w:fill="FFFFFF"/>
          <w:vertAlign w:val="superscript"/>
          <w:lang w:val="nl-NL"/>
        </w:rPr>
        <w:footnoteReference w:id="19"/>
      </w:r>
      <w:r w:rsidRPr="00340A62">
        <w:rPr>
          <w:rFonts w:ascii="Palatino Linotype" w:hAnsi="Palatino Linotype" w:cs="Segoe UI"/>
          <w:bCs/>
          <w:snapToGrid/>
          <w:color w:val="333333"/>
          <w:sz w:val="22"/>
          <w:szCs w:val="22"/>
          <w:shd w:val="clear" w:color="auto" w:fill="FFFFFF"/>
          <w:lang w:val="nl-NL"/>
        </w:rPr>
        <w:t>;</w:t>
      </w:r>
    </w:p>
    <w:p w:rsidR="00340A62" w:rsidRPr="00340A62" w:rsidRDefault="00340A62" w:rsidP="00340A62">
      <w:pPr>
        <w:widowControl/>
        <w:ind w:left="360" w:hanging="360"/>
        <w:contextualSpacing/>
        <w:jc w:val="both"/>
        <w:rPr>
          <w:rFonts w:ascii="Palatino Linotype" w:hAnsi="Palatino Linotype"/>
          <w:bCs/>
          <w:snapToGrid/>
          <w:color w:val="000000"/>
          <w:sz w:val="22"/>
          <w:szCs w:val="22"/>
          <w:lang w:val="nl-NL"/>
        </w:rPr>
      </w:pPr>
      <w:r w:rsidRPr="00340A62">
        <w:rPr>
          <w:rFonts w:ascii="Palatino Linotype" w:eastAsia="Palatino Linotype" w:hAnsi="Palatino Linotype" w:cs="Palatino Linotype"/>
          <w:snapToGrid/>
          <w:sz w:val="22"/>
          <w:szCs w:val="22"/>
          <w:lang w:val="nl-NL"/>
        </w:rPr>
        <w:t xml:space="preserve">n.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Oekraine/Russische Federatie</w:t>
      </w:r>
      <w:r w:rsidRPr="00340A62">
        <w:rPr>
          <w:rFonts w:ascii="Palatino Linotype" w:eastAsia="Palatino Linotype" w:hAnsi="Palatino Linotype" w:cs="Palatino Linotype"/>
          <w:snapToGrid/>
          <w:sz w:val="22"/>
          <w:szCs w:val="22"/>
          <w:lang w:val="nl-NL"/>
        </w:rPr>
        <w:t xml:space="preserve"> op grond van </w:t>
      </w:r>
      <w:r w:rsidRPr="00340A62">
        <w:rPr>
          <w:rFonts w:ascii="Palatino Linotype" w:hAnsi="Palatino Linotype"/>
          <w:snapToGrid/>
          <w:sz w:val="22"/>
          <w:szCs w:val="22"/>
          <w:lang w:val="nl-NL"/>
        </w:rPr>
        <w:t>Verordening (EU) nr. 833/2014 van de Raad van 31 juli 2014 betreffende beperkende maatregelen naar aanleiding van de acties van Rusland die de situatie in Oekraïne destabiliseren</w:t>
      </w:r>
      <w:r w:rsidRPr="00340A62">
        <w:rPr>
          <w:rFonts w:ascii="Palatino Linotype" w:hAnsi="Palatino Linotype"/>
          <w:snapToGrid/>
          <w:sz w:val="22"/>
          <w:szCs w:val="22"/>
          <w:vertAlign w:val="superscript"/>
          <w:lang w:val="nl-NL"/>
        </w:rPr>
        <w:footnoteReference w:id="20"/>
      </w:r>
      <w:r w:rsidRPr="00340A62">
        <w:rPr>
          <w:rFonts w:ascii="Palatino Linotype" w:hAnsi="Palatino Linotype"/>
          <w:snapToGrid/>
          <w:sz w:val="22"/>
          <w:szCs w:val="22"/>
          <w:lang w:val="nl-NL"/>
        </w:rPr>
        <w:t xml:space="preserve"> en </w:t>
      </w:r>
      <w:r w:rsidRPr="00340A62">
        <w:rPr>
          <w:rFonts w:ascii="Palatino Linotype" w:hAnsi="Palatino Linotype"/>
          <w:bCs/>
          <w:snapToGrid/>
          <w:color w:val="000000"/>
          <w:sz w:val="22"/>
          <w:szCs w:val="22"/>
          <w:lang w:val="nl-NL"/>
        </w:rPr>
        <w:t>Besluit nr. 2014/512/GBVB van de Raad van 31 juli 2014 betreffende beperkende maatregelen naar aanleiding van acties van Rusland die de situatie in Oekraïne destabiliseren</w:t>
      </w:r>
      <w:r w:rsidRPr="00340A62">
        <w:rPr>
          <w:rFonts w:ascii="Palatino Linotype" w:hAnsi="Palatino Linotype"/>
          <w:bCs/>
          <w:snapToGrid/>
          <w:color w:val="000000"/>
          <w:sz w:val="22"/>
          <w:szCs w:val="22"/>
          <w:vertAlign w:val="superscript"/>
          <w:lang w:val="nl-NL"/>
        </w:rPr>
        <w:footnoteReference w:id="21"/>
      </w:r>
      <w:r w:rsidRPr="00340A62">
        <w:rPr>
          <w:rFonts w:ascii="Palatino Linotype" w:hAnsi="Palatino Linotype"/>
          <w:bCs/>
          <w:snapToGrid/>
          <w:color w:val="000000"/>
          <w:sz w:val="22"/>
          <w:szCs w:val="22"/>
          <w:lang w:val="nl-NL"/>
        </w:rPr>
        <w:t>;</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o. </w:t>
      </w:r>
      <w:r w:rsidRPr="00340A62">
        <w:rPr>
          <w:rFonts w:ascii="Palatino Linotype" w:eastAsia="Palatino Linotype" w:hAnsi="Palatino Linotype" w:cs="Palatino Linotype"/>
          <w:snapToGrid/>
          <w:sz w:val="22"/>
          <w:szCs w:val="22"/>
          <w:lang w:val="nl-NL"/>
        </w:rPr>
        <w:tab/>
      </w:r>
      <w:r w:rsidRPr="00340A62">
        <w:rPr>
          <w:rFonts w:ascii="Palatino Linotype" w:eastAsia="Palatino Linotype" w:hAnsi="Palatino Linotype" w:cs="Palatino Linotype"/>
          <w:b/>
          <w:snapToGrid/>
          <w:sz w:val="22"/>
          <w:szCs w:val="22"/>
          <w:lang w:val="nl-NL"/>
        </w:rPr>
        <w:t xml:space="preserve">Soedan </w:t>
      </w:r>
      <w:r w:rsidRPr="00340A62">
        <w:rPr>
          <w:rFonts w:ascii="Palatino Linotype" w:eastAsia="Palatino Linotype" w:hAnsi="Palatino Linotype" w:cs="Palatino Linotype"/>
          <w:snapToGrid/>
          <w:sz w:val="22"/>
          <w:szCs w:val="22"/>
          <w:lang w:val="nl-NL"/>
        </w:rPr>
        <w:t xml:space="preserve">op grond van het  </w:t>
      </w:r>
      <w:r w:rsidRPr="00340A62">
        <w:rPr>
          <w:rFonts w:ascii="Palatino Linotype" w:hAnsi="Palatino Linotype" w:cs="Segoe UI"/>
          <w:bCs/>
          <w:snapToGrid/>
          <w:color w:val="333333"/>
          <w:sz w:val="22"/>
          <w:szCs w:val="22"/>
          <w:shd w:val="clear" w:color="auto" w:fill="FFFFFF"/>
          <w:lang w:val="nl-NL"/>
        </w:rPr>
        <w:t>Besluit nr. 2014/450/GBVB van de Raad van 10 juli 2014 betreffende beperkende maatregelen in het licht van de situatie in Sudan en tot intrekking van Besluit nr. 2011/423/GBVB</w:t>
      </w:r>
      <w:r w:rsidRPr="00340A62">
        <w:rPr>
          <w:rFonts w:ascii="Palatino Linotype" w:hAnsi="Palatino Linotype" w:cs="Segoe UI"/>
          <w:bCs/>
          <w:snapToGrid/>
          <w:color w:val="333333"/>
          <w:sz w:val="22"/>
          <w:szCs w:val="22"/>
          <w:shd w:val="clear" w:color="auto" w:fill="FFFFFF"/>
          <w:vertAlign w:val="superscript"/>
          <w:lang w:val="nl-NL"/>
        </w:rPr>
        <w:footnoteReference w:id="22"/>
      </w:r>
      <w:r w:rsidRPr="00340A62">
        <w:rPr>
          <w:rFonts w:ascii="Palatino Linotype" w:eastAsia="Palatino Linotype" w:hAnsi="Palatino Linotype" w:cs="Palatino Linotype"/>
          <w:snapToGrid/>
          <w:sz w:val="22"/>
          <w:szCs w:val="22"/>
          <w:lang w:val="nl-NL"/>
        </w:rPr>
        <w:t xml:space="preserve"> ;</w:t>
      </w:r>
    </w:p>
    <w:p w:rsidR="00340A62" w:rsidRPr="00340A62" w:rsidRDefault="00340A62" w:rsidP="00340A62">
      <w:pPr>
        <w:widowControl/>
        <w:ind w:left="360" w:hanging="360"/>
        <w:jc w:val="both"/>
        <w:rPr>
          <w:rFonts w:ascii="Palatino Linotype" w:eastAsia="Palatino Linotype" w:hAnsi="Palatino Linotype" w:cs="Palatino Linotype"/>
          <w:b/>
          <w:snapToGrid/>
          <w:sz w:val="22"/>
          <w:szCs w:val="22"/>
          <w:lang w:val="pap-029"/>
        </w:rPr>
      </w:pPr>
      <w:r w:rsidRPr="00340A62">
        <w:rPr>
          <w:rFonts w:ascii="Palatino Linotype" w:eastAsia="Palatino Linotype" w:hAnsi="Palatino Linotype" w:cs="Palatino Linotype"/>
          <w:snapToGrid/>
          <w:sz w:val="22"/>
          <w:szCs w:val="22"/>
          <w:lang w:val="pap-029"/>
        </w:rPr>
        <w:t>p</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b/>
          <w:snapToGrid/>
          <w:sz w:val="22"/>
          <w:szCs w:val="22"/>
          <w:lang w:val="pap-029"/>
        </w:rPr>
        <w:tab/>
        <w:t xml:space="preserve">Somalië </w:t>
      </w:r>
      <w:r w:rsidRPr="00340A62">
        <w:rPr>
          <w:rFonts w:ascii="Palatino Linotype" w:eastAsia="Palatino Linotype" w:hAnsi="Palatino Linotype" w:cs="Palatino Linotype"/>
          <w:snapToGrid/>
          <w:sz w:val="22"/>
          <w:szCs w:val="22"/>
          <w:lang w:val="pap-029"/>
        </w:rPr>
        <w:t>op grond van</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Calibri" w:hAnsi="Palatino Linotype" w:cs="Tahoma"/>
          <w:b/>
          <w:bCs/>
          <w:snapToGrid/>
          <w:color w:val="000000"/>
          <w:sz w:val="22"/>
          <w:szCs w:val="22"/>
          <w:lang w:val="pap-029"/>
        </w:rPr>
        <w:t>Verordening (EG) nr. 147/2003 van de Raad van 27 januari 2003 betreffende een aantal beperkende maatregelen ten aanzien van Somalië</w:t>
      </w:r>
      <w:r w:rsidRPr="00340A62">
        <w:rPr>
          <w:rFonts w:ascii="Palatino Linotype" w:eastAsia="Calibri" w:hAnsi="Palatino Linotype" w:cs="Tahoma"/>
          <w:b/>
          <w:bCs/>
          <w:snapToGrid/>
          <w:color w:val="000000"/>
          <w:sz w:val="22"/>
          <w:szCs w:val="22"/>
          <w:vertAlign w:val="superscript"/>
          <w:lang w:val="pap-029"/>
        </w:rPr>
        <w:footnoteReference w:id="23"/>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snapToGrid/>
          <w:sz w:val="22"/>
          <w:szCs w:val="22"/>
          <w:lang w:val="pap-029"/>
        </w:rPr>
        <w:t xml:space="preserve">en het </w:t>
      </w:r>
      <w:r w:rsidRPr="00340A62">
        <w:rPr>
          <w:rFonts w:ascii="Palatino Linotype" w:eastAsia="Calibri" w:hAnsi="Palatino Linotype" w:cs="Segoe UI"/>
          <w:bCs/>
          <w:snapToGrid/>
          <w:color w:val="333333"/>
          <w:sz w:val="22"/>
          <w:szCs w:val="22"/>
          <w:shd w:val="clear" w:color="auto" w:fill="FFFFFF"/>
          <w:lang w:val="pap-029"/>
        </w:rPr>
        <w:t>Besluit nr. 2010/231/GBVB van de Raad van 26 april 2010 betreffende beperkende maatregelen tegen Somalië en tot intrekking van Gemeenschappelijk Standpunt 2009/138/GBVB</w:t>
      </w:r>
      <w:r w:rsidRPr="00340A62">
        <w:rPr>
          <w:rFonts w:ascii="Palatino Linotype" w:eastAsia="Calibri" w:hAnsi="Palatino Linotype" w:cs="Segoe UI"/>
          <w:bCs/>
          <w:snapToGrid/>
          <w:color w:val="333333"/>
          <w:sz w:val="22"/>
          <w:szCs w:val="22"/>
          <w:shd w:val="clear" w:color="auto" w:fill="FFFFFF"/>
          <w:vertAlign w:val="superscript"/>
          <w:lang w:val="pap-029"/>
        </w:rPr>
        <w:footnoteReference w:id="24"/>
      </w:r>
      <w:r w:rsidRPr="00340A62">
        <w:rPr>
          <w:rFonts w:ascii="Palatino Linotype" w:eastAsia="Palatino Linotype" w:hAnsi="Palatino Linotype" w:cs="Palatino Linotype"/>
          <w:b/>
          <w:snapToGrid/>
          <w:sz w:val="22"/>
          <w:szCs w:val="22"/>
          <w:lang w:val="pap-029"/>
        </w:rPr>
        <w:t xml:space="preserve"> ;</w:t>
      </w:r>
    </w:p>
    <w:p w:rsidR="00340A62" w:rsidRPr="00340A62" w:rsidRDefault="00340A62" w:rsidP="00340A62">
      <w:pPr>
        <w:widowControl/>
        <w:ind w:left="360" w:hanging="360"/>
        <w:jc w:val="both"/>
        <w:rPr>
          <w:rFonts w:ascii="Palatino Linotype" w:eastAsia="Palatino Linotype" w:hAnsi="Palatino Linotype" w:cs="Palatino Linotype"/>
          <w:snapToGrid/>
          <w:sz w:val="22"/>
          <w:szCs w:val="22"/>
          <w:lang w:val="pap-029"/>
        </w:rPr>
      </w:pPr>
      <w:r w:rsidRPr="00340A62">
        <w:rPr>
          <w:rFonts w:ascii="Palatino Linotype" w:eastAsia="Palatino Linotype" w:hAnsi="Palatino Linotype" w:cs="Palatino Linotype"/>
          <w:snapToGrid/>
          <w:sz w:val="22"/>
          <w:szCs w:val="22"/>
          <w:lang w:val="pap-029"/>
        </w:rPr>
        <w:lastRenderedPageBreak/>
        <w:t>q</w:t>
      </w:r>
      <w:r w:rsidRPr="00340A62">
        <w:rPr>
          <w:rFonts w:ascii="Palatino Linotype" w:eastAsia="Palatino Linotype" w:hAnsi="Palatino Linotype" w:cs="Palatino Linotype"/>
          <w:b/>
          <w:snapToGrid/>
          <w:sz w:val="22"/>
          <w:szCs w:val="22"/>
          <w:lang w:val="pap-029"/>
        </w:rPr>
        <w:t xml:space="preserve">. </w:t>
      </w:r>
      <w:r w:rsidRPr="00340A62">
        <w:rPr>
          <w:rFonts w:ascii="Palatino Linotype" w:eastAsia="Palatino Linotype" w:hAnsi="Palatino Linotype" w:cs="Palatino Linotype"/>
          <w:b/>
          <w:snapToGrid/>
          <w:sz w:val="22"/>
          <w:szCs w:val="22"/>
          <w:lang w:val="pap-029"/>
        </w:rPr>
        <w:tab/>
        <w:t>Syrië</w:t>
      </w:r>
      <w:r w:rsidRPr="00340A62">
        <w:rPr>
          <w:rFonts w:ascii="Palatino Linotype" w:eastAsia="Palatino Linotype" w:hAnsi="Palatino Linotype" w:cs="Palatino Linotype"/>
          <w:snapToGrid/>
          <w:sz w:val="22"/>
          <w:szCs w:val="22"/>
          <w:lang w:val="pap-029"/>
        </w:rPr>
        <w:t xml:space="preserve"> op grond van het Besluit nr. 2013/255/GBVB van de Raad van 31 mei 2013 betreffende beperkende maatregelen tegen Syrië</w:t>
      </w:r>
      <w:r w:rsidRPr="00340A62">
        <w:rPr>
          <w:rFonts w:ascii="Palatino Linotype" w:eastAsia="Palatino Linotype" w:hAnsi="Palatino Linotype" w:cs="Palatino Linotype"/>
          <w:snapToGrid/>
          <w:sz w:val="22"/>
          <w:szCs w:val="22"/>
          <w:vertAlign w:val="superscript"/>
          <w:lang w:val="pap-029"/>
        </w:rPr>
        <w:footnoteReference w:id="25"/>
      </w:r>
      <w:r w:rsidRPr="00340A62">
        <w:rPr>
          <w:rFonts w:ascii="Palatino Linotype" w:eastAsia="Palatino Linotype" w:hAnsi="Palatino Linotype" w:cs="Palatino Linotype"/>
          <w:snapToGrid/>
          <w:sz w:val="22"/>
          <w:szCs w:val="22"/>
          <w:lang w:val="pap-029"/>
        </w:rPr>
        <w:t xml:space="preserve"> en de</w:t>
      </w:r>
      <w:r w:rsidRPr="00340A62">
        <w:rPr>
          <w:rFonts w:ascii="Palatino Linotype" w:eastAsia="Calibri" w:hAnsi="Palatino Linotype"/>
          <w:snapToGrid/>
          <w:sz w:val="22"/>
          <w:szCs w:val="22"/>
          <w:lang w:val="pap-029"/>
        </w:rPr>
        <w:t xml:space="preserve"> Verordening (EU) Nr. 36/2012 van de Raad van 18 januari 2012 betreffende beperkende maatregelen in het licht van de situatie in Syrië en tot intrekking van Verordening (EU) nr. 442/2011</w:t>
      </w:r>
      <w:r w:rsidRPr="00340A62">
        <w:rPr>
          <w:rFonts w:ascii="Palatino Linotype" w:eastAsia="Calibri" w:hAnsi="Palatino Linotype"/>
          <w:bCs/>
          <w:snapToGrid/>
          <w:color w:val="000000"/>
          <w:sz w:val="22"/>
          <w:szCs w:val="22"/>
          <w:vertAlign w:val="superscript"/>
          <w:lang w:val="pap-029"/>
        </w:rPr>
        <w:footnoteReference w:id="26"/>
      </w:r>
      <w:r w:rsidRPr="00340A62">
        <w:rPr>
          <w:rFonts w:ascii="Palatino Linotype" w:eastAsia="Calibri" w:hAnsi="Palatino Linotype"/>
          <w:snapToGrid/>
          <w:sz w:val="22"/>
          <w:szCs w:val="22"/>
          <w:lang w:val="pap-029"/>
        </w:rPr>
        <w:t>;</w:t>
      </w:r>
    </w:p>
    <w:p w:rsidR="00340A62" w:rsidRPr="00340A62" w:rsidRDefault="00340A62" w:rsidP="00340A62">
      <w:pPr>
        <w:widowControl/>
        <w:ind w:left="360" w:hanging="360"/>
        <w:jc w:val="both"/>
        <w:rPr>
          <w:rFonts w:ascii="Palatino Linotype" w:eastAsia="Calibri" w:hAnsi="Palatino Linotype" w:cs="Segoe UI"/>
          <w:bCs/>
          <w:snapToGrid/>
          <w:color w:val="333333"/>
          <w:sz w:val="22"/>
          <w:szCs w:val="22"/>
          <w:shd w:val="clear" w:color="auto" w:fill="FFFFFF"/>
          <w:lang w:val="pap-029"/>
        </w:rPr>
      </w:pPr>
      <w:r w:rsidRPr="00340A62">
        <w:rPr>
          <w:rFonts w:ascii="Palatino Linotype" w:eastAsia="Palatino Linotype" w:hAnsi="Palatino Linotype" w:cs="Palatino Linotype"/>
          <w:snapToGrid/>
          <w:sz w:val="22"/>
          <w:szCs w:val="22"/>
          <w:lang w:val="pap-029"/>
        </w:rPr>
        <w:t xml:space="preserve">r.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Venezuela</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cs="Segoe UI"/>
          <w:bCs/>
          <w:snapToGrid/>
          <w:color w:val="333333"/>
          <w:sz w:val="22"/>
          <w:szCs w:val="22"/>
          <w:shd w:val="clear" w:color="auto" w:fill="FFFFFF"/>
          <w:lang w:val="pap-029"/>
        </w:rPr>
        <w:t>Besluit nr. 2017/2074/GBVB van de Raad van 13 november 2017 betreffende beperkende maatregelen in het licht van de situatie in Venezuela</w:t>
      </w:r>
      <w:r w:rsidRPr="00340A62">
        <w:rPr>
          <w:rFonts w:ascii="Palatino Linotype" w:eastAsia="Calibri" w:hAnsi="Palatino Linotype" w:cs="Segoe UI"/>
          <w:b/>
          <w:bCs/>
          <w:snapToGrid/>
          <w:color w:val="333333"/>
          <w:sz w:val="22"/>
          <w:szCs w:val="22"/>
          <w:shd w:val="clear" w:color="auto" w:fill="FFFFFF"/>
          <w:vertAlign w:val="superscript"/>
          <w:lang w:val="pap-029"/>
        </w:rPr>
        <w:footnoteReference w:id="27"/>
      </w:r>
      <w:r w:rsidRPr="00340A62">
        <w:rPr>
          <w:rFonts w:ascii="Palatino Linotype" w:eastAsia="Calibri" w:hAnsi="Palatino Linotype" w:cs="Segoe UI"/>
          <w:bCs/>
          <w:snapToGrid/>
          <w:color w:val="333333"/>
          <w:sz w:val="22"/>
          <w:szCs w:val="22"/>
          <w:shd w:val="clear" w:color="auto" w:fill="FFFFFF"/>
          <w:lang w:val="pap-029"/>
        </w:rPr>
        <w:t>;</w:t>
      </w:r>
    </w:p>
    <w:p w:rsidR="00340A62" w:rsidRPr="00340A62" w:rsidRDefault="00340A62" w:rsidP="00340A62">
      <w:pPr>
        <w:widowControl/>
        <w:ind w:left="360" w:hanging="360"/>
        <w:jc w:val="both"/>
        <w:rPr>
          <w:rFonts w:ascii="Palatino Linotype" w:eastAsia="Calibri" w:hAnsi="Palatino Linotype"/>
          <w:bCs/>
          <w:snapToGrid/>
          <w:color w:val="000000"/>
          <w:sz w:val="22"/>
          <w:szCs w:val="22"/>
          <w:lang w:val="pap-029"/>
        </w:rPr>
      </w:pPr>
      <w:r w:rsidRPr="00340A62">
        <w:rPr>
          <w:rFonts w:ascii="Palatino Linotype" w:eastAsia="Palatino Linotype" w:hAnsi="Palatino Linotype" w:cs="Palatino Linotype"/>
          <w:snapToGrid/>
          <w:sz w:val="22"/>
          <w:szCs w:val="22"/>
          <w:lang w:val="pap-029"/>
        </w:rPr>
        <w:t xml:space="preserve">s. </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Zimbabwe</w:t>
      </w:r>
      <w:r w:rsidRPr="00340A62">
        <w:rPr>
          <w:rFonts w:ascii="Palatino Linotype" w:eastAsia="Palatino Linotype" w:hAnsi="Palatino Linotype" w:cs="Palatino Linotype"/>
          <w:snapToGrid/>
          <w:sz w:val="22"/>
          <w:szCs w:val="22"/>
          <w:lang w:val="pap-029"/>
        </w:rPr>
        <w:t xml:space="preserve"> op grond van het </w:t>
      </w:r>
      <w:r w:rsidRPr="00340A62">
        <w:rPr>
          <w:rFonts w:ascii="Palatino Linotype" w:eastAsia="Calibri" w:hAnsi="Palatino Linotype"/>
          <w:bCs/>
          <w:snapToGrid/>
          <w:color w:val="000000"/>
          <w:sz w:val="22"/>
          <w:szCs w:val="22"/>
          <w:lang w:val="pap-029"/>
        </w:rPr>
        <w:t>Besluit nr. 2011/101/GBVB van de Raad van 15 februari 2011 betreffende beperkende maatregelen in het licht van de situatie in Zimbabwe</w:t>
      </w:r>
      <w:r w:rsidRPr="00340A62">
        <w:rPr>
          <w:rFonts w:ascii="Palatino Linotype" w:eastAsia="Calibri" w:hAnsi="Palatino Linotype"/>
          <w:bCs/>
          <w:snapToGrid/>
          <w:color w:val="000000"/>
          <w:sz w:val="22"/>
          <w:szCs w:val="22"/>
          <w:vertAlign w:val="superscript"/>
          <w:lang w:val="pap-029"/>
        </w:rPr>
        <w:footnoteReference w:id="28"/>
      </w:r>
      <w:r w:rsidRPr="00340A62">
        <w:rPr>
          <w:rFonts w:ascii="Palatino Linotype" w:eastAsia="Calibri" w:hAnsi="Palatino Linotype"/>
          <w:bCs/>
          <w:snapToGrid/>
          <w:color w:val="000000"/>
          <w:sz w:val="22"/>
          <w:szCs w:val="22"/>
          <w:lang w:val="pap-029"/>
        </w:rPr>
        <w:t xml:space="preserve"> en de </w:t>
      </w:r>
      <w:r w:rsidRPr="00340A62">
        <w:rPr>
          <w:rFonts w:ascii="Palatino Linotype" w:eastAsia="Calibri" w:hAnsi="Palatino Linotype" w:cs="Segoe UI"/>
          <w:bCs/>
          <w:snapToGrid/>
          <w:color w:val="333333"/>
          <w:sz w:val="22"/>
          <w:szCs w:val="22"/>
          <w:shd w:val="clear" w:color="auto" w:fill="FFFFFF"/>
          <w:lang w:val="pap-029"/>
        </w:rPr>
        <w:t>Verordening (EG) nr. 314/2004 van de Raad van 19 februari 2004 inzake bepaalde beperkende maatregelen tegen Zimbabwe</w:t>
      </w:r>
      <w:r w:rsidRPr="00340A62">
        <w:rPr>
          <w:rFonts w:ascii="Palatino Linotype" w:eastAsia="Calibri" w:hAnsi="Palatino Linotype" w:cs="Segoe UI"/>
          <w:bCs/>
          <w:snapToGrid/>
          <w:color w:val="333333"/>
          <w:sz w:val="22"/>
          <w:szCs w:val="22"/>
          <w:shd w:val="clear" w:color="auto" w:fill="FFFFFF"/>
          <w:vertAlign w:val="superscript"/>
          <w:lang w:val="pap-029"/>
        </w:rPr>
        <w:footnoteReference w:id="29"/>
      </w:r>
      <w:r w:rsidRPr="00340A62">
        <w:rPr>
          <w:rFonts w:ascii="Palatino Linotype" w:eastAsia="Calibri" w:hAnsi="Palatino Linotype"/>
          <w:bCs/>
          <w:snapToGrid/>
          <w:color w:val="000000"/>
          <w:sz w:val="22"/>
          <w:szCs w:val="22"/>
          <w:lang w:val="pap-029"/>
        </w:rPr>
        <w:t xml:space="preserve">; </w:t>
      </w:r>
    </w:p>
    <w:p w:rsidR="00340A62" w:rsidRPr="00340A62" w:rsidRDefault="00340A62" w:rsidP="00340A62">
      <w:pPr>
        <w:widowControl/>
        <w:ind w:left="360" w:hanging="360"/>
        <w:jc w:val="both"/>
        <w:rPr>
          <w:rFonts w:ascii="Palatino Linotype" w:eastAsia="Calibri" w:hAnsi="Palatino Linotype"/>
          <w:bCs/>
          <w:snapToGrid/>
          <w:color w:val="000000"/>
          <w:sz w:val="22"/>
          <w:szCs w:val="22"/>
          <w:lang w:val="pap-029"/>
        </w:rPr>
      </w:pPr>
      <w:r w:rsidRPr="00340A62">
        <w:rPr>
          <w:rFonts w:ascii="Palatino Linotype" w:eastAsia="Palatino Linotype" w:hAnsi="Palatino Linotype" w:cs="Palatino Linotype"/>
          <w:snapToGrid/>
          <w:sz w:val="22"/>
          <w:szCs w:val="22"/>
          <w:lang w:val="pap-029"/>
        </w:rPr>
        <w:t>t.</w:t>
      </w:r>
      <w:r w:rsidRPr="00340A62">
        <w:rPr>
          <w:rFonts w:ascii="Palatino Linotype" w:eastAsia="Palatino Linotype" w:hAnsi="Palatino Linotype" w:cs="Palatino Linotype"/>
          <w:snapToGrid/>
          <w:sz w:val="22"/>
          <w:szCs w:val="22"/>
          <w:lang w:val="pap-029"/>
        </w:rPr>
        <w:tab/>
      </w:r>
      <w:r w:rsidRPr="00340A62">
        <w:rPr>
          <w:rFonts w:ascii="Palatino Linotype" w:eastAsia="Palatino Linotype" w:hAnsi="Palatino Linotype" w:cs="Palatino Linotype"/>
          <w:b/>
          <w:snapToGrid/>
          <w:sz w:val="22"/>
          <w:szCs w:val="22"/>
          <w:lang w:val="pap-029"/>
        </w:rPr>
        <w:t>Zuid-Soedan</w:t>
      </w:r>
      <w:r w:rsidRPr="00340A62">
        <w:rPr>
          <w:rFonts w:ascii="Palatino Linotype" w:eastAsia="Palatino Linotype" w:hAnsi="Palatino Linotype" w:cs="Palatino Linotype"/>
          <w:snapToGrid/>
          <w:sz w:val="22"/>
          <w:szCs w:val="22"/>
          <w:lang w:val="pap-029"/>
        </w:rPr>
        <w:t xml:space="preserve"> op grond van</w:t>
      </w:r>
      <w:r w:rsidRPr="00340A62">
        <w:rPr>
          <w:rFonts w:ascii="Palatino Linotype" w:eastAsia="Calibri" w:hAnsi="Palatino Linotype"/>
          <w:bCs/>
          <w:snapToGrid/>
          <w:color w:val="000000"/>
          <w:sz w:val="22"/>
          <w:szCs w:val="22"/>
          <w:lang w:val="pap-029"/>
        </w:rPr>
        <w:t xml:space="preserve"> de Verordening (EU) nr. 2015/735 van de Raad van 7 mei 2015 betreffende beperkende maatregelen in het licht van de situatie in Zuid-Sudan en tot intrekking van Verordening (EU) nr. 748/2014</w:t>
      </w:r>
      <w:r w:rsidRPr="00340A62">
        <w:rPr>
          <w:rFonts w:ascii="Palatino Linotype" w:eastAsia="Calibri" w:hAnsi="Palatino Linotype"/>
          <w:bCs/>
          <w:snapToGrid/>
          <w:color w:val="000000"/>
          <w:sz w:val="22"/>
          <w:szCs w:val="22"/>
          <w:vertAlign w:val="superscript"/>
          <w:lang w:val="pap-029"/>
        </w:rPr>
        <w:footnoteReference w:id="30"/>
      </w:r>
      <w:r w:rsidRPr="00340A62">
        <w:rPr>
          <w:rFonts w:ascii="Palatino Linotype" w:eastAsia="Calibri" w:hAnsi="Palatino Linotype"/>
          <w:bCs/>
          <w:snapToGrid/>
          <w:color w:val="000000"/>
          <w:sz w:val="22"/>
          <w:szCs w:val="22"/>
          <w:lang w:val="pap-029"/>
        </w:rPr>
        <w:t>.</w:t>
      </w:r>
    </w:p>
    <w:p w:rsidR="00340A62" w:rsidRPr="00340A62" w:rsidRDefault="00340A62" w:rsidP="00340A62">
      <w:pPr>
        <w:widowControl/>
        <w:ind w:left="360" w:hanging="360"/>
        <w:contextualSpacing/>
        <w:rPr>
          <w:rFonts w:ascii="Palatino Linotype" w:eastAsia="Palatino Linotype" w:hAnsi="Palatino Linotype" w:cs="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H</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Artikelen 3.2 tot en met 3.16 vervallen.</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I</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In artikel 4.1 wordt onder vervanging van de punt aan het slot van onderdeel c door een puntkomma een onderdeel d toegevoegd, luidende:</w:t>
      </w:r>
    </w:p>
    <w:p w:rsidR="00340A62" w:rsidRPr="00340A62" w:rsidRDefault="00340A62" w:rsidP="00340A62">
      <w:pPr>
        <w:widowControl/>
        <w:numPr>
          <w:ilvl w:val="0"/>
          <w:numId w:val="14"/>
        </w:numPr>
        <w:ind w:left="360"/>
        <w:contextualSpacing/>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personen of organisaties: natuurlijke personen, rechtspersonen, entiteit of lichaam, alsmede juridische constructies.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J</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4.2 wordt gewijzigd als volgt :</w:t>
      </w:r>
    </w:p>
    <w:p w:rsidR="00340A62" w:rsidRPr="00340A62" w:rsidRDefault="00340A62" w:rsidP="00340A62">
      <w:pPr>
        <w:widowControl/>
        <w:numPr>
          <w:ilvl w:val="0"/>
          <w:numId w:val="12"/>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Het tweede lid, eerste volzin, komt te luiden:</w:t>
      </w:r>
    </w:p>
    <w:p w:rsidR="00340A62" w:rsidRPr="00340A62" w:rsidRDefault="00340A62" w:rsidP="00340A62">
      <w:pPr>
        <w:widowControl/>
        <w:numPr>
          <w:ilvl w:val="0"/>
          <w:numId w:val="12"/>
        </w:numPr>
        <w:ind w:left="360" w:firstLine="0"/>
        <w:contextualSpacing/>
        <w:jc w:val="both"/>
        <w:rPr>
          <w:rFonts w:ascii="Palatino Linotype" w:hAnsi="Palatino Linotype"/>
          <w:snapToGrid/>
          <w:sz w:val="22"/>
          <w:szCs w:val="22"/>
          <w:lang w:val="nl-NL"/>
        </w:rPr>
      </w:pPr>
      <w:bookmarkStart w:id="3" w:name="_Hlk214888124"/>
      <w:r w:rsidRPr="00340A62">
        <w:rPr>
          <w:rFonts w:ascii="Palatino Linotype" w:hAnsi="Palatino Linotype"/>
          <w:snapToGrid/>
          <w:sz w:val="22"/>
          <w:szCs w:val="22"/>
          <w:lang w:val="nl-NL"/>
        </w:rPr>
        <w:t xml:space="preserve">Het aanwijzingsbesluit, </w:t>
      </w:r>
      <w:bookmarkEnd w:id="3"/>
      <w:r w:rsidRPr="00340A62">
        <w:rPr>
          <w:rFonts w:ascii="Palatino Linotype" w:hAnsi="Palatino Linotype"/>
          <w:snapToGrid/>
          <w:sz w:val="22"/>
          <w:szCs w:val="22"/>
          <w:lang w:val="nl-NL"/>
        </w:rPr>
        <w:t xml:space="preserve">bedoeld in het eerste lid en het besluit om een persoon of organisatie van de lijst te verwijderen, wordt terstond in het Publicatieblad bekendgemaakt.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2. In de eerste volzin van het zesde </w:t>
      </w:r>
      <w:r w:rsidRPr="00340A62">
        <w:rPr>
          <w:rFonts w:ascii="Palatino Linotype" w:eastAsia="Palatino Linotype" w:hAnsi="Palatino Linotype" w:cs="Palatino Linotype"/>
          <w:snapToGrid/>
          <w:sz w:val="22"/>
          <w:szCs w:val="22"/>
          <w:lang w:val="nl-NL"/>
        </w:rPr>
        <w:t>lid wordt “van een aanwijzingsbesluit als bedoeld in het eerste lid” vervangen door: van een aanwijzingsbesluit als bedoeld in het eerste lid en van het besluit om een persoon of organisatie van de lijst, bedoeld in artikel 4.4, tweede lid, onderdeel c, te verwijderen.</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K</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Artikel 4.5 komt te luiden:</w:t>
      </w:r>
    </w:p>
    <w:p w:rsidR="00DE4AE5" w:rsidRDefault="00DE4AE5" w:rsidP="00340A62">
      <w:pPr>
        <w:widowControl/>
        <w:jc w:val="center"/>
        <w:rPr>
          <w:rFonts w:ascii="Palatino Linotype" w:hAnsi="Palatino Linotype"/>
          <w:snapToGrid/>
          <w:sz w:val="22"/>
          <w:szCs w:val="22"/>
          <w:lang w:val="nl-NL"/>
        </w:rPr>
      </w:pPr>
    </w:p>
    <w:p w:rsidR="00340A62" w:rsidRPr="00340A62" w:rsidRDefault="00340A62" w:rsidP="00340A62">
      <w:pPr>
        <w:widowControl/>
        <w:jc w:val="center"/>
        <w:rPr>
          <w:rFonts w:ascii="Palatino Linotype" w:hAnsi="Palatino Linotype"/>
          <w:snapToGrid/>
          <w:sz w:val="22"/>
          <w:szCs w:val="22"/>
          <w:lang w:val="nl-NL"/>
        </w:rPr>
      </w:pPr>
      <w:r w:rsidRPr="00340A62">
        <w:rPr>
          <w:rFonts w:ascii="Palatino Linotype" w:hAnsi="Palatino Linotype"/>
          <w:snapToGrid/>
          <w:sz w:val="22"/>
          <w:szCs w:val="22"/>
          <w:lang w:val="nl-NL"/>
        </w:rPr>
        <w:t>Artikel 4.5</w:t>
      </w:r>
    </w:p>
    <w:p w:rsidR="00340A62" w:rsidRPr="00340A62" w:rsidRDefault="00340A62" w:rsidP="00340A62">
      <w:pPr>
        <w:widowControl/>
        <w:jc w:val="center"/>
        <w:rPr>
          <w:rFonts w:ascii="Palatino Linotype" w:hAnsi="Palatino Linotype"/>
          <w:snapToGrid/>
          <w:sz w:val="22"/>
          <w:szCs w:val="22"/>
          <w:lang w:val="nl-NL"/>
        </w:rPr>
      </w:pPr>
    </w:p>
    <w:p w:rsidR="00340A62" w:rsidRPr="00340A62" w:rsidRDefault="00340A62" w:rsidP="00340A62">
      <w:pPr>
        <w:widowControl/>
        <w:tabs>
          <w:tab w:val="left" w:pos="27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1.   In de commissie, bedoeld in artikel 4.4. hebben als lid zitting:</w:t>
      </w:r>
    </w:p>
    <w:p w:rsidR="00340A62" w:rsidRPr="00340A62" w:rsidRDefault="00340A62" w:rsidP="00340A62">
      <w:pPr>
        <w:widowControl/>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a.  de Procureur-Generaal, tevens voorzitter;</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ab/>
        <w:t>b.  het hoofd van de Financial Intelligence Unit;</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c.  de Korpschef van het Korps Politie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d.  het hoofd van de Veiligheidsdienst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e.   het hoofd van de Douane Curaçao;</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f.   de Directeur van de Directie Buitenlandse Betrekkingen;</w:t>
      </w:r>
    </w:p>
    <w:p w:rsidR="00340A62" w:rsidRPr="00340A62" w:rsidRDefault="00340A62" w:rsidP="00340A62">
      <w:pPr>
        <w:widowControl/>
        <w:tabs>
          <w:tab w:val="left" w:pos="360"/>
          <w:tab w:val="left" w:pos="108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b/>
        <w:t>g.  de Directeur van de Directie Wetgeving en Juridische Zaken.</w:t>
      </w:r>
    </w:p>
    <w:p w:rsidR="00340A62" w:rsidRPr="00340A62" w:rsidRDefault="00340A62" w:rsidP="00340A62">
      <w:pPr>
        <w:widowControl/>
        <w:tabs>
          <w:tab w:val="left" w:pos="360"/>
          <w:tab w:val="left" w:pos="1080"/>
          <w:tab w:val="left" w:pos="1710"/>
        </w:tabs>
        <w:ind w:left="360" w:hanging="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2. </w:t>
      </w:r>
      <w:r w:rsidRPr="00340A62">
        <w:rPr>
          <w:rFonts w:ascii="Palatino Linotype" w:eastAsia="Palatino Linotype" w:hAnsi="Palatino Linotype" w:cs="Palatino Linotype"/>
          <w:snapToGrid/>
          <w:sz w:val="22"/>
          <w:szCs w:val="22"/>
          <w:lang w:val="nl-NL"/>
        </w:rPr>
        <w:tab/>
        <w:t xml:space="preserve">Elke functionaris, genoemd in het eerste lid, wijst een persoon werkzaam onder zijn verantwoordelijkheid aan, om deel te nemen aan de werkzaamheden van de commissie. </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L</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Artikel 4.6 komt te luiden: </w:t>
      </w:r>
    </w:p>
    <w:p w:rsidR="00340A62" w:rsidRPr="00340A62" w:rsidRDefault="00340A62" w:rsidP="00340A62">
      <w:pPr>
        <w:widowControl/>
        <w:jc w:val="center"/>
        <w:rPr>
          <w:rFonts w:ascii="Palatino Linotype" w:eastAsia="Calibri" w:hAnsi="Palatino Linotype"/>
          <w:snapToGrid/>
          <w:sz w:val="22"/>
          <w:szCs w:val="22"/>
          <w:lang w:val="pap-029"/>
        </w:rPr>
      </w:pPr>
    </w:p>
    <w:p w:rsidR="00340A62" w:rsidRPr="00340A62" w:rsidRDefault="00340A62" w:rsidP="00340A62">
      <w:pPr>
        <w:widowControl/>
        <w:jc w:val="center"/>
        <w:rPr>
          <w:rFonts w:ascii="Palatino Linotype" w:eastAsia="Calibri" w:hAnsi="Palatino Linotype"/>
          <w:snapToGrid/>
          <w:sz w:val="22"/>
          <w:szCs w:val="22"/>
          <w:lang w:val="pap-029"/>
        </w:rPr>
      </w:pPr>
      <w:r w:rsidRPr="00340A62">
        <w:rPr>
          <w:rFonts w:ascii="Palatino Linotype" w:eastAsia="Calibri" w:hAnsi="Palatino Linotype"/>
          <w:snapToGrid/>
          <w:sz w:val="22"/>
          <w:szCs w:val="22"/>
          <w:lang w:val="pap-029"/>
        </w:rPr>
        <w:t>Artikel 4.6</w:t>
      </w:r>
    </w:p>
    <w:p w:rsidR="00340A62" w:rsidRPr="00340A62" w:rsidRDefault="00340A62" w:rsidP="00340A62">
      <w:pPr>
        <w:widowControl/>
        <w:rPr>
          <w:rFonts w:ascii="Palatino Linotype" w:eastAsia="Calibri" w:hAnsi="Palatino Linotype"/>
          <w:snapToGrid/>
          <w:sz w:val="22"/>
          <w:szCs w:val="22"/>
          <w:lang w:val="pap-029"/>
        </w:rPr>
      </w:pPr>
    </w:p>
    <w:p w:rsidR="00340A62" w:rsidRPr="00340A62" w:rsidRDefault="00340A62" w:rsidP="00340A62">
      <w:pPr>
        <w:widowControl/>
        <w:numPr>
          <w:ilvl w:val="0"/>
          <w:numId w:val="11"/>
        </w:numPr>
        <w:ind w:left="360"/>
        <w:jc w:val="both"/>
        <w:rPr>
          <w:rFonts w:ascii="Palatino Linotype" w:eastAsia="Calibri" w:hAnsi="Palatino Linotype"/>
          <w:snapToGrid/>
          <w:sz w:val="22"/>
          <w:szCs w:val="22"/>
          <w:lang w:val="pap-029"/>
        </w:rPr>
      </w:pPr>
      <w:r w:rsidRPr="00340A62">
        <w:rPr>
          <w:rFonts w:ascii="Palatino Linotype" w:eastAsia="Calibri" w:hAnsi="Palatino Linotype"/>
          <w:snapToGrid/>
          <w:sz w:val="22"/>
          <w:szCs w:val="22"/>
          <w:lang w:val="pap-029"/>
        </w:rPr>
        <w:t>De commissie stelt een regelement van orde vast en maakt deze bekend in de Landscourant.</w:t>
      </w:r>
    </w:p>
    <w:p w:rsidR="00340A62" w:rsidRPr="00340A62" w:rsidRDefault="00340A62" w:rsidP="00340A62">
      <w:pPr>
        <w:widowControl/>
        <w:numPr>
          <w:ilvl w:val="0"/>
          <w:numId w:val="11"/>
        </w:numPr>
        <w:tabs>
          <w:tab w:val="left" w:pos="360"/>
          <w:tab w:val="left" w:pos="1080"/>
          <w:tab w:val="left" w:pos="1710"/>
        </w:tabs>
        <w:ind w:left="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De commissie stelt na overleg met de ministers, bedoeld in artikel 4.2, zesde lid, de noodzakelijke werkprocessen vast met inachtneming van de daarvoor geldende internationale richtlijnen en aanbevelingen vastgesteld door een sanctiecomité van de Veiligheidsraad of de Financial Action Taskforce, waaronder met betrekking tot de publicatie van de geconsolideerde lijst, bedoeld in artikel 4.4, onderdeel c.  Deze werkprocessen worden door de Minister van Algemene Zaken bekendgemaakt in de Landscourant. </w:t>
      </w:r>
    </w:p>
    <w:p w:rsidR="00340A62" w:rsidRPr="00340A62" w:rsidRDefault="00340A62" w:rsidP="00340A62">
      <w:pPr>
        <w:widowControl/>
        <w:numPr>
          <w:ilvl w:val="0"/>
          <w:numId w:val="11"/>
        </w:numPr>
        <w:tabs>
          <w:tab w:val="left" w:pos="360"/>
          <w:tab w:val="left" w:pos="1080"/>
          <w:tab w:val="left" w:pos="1710"/>
        </w:tabs>
        <w:ind w:left="360"/>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Het werkproces van bevriezen en vrijgeven van middelen, is van overeenkomstige toepassing op alle verbodsbepalingen van hoofdstuk 1. </w:t>
      </w:r>
    </w:p>
    <w:p w:rsidR="00340A62" w:rsidRPr="00340A62" w:rsidRDefault="00340A62" w:rsidP="00340A62">
      <w:pPr>
        <w:widowControl/>
        <w:rPr>
          <w:rFonts w:ascii="Palatino Linotype" w:eastAsia="Calibri" w:hAnsi="Palatino Linotype"/>
          <w:snapToGrid/>
          <w:sz w:val="22"/>
          <w:szCs w:val="22"/>
          <w:lang w:val="pap-029"/>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Artikel II</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De bijlage behorende bij artikel 2, eerste lid, van het </w:t>
      </w:r>
      <w:bookmarkStart w:id="4" w:name="_Hlk129079160"/>
      <w:r w:rsidRPr="00340A62">
        <w:rPr>
          <w:rFonts w:ascii="Palatino Linotype" w:hAnsi="Palatino Linotype"/>
          <w:snapToGrid/>
          <w:sz w:val="22"/>
          <w:szCs w:val="22"/>
          <w:lang w:val="nl-NL"/>
        </w:rPr>
        <w:t>Landsbesluit aanwijzing vertrouwensfuncties en veiligheidsonderzoeken</w:t>
      </w:r>
      <w:bookmarkEnd w:id="4"/>
      <w:r w:rsidRPr="00340A62">
        <w:rPr>
          <w:rFonts w:ascii="Palatino Linotype" w:hAnsi="Palatino Linotype"/>
          <w:snapToGrid/>
          <w:sz w:val="22"/>
          <w:szCs w:val="22"/>
          <w:lang w:val="nl-NL"/>
        </w:rPr>
        <w:t xml:space="preserve"> wordt gewijzigd als volgt:</w:t>
      </w:r>
    </w:p>
    <w:p w:rsidR="00340A62" w:rsidRPr="00340A62" w:rsidRDefault="00340A62" w:rsidP="00340A62">
      <w:pPr>
        <w:widowControl/>
        <w:numPr>
          <w:ilvl w:val="0"/>
          <w:numId w:val="9"/>
        </w:numPr>
        <w:ind w:left="360"/>
        <w:contextualSpacing/>
        <w:rPr>
          <w:rFonts w:ascii="Palatino Linotype" w:hAnsi="Palatino Linotype"/>
          <w:snapToGrid/>
          <w:sz w:val="22"/>
          <w:szCs w:val="22"/>
          <w:lang w:val="nl-NL"/>
        </w:rPr>
      </w:pPr>
      <w:r w:rsidRPr="00340A62">
        <w:rPr>
          <w:rFonts w:ascii="Palatino Linotype" w:hAnsi="Palatino Linotype"/>
          <w:sz w:val="22"/>
          <w:szCs w:val="22"/>
          <w:lang w:val="nl-NL"/>
        </w:rPr>
        <w:t>De punt na “</w:t>
      </w:r>
      <w:bookmarkStart w:id="5" w:name="_GoBack"/>
      <w:r w:rsidRPr="00340A62">
        <w:rPr>
          <w:rFonts w:ascii="Palatino Linotype" w:hAnsi="Palatino Linotype"/>
          <w:sz w:val="22"/>
          <w:szCs w:val="22"/>
          <w:lang w:val="nl-NL"/>
        </w:rPr>
        <w:t>plaatsvervangend secretaris</w:t>
      </w:r>
      <w:bookmarkEnd w:id="5"/>
      <w:r w:rsidRPr="00340A62">
        <w:rPr>
          <w:rFonts w:ascii="Palatino Linotype" w:hAnsi="Palatino Linotype"/>
          <w:sz w:val="22"/>
          <w:szCs w:val="22"/>
          <w:lang w:val="nl-NL"/>
        </w:rPr>
        <w:t xml:space="preserve">” wordt vervangen door een puntkomma. </w:t>
      </w:r>
    </w:p>
    <w:p w:rsidR="00340A62" w:rsidRPr="00340A62" w:rsidRDefault="00340A62" w:rsidP="00340A62">
      <w:pPr>
        <w:widowControl/>
        <w:numPr>
          <w:ilvl w:val="0"/>
          <w:numId w:val="9"/>
        </w:numPr>
        <w:ind w:left="360"/>
        <w:contextualSpacing/>
        <w:rPr>
          <w:rFonts w:ascii="Palatino Linotype" w:hAnsi="Palatino Linotype"/>
          <w:snapToGrid/>
          <w:sz w:val="22"/>
          <w:szCs w:val="22"/>
          <w:lang w:val="nl-NL"/>
        </w:rPr>
      </w:pPr>
      <w:r w:rsidRPr="00340A62">
        <w:rPr>
          <w:rFonts w:ascii="Palatino Linotype" w:hAnsi="Palatino Linotype"/>
          <w:snapToGrid/>
          <w:sz w:val="22"/>
          <w:szCs w:val="22"/>
          <w:lang w:val="nl-NL"/>
        </w:rPr>
        <w:t>Na de laatste gedachtestreep wordt een nieuw onderdeel toegevoegd, luidende als volgt:</w:t>
      </w:r>
    </w:p>
    <w:p w:rsidR="00340A62" w:rsidRPr="00340A62" w:rsidRDefault="00340A62" w:rsidP="00340A62">
      <w:pPr>
        <w:widowControl/>
        <w:numPr>
          <w:ilvl w:val="0"/>
          <w:numId w:val="10"/>
        </w:numPr>
        <w:contextualSpacing/>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leden van de Commissie aanwijzing personen en organisaties, zoals ingesteld bij of krachtens de Sanctielandsverordening en de Rijkssanctiewet.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Artikel III</w:t>
      </w:r>
    </w:p>
    <w:p w:rsidR="00340A62" w:rsidRPr="00340A62" w:rsidRDefault="00340A62" w:rsidP="00340A62">
      <w:pPr>
        <w:widowControl/>
        <w:jc w:val="both"/>
        <w:rPr>
          <w:rFonts w:ascii="Palatino Linotype" w:hAnsi="Palatino Linotype"/>
          <w:i/>
          <w:snapToGrid/>
          <w:sz w:val="22"/>
          <w:szCs w:val="22"/>
          <w:lang w:val="nl-NL"/>
        </w:rPr>
      </w:pPr>
      <w:r w:rsidRPr="00340A62">
        <w:rPr>
          <w:rFonts w:ascii="Palatino Linotype" w:hAnsi="Palatino Linotype"/>
          <w:snapToGrid/>
          <w:sz w:val="22"/>
          <w:szCs w:val="22"/>
          <w:lang w:val="nl-NL"/>
        </w:rPr>
        <w:t>Dit landsbesluit treedt in werking met ingang van de dag na de datum van bekendmaking, met uitzondering van artikel II die op een bij landsbesluit te bepalen tijdstip in werking treedt.</w:t>
      </w:r>
    </w:p>
    <w:p w:rsidR="00340A62" w:rsidRPr="00340A62" w:rsidRDefault="00340A62" w:rsidP="00340A62">
      <w:pPr>
        <w:widowControl/>
        <w:ind w:left="5103"/>
        <w:rPr>
          <w:rFonts w:ascii="Palatino Linotype" w:hAnsi="Palatino Linotype"/>
          <w:snapToGrid/>
          <w:sz w:val="22"/>
          <w:szCs w:val="22"/>
          <w:lang w:val="nl-NL"/>
        </w:rPr>
      </w:pPr>
    </w:p>
    <w:p w:rsidR="00340A62" w:rsidRPr="00340A62" w:rsidRDefault="00340A62" w:rsidP="00340A62">
      <w:pPr>
        <w:widowControl/>
        <w:ind w:left="5103"/>
        <w:rPr>
          <w:rFonts w:ascii="Palatino Linotype" w:hAnsi="Palatino Linotype"/>
          <w:snapToGrid/>
          <w:sz w:val="22"/>
          <w:szCs w:val="22"/>
          <w:lang w:val="nl-NL"/>
        </w:rPr>
      </w:pPr>
    </w:p>
    <w:p w:rsidR="00340A62" w:rsidRDefault="00340A62" w:rsidP="00A35415">
      <w:pPr>
        <w:widowControl/>
        <w:ind w:left="5103" w:right="670"/>
        <w:rPr>
          <w:rFonts w:ascii="Palatino Linotype" w:hAnsi="Palatino Linotype"/>
          <w:snapToGrid/>
          <w:sz w:val="22"/>
          <w:szCs w:val="22"/>
          <w:lang w:val="nl-NL"/>
        </w:rPr>
      </w:pPr>
      <w:r w:rsidRPr="00340A62">
        <w:rPr>
          <w:rFonts w:ascii="Palatino Linotype" w:hAnsi="Palatino Linotype"/>
          <w:snapToGrid/>
          <w:sz w:val="22"/>
          <w:szCs w:val="22"/>
          <w:lang w:val="nl-NL"/>
        </w:rPr>
        <w:t>Gegeven te Willemstad,</w:t>
      </w:r>
      <w:r w:rsidR="00A35415">
        <w:rPr>
          <w:rFonts w:ascii="Palatino Linotype" w:hAnsi="Palatino Linotype"/>
          <w:snapToGrid/>
          <w:sz w:val="22"/>
          <w:szCs w:val="22"/>
          <w:lang w:val="nl-NL"/>
        </w:rPr>
        <w:t xml:space="preserve"> 5 juni 2026</w:t>
      </w:r>
    </w:p>
    <w:p w:rsidR="00A35415" w:rsidRPr="00340A62" w:rsidRDefault="00A35415" w:rsidP="00A35415">
      <w:pPr>
        <w:widowControl/>
        <w:ind w:left="5103" w:right="670"/>
        <w:jc w:val="center"/>
        <w:rPr>
          <w:rFonts w:ascii="Palatino Linotype" w:hAnsi="Palatino Linotype"/>
          <w:snapToGrid/>
          <w:sz w:val="22"/>
          <w:szCs w:val="22"/>
          <w:lang w:val="nl-NL"/>
        </w:rPr>
      </w:pPr>
      <w:r w:rsidRPr="00A35415">
        <w:rPr>
          <w:rFonts w:ascii="Palatino Linotype" w:hAnsi="Palatino Linotype"/>
          <w:snapToGrid/>
          <w:sz w:val="22"/>
          <w:szCs w:val="22"/>
          <w:lang w:val="nl-NL"/>
        </w:rPr>
        <w:t>M.J. DE KORT</w:t>
      </w:r>
    </w:p>
    <w:p w:rsidR="00340A62" w:rsidRPr="00340A62" w:rsidRDefault="00340A62" w:rsidP="00340A62">
      <w:pPr>
        <w:widowControl/>
        <w:rPr>
          <w:rFonts w:ascii="Palatino Linotype" w:hAnsi="Palatino Linotype"/>
          <w:snapToGrid/>
          <w:sz w:val="22"/>
          <w:szCs w:val="22"/>
          <w:lang w:val="nl-NL"/>
        </w:rPr>
      </w:pPr>
    </w:p>
    <w:p w:rsidR="00340A62" w:rsidRDefault="00340A62" w:rsidP="00A35415">
      <w:pPr>
        <w:widowControl/>
        <w:ind w:right="589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A35415" w:rsidRPr="00340A62" w:rsidRDefault="00A35415" w:rsidP="00A35415">
      <w:pPr>
        <w:widowControl/>
        <w:ind w:right="5890"/>
        <w:jc w:val="center"/>
        <w:rPr>
          <w:rFonts w:ascii="Palatino Linotype" w:hAnsi="Palatino Linotype"/>
          <w:snapToGrid/>
          <w:sz w:val="22"/>
          <w:szCs w:val="22"/>
          <w:lang w:val="nl-NL"/>
        </w:rPr>
      </w:pPr>
      <w:r w:rsidRPr="00A35415">
        <w:rPr>
          <w:rFonts w:ascii="Palatino Linotype" w:hAnsi="Palatino Linotype"/>
          <w:snapToGrid/>
          <w:sz w:val="22"/>
          <w:szCs w:val="22"/>
          <w:lang w:val="nl-NL"/>
        </w:rPr>
        <w:t>G.S. PISAS</w:t>
      </w:r>
    </w:p>
    <w:p w:rsidR="00340A62" w:rsidRPr="00340A62" w:rsidRDefault="00340A62" w:rsidP="00340A62">
      <w:pPr>
        <w:widowControl/>
        <w:ind w:left="5103"/>
        <w:rPr>
          <w:rFonts w:ascii="Palatino Linotype" w:hAnsi="Palatino Linotype"/>
          <w:snapToGrid/>
          <w:sz w:val="22"/>
          <w:szCs w:val="22"/>
          <w:lang w:val="nl-NL"/>
        </w:rPr>
      </w:pPr>
    </w:p>
    <w:p w:rsidR="00340A62" w:rsidRPr="00340A62" w:rsidRDefault="00340A62" w:rsidP="00340A62">
      <w:pPr>
        <w:widowControl/>
        <w:ind w:left="5103"/>
        <w:rPr>
          <w:rFonts w:ascii="Palatino Linotype" w:hAnsi="Palatino Linotype"/>
          <w:snapToGrid/>
          <w:sz w:val="22"/>
          <w:szCs w:val="22"/>
          <w:lang w:val="nl-NL"/>
        </w:rPr>
      </w:pPr>
      <w:r w:rsidRPr="00340A62">
        <w:rPr>
          <w:rFonts w:ascii="Palatino Linotype" w:hAnsi="Palatino Linotype"/>
          <w:snapToGrid/>
          <w:sz w:val="22"/>
          <w:szCs w:val="22"/>
          <w:lang w:val="nl-NL"/>
        </w:rPr>
        <w:t xml:space="preserve">Uitgegeven de </w:t>
      </w:r>
      <w:r w:rsidR="00A35415">
        <w:rPr>
          <w:rFonts w:ascii="Palatino Linotype" w:hAnsi="Palatino Linotype"/>
          <w:snapToGrid/>
          <w:sz w:val="22"/>
          <w:szCs w:val="22"/>
          <w:lang w:val="nl-NL"/>
        </w:rPr>
        <w:t>17</w:t>
      </w:r>
      <w:r w:rsidR="00A35415" w:rsidRPr="00A35415">
        <w:rPr>
          <w:rFonts w:ascii="Palatino Linotype" w:hAnsi="Palatino Linotype"/>
          <w:snapToGrid/>
          <w:sz w:val="22"/>
          <w:szCs w:val="22"/>
          <w:vertAlign w:val="superscript"/>
          <w:lang w:val="nl-NL"/>
        </w:rPr>
        <w:t>de</w:t>
      </w:r>
      <w:r w:rsidR="00A35415">
        <w:rPr>
          <w:rFonts w:ascii="Palatino Linotype" w:hAnsi="Palatino Linotype"/>
          <w:snapToGrid/>
          <w:sz w:val="22"/>
          <w:szCs w:val="22"/>
          <w:lang w:val="nl-NL"/>
        </w:rPr>
        <w:t xml:space="preserve"> juli 2026</w:t>
      </w:r>
    </w:p>
    <w:p w:rsidR="00A35415" w:rsidRDefault="00340A62" w:rsidP="00A35415">
      <w:pPr>
        <w:widowControl/>
        <w:ind w:left="5103" w:right="85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340A62" w:rsidRPr="00340A62" w:rsidRDefault="00A35415" w:rsidP="00A35415">
      <w:pPr>
        <w:widowControl/>
        <w:ind w:left="5103" w:right="850"/>
        <w:jc w:val="center"/>
        <w:rPr>
          <w:rFonts w:ascii="Palatino Linotype" w:hAnsi="Palatino Linotype"/>
          <w:snapToGrid/>
          <w:sz w:val="22"/>
          <w:szCs w:val="22"/>
          <w:lang w:val="nl-NL"/>
        </w:rPr>
      </w:pPr>
      <w:r w:rsidRPr="00A35415">
        <w:rPr>
          <w:rFonts w:ascii="Palatino Linotype" w:hAnsi="Palatino Linotype"/>
          <w:snapToGrid/>
          <w:sz w:val="22"/>
          <w:szCs w:val="22"/>
          <w:lang w:val="nl-NL"/>
        </w:rPr>
        <w:t>G.S. PISAS</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bCs/>
          <w:snapToGrid/>
          <w:sz w:val="22"/>
          <w:szCs w:val="22"/>
          <w:lang w:val="nl-NL"/>
        </w:rPr>
        <w:br w:type="page"/>
      </w:r>
      <w:r w:rsidRPr="00340A62">
        <w:rPr>
          <w:rFonts w:ascii="Palatino Linotype" w:hAnsi="Palatino Linotype"/>
          <w:b/>
          <w:bCs/>
          <w:snapToGrid/>
          <w:sz w:val="22"/>
          <w:szCs w:val="22"/>
          <w:lang w:val="nl-NL"/>
        </w:rPr>
        <w:lastRenderedPageBreak/>
        <w:t>Nota van toelichting behorende bij het Landsbesluit, houdende algemene maatregelen strekkende tot wijziging van het Omnibus-Sanctiebesluit Curacao</w:t>
      </w:r>
      <w:r w:rsidRPr="00340A62">
        <w:rPr>
          <w:rFonts w:ascii="Palatino Linotype" w:hAnsi="Palatino Linotype"/>
          <w:b/>
          <w:bCs/>
          <w:snapToGrid/>
          <w:sz w:val="22"/>
          <w:szCs w:val="22"/>
          <w:vertAlign w:val="superscript"/>
          <w:lang w:val="nl-NL"/>
        </w:rPr>
        <w:footnoteReference w:id="31"/>
      </w:r>
      <w:r w:rsidRPr="00340A62">
        <w:rPr>
          <w:rFonts w:ascii="Palatino Linotype" w:hAnsi="Palatino Linotype"/>
          <w:b/>
          <w:snapToGrid/>
          <w:sz w:val="22"/>
          <w:szCs w:val="22"/>
          <w:lang w:val="nl-NL"/>
        </w:rPr>
        <w:t xml:space="preserve"> en het Landsbesluit aanwijzing vertrouwensfuncties en veiligheidsonderzoeken</w:t>
      </w:r>
      <w:r w:rsidRPr="00340A62">
        <w:rPr>
          <w:rFonts w:ascii="Palatino Linotype" w:hAnsi="Palatino Linotype"/>
          <w:b/>
          <w:snapToGrid/>
          <w:sz w:val="22"/>
          <w:szCs w:val="22"/>
          <w:vertAlign w:val="superscript"/>
          <w:lang w:val="nl-NL"/>
        </w:rPr>
        <w:footnoteReference w:id="32"/>
      </w:r>
    </w:p>
    <w:p w:rsidR="00340A62" w:rsidRPr="00340A62" w:rsidRDefault="00340A62" w:rsidP="00340A62">
      <w:pPr>
        <w:widowControl/>
        <w:jc w:val="both"/>
        <w:rPr>
          <w:rFonts w:ascii="Palatino Linotype" w:hAnsi="Palatino Linotype"/>
          <w:b/>
          <w:bCs/>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 xml:space="preserve">Algemeen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Op 20 mei 2025 is het Omnibus-Sanctiebesluit Curaçao vastgesteld. In dit landsbesluit zijn alle verbodsbepalingen van de sanctiemaatregelen van zowel de Verenigde Naties als de Europese Unie (EU) in een keer “binnengehaald” in de rechtsorde van Curaçao. Deze sanctiemaatregelen worden internationaal ingezet </w:t>
      </w:r>
      <w:r w:rsidRPr="00340A62">
        <w:rPr>
          <w:rFonts w:ascii="Palatino Linotype" w:hAnsi="Palatino Linotype"/>
          <w:snapToGrid/>
          <w:sz w:val="22"/>
          <w:szCs w:val="22"/>
          <w:shd w:val="clear" w:color="auto" w:fill="FFFFFF"/>
          <w:lang w:val="nl-NL"/>
        </w:rPr>
        <w:t xml:space="preserve"> om schendingen of bedreigingen van de internationale rechtsorde tegen te houden en ter bestrijding van terrorisme </w:t>
      </w:r>
      <w:r w:rsidRPr="00340A62">
        <w:rPr>
          <w:rFonts w:ascii="Palatino Linotype" w:hAnsi="Palatino Linotype"/>
          <w:snapToGrid/>
          <w:sz w:val="22"/>
          <w:szCs w:val="22"/>
          <w:lang w:val="nl-NL"/>
        </w:rPr>
        <w:t xml:space="preserve">en massavernietigingswapens tegen te houden. </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b/>
          <w:bCs/>
          <w:snapToGrid/>
          <w:sz w:val="22"/>
          <w:szCs w:val="22"/>
          <w:lang w:val="pap-029" w:eastAsia="pap-029"/>
        </w:rPr>
        <w:t>Artikel 215, eerste en tweede lid, van het Verdrag betreffende de werking van de Europese Unie</w:t>
      </w:r>
      <w:r w:rsidRPr="00340A62">
        <w:rPr>
          <w:rFonts w:ascii="Palatino Linotype" w:hAnsi="Palatino Linotype"/>
          <w:snapToGrid/>
          <w:sz w:val="22"/>
          <w:szCs w:val="22"/>
          <w:lang w:val="pap-029" w:eastAsia="pap-029"/>
        </w:rPr>
        <w:t xml:space="preserve"> biedt de juridische basis van de internationale sancties in de Europese Unie biedt. Het eerste lid van dit artikel luidt als volgt:</w:t>
      </w:r>
    </w:p>
    <w:p w:rsidR="00340A62" w:rsidRPr="00340A62" w:rsidRDefault="00340A62" w:rsidP="00340A62">
      <w:pPr>
        <w:widowControl/>
        <w:spacing w:before="100" w:beforeAutospacing="1" w:after="100" w:afterAutospacing="1"/>
        <w:rPr>
          <w:rFonts w:ascii="Palatino Linotype" w:hAnsi="Palatino Linotype"/>
          <w:snapToGrid/>
          <w:sz w:val="22"/>
          <w:szCs w:val="22"/>
          <w:lang w:val="pap-029" w:eastAsia="pap-029"/>
        </w:rPr>
      </w:pPr>
      <w:r w:rsidRPr="00340A62">
        <w:rPr>
          <w:rFonts w:ascii="Palatino Linotype" w:hAnsi="Palatino Linotype"/>
          <w:b/>
          <w:bCs/>
          <w:snapToGrid/>
          <w:sz w:val="22"/>
          <w:szCs w:val="22"/>
          <w:lang w:val="pap-029" w:eastAsia="pap-029"/>
        </w:rPr>
        <w:t>1.</w:t>
      </w:r>
      <w:r w:rsidRPr="00340A62">
        <w:rPr>
          <w:rFonts w:ascii="Palatino Linotype" w:hAnsi="Palatino Linotype"/>
          <w:snapToGrid/>
          <w:sz w:val="22"/>
          <w:szCs w:val="22"/>
          <w:lang w:val="pap-029" w:eastAsia="pap-029"/>
        </w:rPr>
        <w:t xml:space="preserve"> </w:t>
      </w:r>
      <w:r w:rsidRPr="00340A62">
        <w:rPr>
          <w:rFonts w:ascii="Palatino Linotype" w:hAnsi="Palatino Linotype"/>
          <w:i/>
          <w:iCs/>
          <w:snapToGrid/>
          <w:sz w:val="22"/>
          <w:szCs w:val="22"/>
          <w:lang w:val="pap-029" w:eastAsia="pap-029"/>
        </w:rPr>
        <w:t>“Wanneer in een krachtens hoofdstuk 2 van titel V van het Verdrag betreffende de Europese Unie vastgesteld besluit is bepaald dat de Unie één of meer derde landen, of natuurlijke of rechtspersonen, groepen of niet-statelijke entiteiten geheel of gedeeltelijk dient te onderbreken of te beëindigen, neemt de Raad de nodige maatregelen aan. Hij besluit op voorstel van de hoge vertegenwoordiger van de Unie voor buitenlandse zaken en veiligheidsbeleid en van de Commissie.”</w:t>
      </w:r>
    </w:p>
    <w:p w:rsidR="00340A62" w:rsidRPr="00340A62" w:rsidRDefault="00340A62" w:rsidP="00340A62">
      <w:pPr>
        <w:widowControl/>
        <w:jc w:val="both"/>
        <w:rPr>
          <w:rFonts w:ascii="Palatino Linotype" w:hAnsi="Palatino Linotype"/>
          <w:snapToGrid/>
          <w:color w:val="333333"/>
          <w:sz w:val="22"/>
          <w:szCs w:val="22"/>
          <w:shd w:val="clear" w:color="auto" w:fill="FFFFFF"/>
          <w:lang w:val="nl-NL"/>
        </w:rPr>
      </w:pPr>
      <w:r w:rsidRPr="00340A62">
        <w:rPr>
          <w:rFonts w:ascii="Palatino Linotype" w:hAnsi="Palatino Linotype"/>
          <w:snapToGrid/>
          <w:sz w:val="22"/>
          <w:szCs w:val="22"/>
          <w:lang w:val="nl-NL"/>
        </w:rPr>
        <w:t xml:space="preserve">Op grond van artikel 1 van de Rijkssanctiewet zijn de </w:t>
      </w:r>
      <w:r w:rsidRPr="00340A62">
        <w:rPr>
          <w:rFonts w:ascii="Palatino Linotype" w:hAnsi="Palatino Linotype"/>
          <w:snapToGrid/>
          <w:color w:val="333333"/>
          <w:sz w:val="22"/>
          <w:szCs w:val="22"/>
          <w:shd w:val="clear" w:color="auto" w:fill="FFFFFF"/>
          <w:lang w:val="nl-NL"/>
        </w:rPr>
        <w:t>bepalingen van bindende EU-rechtshandelingen, op voet van artikel 215, eerste en tweede lid, van het Verdrag betreffende de werking van de Europese Unie vastgesteld in het kader van het Gemeenschappelijk Buitenlands en Veiligheidsbeleid van de Europese Unie, in Curaçao op overeenkomstige wijze als in de lidstaten van de Europese Unie van toepassing. Andere wettelijke bepalingen die niet verenigbaar zijn met de ingevolge de eerste volzin van overeenkomstige toepassing verklaarde bepalingen van bindende EU-rechtshandelingen, blijven buiten toepassing.</w:t>
      </w:r>
    </w:p>
    <w:p w:rsidR="00340A62" w:rsidRPr="00340A62" w:rsidRDefault="00340A62" w:rsidP="00340A62">
      <w:pPr>
        <w:widowControl/>
        <w:jc w:val="both"/>
        <w:rPr>
          <w:rFonts w:ascii="Palatino Linotype" w:hAnsi="Palatino Linotype"/>
          <w:bCs/>
          <w:snapToGrid/>
          <w:sz w:val="22"/>
          <w:szCs w:val="22"/>
          <w:lang w:val="nl-NL"/>
        </w:rPr>
      </w:pPr>
      <w:r w:rsidRPr="00340A62">
        <w:rPr>
          <w:rFonts w:ascii="Palatino Linotype" w:hAnsi="Palatino Linotype"/>
          <w:snapToGrid/>
          <w:sz w:val="22"/>
          <w:szCs w:val="22"/>
          <w:lang w:val="nl-NL"/>
        </w:rPr>
        <w:t xml:space="preserve">De sanctieresoluties van de Veiligheidsraad van de Verenigde Naties worden krachtens datzelfde artikel 215 van </w:t>
      </w:r>
      <w:r w:rsidRPr="00340A62">
        <w:rPr>
          <w:rFonts w:ascii="Palatino Linotype" w:hAnsi="Palatino Linotype"/>
          <w:b/>
          <w:bCs/>
          <w:snapToGrid/>
          <w:sz w:val="22"/>
          <w:szCs w:val="22"/>
          <w:lang w:val="nl-NL"/>
        </w:rPr>
        <w:t xml:space="preserve">Verdrag betreffende de werking van de Europese Unie overgenomen in de Europese Unie en gelden daarom ook krachtens artikel 1 van de Rijkssanctiewet in Curaçao.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cs="Arial"/>
          <w:snapToGrid/>
          <w:sz w:val="22"/>
          <w:szCs w:val="22"/>
          <w:lang w:val="nl-NL"/>
        </w:rPr>
      </w:pPr>
      <w:r w:rsidRPr="00340A62">
        <w:rPr>
          <w:rFonts w:ascii="Palatino Linotype" w:hAnsi="Palatino Linotype"/>
          <w:snapToGrid/>
          <w:sz w:val="22"/>
          <w:szCs w:val="22"/>
          <w:shd w:val="clear" w:color="auto" w:fill="FFFFFF"/>
          <w:lang w:val="nl-NL"/>
        </w:rPr>
        <w:t xml:space="preserve">Door de van overeenkomstige toepassingverklaring in artikel 1 van de Rijkssanctiewet werken bepalingen, neergelegd in Europese verordeningen en in Raadsbesluiten, op dezelfde wijze door in de rechtsorde van de landen als in die van de lidstaten. In de memorie van toelichting behorende bij de Rijkssanctiewet wordt verder uitgelegd dat </w:t>
      </w:r>
      <w:r w:rsidRPr="00340A62">
        <w:rPr>
          <w:rFonts w:ascii="Palatino Linotype" w:hAnsi="Palatino Linotype" w:cs="Arial"/>
          <w:snapToGrid/>
          <w:sz w:val="22"/>
          <w:szCs w:val="22"/>
          <w:lang w:val="nl-NL"/>
        </w:rPr>
        <w:t>Curaçao door de van overeenkomstige toepassing-verklaring uitsluitend de bepalingen inzake toezicht en strafrechtelijke handhaving behoeft vast te stellen.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shd w:val="clear" w:color="auto" w:fill="FFFFFF"/>
          <w:lang w:val="nl-NL"/>
        </w:rPr>
        <w:t xml:space="preserve"> Voor een meer omvattende uitleg over de systematiek van de Rijkswet wordt verwezen naar de memorie van toelichting bij de Rijkssanctiewet, te vinden op:</w:t>
      </w:r>
    </w:p>
    <w:p w:rsidR="00340A62" w:rsidRPr="00340A62" w:rsidRDefault="006C6638" w:rsidP="00340A62">
      <w:pPr>
        <w:widowControl/>
        <w:jc w:val="both"/>
        <w:rPr>
          <w:rFonts w:ascii="Palatino Linotype" w:hAnsi="Palatino Linotype"/>
          <w:snapToGrid/>
          <w:sz w:val="22"/>
          <w:szCs w:val="22"/>
          <w:lang w:val="nl-NL"/>
        </w:rPr>
      </w:pPr>
      <w:hyperlink r:id="rId12" w:history="1">
        <w:r w:rsidR="00340A62" w:rsidRPr="00340A62">
          <w:rPr>
            <w:rFonts w:ascii="Palatino Linotype" w:hAnsi="Palatino Linotype"/>
            <w:snapToGrid/>
            <w:color w:val="0000FF"/>
            <w:sz w:val="22"/>
            <w:szCs w:val="22"/>
            <w:u w:val="single"/>
            <w:lang w:val="nl-NL"/>
          </w:rPr>
          <w:t>https://zoek.officielebekendmakingen.nl/kst-34009-3.html</w:t>
        </w:r>
      </w:hyperlink>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Met dit landsbesluit, houdende algemene maatregelen, wordt onder meer beoogd de wijzigingen die de Europese Unie sinds de totstandkoming van het Omnibus-Sanctiebesluit Curaçao hebben doorgevoerd ten aanzien van de internationale sancties, op te nemen in het Omnibus-Sanctiebesluit Curaçao.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Verwezen wordt naar de door de Nederlandse overheid verschafte overzicht van de stand van zaken van sanctiemaatregelen, te vinden op:</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https://www.rijksoverheid.nl/onderwerpen/internationale-sancties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Dit landsbesluit is aan alle betrokken overheidsorganisaties ter consultatie aangeboden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en uiteindelijk in de AML/CFT/CFP Committee behandeld. De leden hadden geen commentaar op de in dit landsbesluit voorgestelde wijzigingen. De leden van de AML/CFT/CFP Committee zijn: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 de Procureur-Generaal bij het Gemeenschappelijk Hof van Justitie van Aruba, Curaçao, Sint Maarten en van Bonaire, Sint Eustatius en Saba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Beleidsorganisatie van het Ministerie van Justitie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Chef van het Korps Politie Curaçao (KPC) of een door deze aan te wijzen vertegenwoordiger;</w:t>
      </w:r>
    </w:p>
    <w:p w:rsidR="00340A62" w:rsidRPr="00340A62" w:rsidRDefault="00340A62" w:rsidP="00340A62">
      <w:pPr>
        <w:widowControl/>
        <w:numPr>
          <w:ilvl w:val="0"/>
          <w:numId w:val="10"/>
        </w:numPr>
        <w:ind w:left="180" w:hanging="180"/>
        <w:contextualSpacing/>
        <w:jc w:val="both"/>
        <w:rPr>
          <w:rFonts w:ascii="Palatino Linotype" w:hAnsi="Palatino Linotype"/>
          <w:sz w:val="22"/>
          <w:szCs w:val="22"/>
          <w:lang w:val="nl-NL"/>
        </w:rPr>
      </w:pPr>
      <w:r w:rsidRPr="00340A62">
        <w:rPr>
          <w:rFonts w:ascii="Palatino Linotype" w:hAnsi="Palatino Linotype"/>
          <w:sz w:val="22"/>
          <w:szCs w:val="22"/>
          <w:lang w:val="nl-NL"/>
        </w:rPr>
        <w:t>het Hoofd van de Landsrecherche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Directie Wetgeving en Juridische Zaken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Directie Buitenlandse Betrekkingen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Veiligheidsdienst Curaçao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Stichting Gaming Control Board, onder bij wijziging van diens statuten aangepaste naam te noemen Curaçao Gaming Authority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het Hoofd van de Financiële Inlichtingen Eenheid (FIU) of een door deze aan te wijzen vertegenwoordiger van de afdeling Analyse van de FIU;</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het Hoofd van de Financiële Inlichtingen Eenheid (FIU) of een door deze aan te wijzen vertegenwoordiger van de afdeling Toezicht van de FIU;</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Directeur van de Inspectie der Belastingen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Algemeen directeur van de Stichting Belastingaccountantsbureau of een door deze aan te wijzen vertegenwoordiger;</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de Sectordirecteur Fiscale Zaken of een door deze aan te wijzen vertegenwoordiger;</w:t>
      </w:r>
    </w:p>
    <w:p w:rsidR="00340A62" w:rsidRPr="00340A62" w:rsidRDefault="00340A62" w:rsidP="00340A62">
      <w:pPr>
        <w:widowControl/>
        <w:numPr>
          <w:ilvl w:val="0"/>
          <w:numId w:val="13"/>
        </w:numPr>
        <w:ind w:left="270" w:hanging="270"/>
        <w:contextualSpacing/>
        <w:jc w:val="both"/>
        <w:rPr>
          <w:rFonts w:ascii="Palatino Linotype" w:hAnsi="Palatino Linotype"/>
          <w:sz w:val="22"/>
          <w:szCs w:val="22"/>
          <w:lang w:val="nl-NL"/>
        </w:rPr>
      </w:pPr>
      <w:r w:rsidRPr="00340A62">
        <w:rPr>
          <w:rFonts w:ascii="Palatino Linotype" w:hAnsi="Palatino Linotype"/>
          <w:sz w:val="22"/>
          <w:szCs w:val="22"/>
          <w:lang w:val="nl-NL"/>
        </w:rPr>
        <w:t>het Hoofd van de Douane Curaçao of een door deze aan te wijzen vertegenwoordiger;</w:t>
      </w:r>
    </w:p>
    <w:p w:rsidR="00340A62" w:rsidRPr="00340A62" w:rsidRDefault="00340A62" w:rsidP="00340A62">
      <w:pPr>
        <w:widowControl/>
        <w:numPr>
          <w:ilvl w:val="0"/>
          <w:numId w:val="13"/>
        </w:numPr>
        <w:ind w:left="270" w:hanging="270"/>
        <w:contextualSpacing/>
        <w:jc w:val="both"/>
        <w:rPr>
          <w:rFonts w:ascii="Palatino Linotype" w:hAnsi="Palatino Linotype"/>
          <w:sz w:val="22"/>
          <w:szCs w:val="22"/>
          <w:lang w:val="nl-NL"/>
        </w:rPr>
      </w:pPr>
      <w:r w:rsidRPr="00340A62">
        <w:rPr>
          <w:rFonts w:ascii="Palatino Linotype" w:hAnsi="Palatino Linotype"/>
          <w:sz w:val="22"/>
          <w:szCs w:val="22"/>
          <w:lang w:val="nl-NL"/>
        </w:rPr>
        <w:t>de Secretaris-generaal van het Ministerie van Economische Ontwikkeling of een door deze aan te wijzen vertegenwoordiger;</w:t>
      </w:r>
    </w:p>
    <w:p w:rsidR="00340A62" w:rsidRPr="00340A62" w:rsidRDefault="00340A62" w:rsidP="00340A62">
      <w:pPr>
        <w:widowControl/>
        <w:ind w:left="270" w:hanging="270"/>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 </w:t>
      </w:r>
      <w:r w:rsidRPr="00340A62">
        <w:rPr>
          <w:rFonts w:ascii="Palatino Linotype" w:hAnsi="Palatino Linotype"/>
          <w:snapToGrid/>
          <w:sz w:val="22"/>
          <w:szCs w:val="22"/>
          <w:lang w:val="nl-NL"/>
        </w:rPr>
        <w:tab/>
        <w:t>twee vertegenwoordigers van de Centrale Bank van Curaçao en Sint Maarten, als Voorzitter en Secretaris, aan te wijzen door de President van de Centrale Bank van Curaçao en Sint Maarten.</w:t>
      </w:r>
    </w:p>
    <w:p w:rsidR="00340A62" w:rsidRPr="00340A62" w:rsidRDefault="00340A62" w:rsidP="00340A62">
      <w:pPr>
        <w:widowControl/>
        <w:jc w:val="both"/>
        <w:rPr>
          <w:rFonts w:ascii="Palatino Linotype" w:hAnsi="Palatino Linotype"/>
          <w:b/>
          <w:snapToGrid/>
          <w:sz w:val="22"/>
          <w:szCs w:val="22"/>
          <w:lang w:val="nl-NL"/>
        </w:rPr>
      </w:pPr>
    </w:p>
    <w:p w:rsidR="00DE4AE5" w:rsidRDefault="00DE4AE5"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lastRenderedPageBreak/>
        <w:t>Financiële consequenties</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De wijzigingen hebben geen financiële gevolgen voor de overheid. Voor het lidmaatschap van de Directie Buitenlandse Betrekkingen en de Directie Wetgeving en Juridische Zaken in de Commissie aanwijzing personen en organisaties, wordt geput uit de bestaande capaciteit binnen de vorengenoemde organisaties. Ook voor wat betreft de veiligheidsonderzoeken door de Veiligheidsdienst Curacao, wordt opgemerkt dat de extra kosten worden gedekt binnen de bestaande begroting. </w:t>
      </w: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Artikelsgewijs deel</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Artikel I</w:t>
      </w: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A   Terrorismebestrijding</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Dit artikel strekt ter uitvoering van Verordening (EG) nr. 2580/2001 van de Raad van de Europese Unie van 27 december 2001 inzake specifieke beperkende maatregelen tegen bepaalde personen en entiteiten met het oog op de strijd tegen het terrorisme (PbEG L 344). Nagelaten is om deze verbodsbepaling eerder in de nationale regelingen op te nemen; thans wordt deze omissie hersteld.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De terroristische aanslagen van 11 september 2001 in de Verenigde Staten hebben in internationaal en nationaal verband aanleiding gegeven tot het formuleren van stappen gericht op de preventie en bestrijding van terrorisme. In internationaal verband zijn deze stappen onder andere verankerd in VN-resoluties en in Europese verordeningen waaronder Verordening (EG) nr. 2062/2001 van 19 oktober 2001 (PbEG L 277); Verordening (EG) nr. 2199/2001 van 12 november 2001 (PbEG L 295) en Verordening (EG) nr. 2580/2001 van 27 december 2001 (PbEG L 344). Verordening (EG) nr. 2580/2001 vloeit voort uit VN-resolutie 1373 van 28 september 2001 waarin is vastgelegd dat alle staten moeten overgaan tot het bevriezen van tegoeden en andere financiële of economische middelen van personen die terroristische daden plegen of pogen te plegen, of aan het plegen van dergelijke daden deelnemen dan wel de uitvoering ervan vergemakkelijken.</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 xml:space="preserve">Dit artikel stelt overtreding van Verordening (EG) nr. 2580/2001 van de Raad van de Europese Unie van 27 december 2001 (PbEG L 344) strafbaar. </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nl-NL" w:eastAsia="pap-029"/>
        </w:rPr>
      </w:pPr>
      <w:r w:rsidRPr="00340A62">
        <w:rPr>
          <w:rFonts w:ascii="Palatino Linotype" w:hAnsi="Palatino Linotype" w:cs="Tahoma"/>
          <w:snapToGrid/>
          <w:color w:val="333333"/>
          <w:sz w:val="22"/>
          <w:szCs w:val="22"/>
          <w:lang w:val="nl-NL" w:eastAsia="pap-029"/>
        </w:rPr>
        <w:t xml:space="preserve">De volgende bepalingen zijn strafbepalingen in de </w:t>
      </w:r>
      <w:r w:rsidRPr="00340A62">
        <w:rPr>
          <w:rFonts w:ascii="Palatino Linotype" w:hAnsi="Palatino Linotype"/>
          <w:snapToGrid/>
          <w:sz w:val="22"/>
          <w:szCs w:val="22"/>
          <w:lang w:val="pap-029" w:eastAsia="pap-029"/>
        </w:rPr>
        <w:t>Verordening (EG) nr. 2580/2001 van de Raad van de Europese Unie van 27 december 2001 (PbEG L 344), te weten a</w:t>
      </w:r>
      <w:r w:rsidRPr="00340A62">
        <w:rPr>
          <w:rFonts w:ascii="Palatino Linotype" w:hAnsi="Palatino Linotype" w:cs="Tahoma"/>
          <w:snapToGrid/>
          <w:color w:val="333333"/>
          <w:sz w:val="22"/>
          <w:szCs w:val="22"/>
          <w:lang w:val="nl-NL" w:eastAsia="pap-029"/>
        </w:rPr>
        <w:t>rtikel 2, eerste, tweede en derde lid, artikel 3, artikel 4</w:t>
      </w:r>
      <w:r w:rsidRPr="00340A62">
        <w:rPr>
          <w:rFonts w:ascii="Palatino Linotype" w:hAnsi="Palatino Linotype"/>
          <w:snapToGrid/>
          <w:sz w:val="22"/>
          <w:szCs w:val="22"/>
          <w:lang w:val="pap-029" w:eastAsia="pap-029"/>
        </w:rPr>
        <w:t>. De essentie van deze artikelen is  als volgt.</w:t>
      </w:r>
      <w:r w:rsidRPr="00340A62">
        <w:rPr>
          <w:rFonts w:ascii="Palatino Linotype" w:hAnsi="Palatino Linotype"/>
          <w:snapToGrid/>
          <w:sz w:val="22"/>
          <w:szCs w:val="22"/>
          <w:vertAlign w:val="superscript"/>
          <w:lang w:val="pap-029" w:eastAsia="pap-029"/>
        </w:rPr>
        <w:footnoteReference w:id="33"/>
      </w:r>
      <w:r w:rsidRPr="00340A62">
        <w:rPr>
          <w:rFonts w:ascii="Palatino Linotype" w:hAnsi="Palatino Linotype"/>
          <w:snapToGrid/>
          <w:sz w:val="22"/>
          <w:szCs w:val="22"/>
          <w:lang w:val="pap-029" w:eastAsia="pap-029"/>
        </w:rPr>
        <w:t xml:space="preserve"> </w:t>
      </w:r>
      <w:r w:rsidRPr="00340A62">
        <w:rPr>
          <w:rFonts w:ascii="Palatino Linotype" w:hAnsi="Palatino Linotype" w:cs="Tahoma"/>
          <w:i/>
          <w:snapToGrid/>
          <w:color w:val="333333"/>
          <w:sz w:val="22"/>
          <w:szCs w:val="22"/>
          <w:lang w:val="nl-NL" w:eastAsia="pap-029"/>
        </w:rPr>
        <w:t>Artikel 2, eerste, tweede en derde lid, luidt:</w:t>
      </w:r>
    </w:p>
    <w:p w:rsidR="00340A62" w:rsidRPr="00340A62" w:rsidRDefault="00340A62" w:rsidP="00340A62">
      <w:pPr>
        <w:widowControl/>
        <w:shd w:val="clear" w:color="auto" w:fill="FFFFFF"/>
        <w:spacing w:before="150" w:after="150"/>
        <w:ind w:right="5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Tenzij toegestaan uit hoofde van de artikelen 5 en 6:</w:t>
      </w:r>
    </w:p>
    <w:p w:rsidR="00340A62" w:rsidRPr="00340A62" w:rsidRDefault="00340A62" w:rsidP="00340A62">
      <w:pPr>
        <w:widowControl/>
        <w:shd w:val="clear" w:color="auto" w:fill="FFFFFF"/>
        <w:spacing w:before="150" w:after="150"/>
        <w:ind w:left="360" w:right="525" w:hanging="90"/>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 worden alle tegoeden, andere financiële activa en economische middelen die in het bezit zijn van, eigendom zijn van of gehouden worden door een in de lijst in artikel 2, lid 3, bedoelde natuurlijk persoon of rechtspersoon, groep of entiteit, bevroren;</w:t>
      </w:r>
    </w:p>
    <w:p w:rsidR="00340A62" w:rsidRPr="00340A62" w:rsidRDefault="00340A62" w:rsidP="00340A62">
      <w:pPr>
        <w:widowControl/>
        <w:shd w:val="clear" w:color="auto" w:fill="FFFFFF"/>
        <w:spacing w:before="150" w:after="150"/>
        <w:ind w:left="360" w:right="525" w:hanging="90"/>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lastRenderedPageBreak/>
        <w:t>b) worden aan of ten behoeve van een in de lijst in artikel 2, lid 3, bedoelde natuurlijke of rechtspersoon, groep of entiteit noch direct noch indirect tegoeden, andere financiële activa en economische middelen ter beschikking gesteld.</w:t>
      </w:r>
    </w:p>
    <w:p w:rsidR="00340A62" w:rsidRPr="00340A62" w:rsidRDefault="00340A62" w:rsidP="00340A62">
      <w:pPr>
        <w:widowControl/>
        <w:shd w:val="clear" w:color="auto" w:fill="FFFFFF"/>
        <w:spacing w:before="150" w:after="150"/>
        <w:ind w:left="225" w:right="525" w:hanging="2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2. Tenzij toegestaan uit hoofde van de artikelen 5 en 6, is het verboden financiële diensten te verrichten voor of ten behoeve van een natuurlijke of rechtspersoon, groep of entiteit als vermeld in de lijst als bedoeld in artikel 2, lid 3.</w:t>
      </w:r>
    </w:p>
    <w:p w:rsidR="00340A62" w:rsidRPr="00340A62" w:rsidRDefault="00340A62" w:rsidP="00DE4AE5">
      <w:pPr>
        <w:widowControl/>
        <w:shd w:val="clear" w:color="auto" w:fill="FFFFFF"/>
        <w:spacing w:before="150"/>
        <w:ind w:left="225" w:right="525" w:hanging="2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xml:space="preserve">3. De Raad stelt de lijst vast van personen, groepen en entiteiten waarop deze verordening van toepassing is, en evalueert en wijzigt deze met eenparigheid van stemmen, overeenkomstig de bepalingen van artikel 1, leden 4, 5 en 6, van Gemeenschappelijk Standpunt 2001/931/GBVB. </w:t>
      </w:r>
    </w:p>
    <w:p w:rsidR="00340A62" w:rsidRPr="00340A62" w:rsidRDefault="00340A62" w:rsidP="00DE4AE5">
      <w:pPr>
        <w:widowControl/>
        <w:shd w:val="clear" w:color="auto" w:fill="FFFFFF"/>
        <w:ind w:left="225" w:right="525"/>
        <w:rPr>
          <w:rFonts w:ascii="Palatino Linotype" w:hAnsi="Palatino Linotype" w:cs="Tahoma"/>
          <w:snapToGrid/>
          <w:color w:val="333333"/>
          <w:sz w:val="22"/>
          <w:szCs w:val="22"/>
          <w:lang w:val="pap-029" w:eastAsia="pap-029"/>
        </w:rPr>
      </w:pPr>
    </w:p>
    <w:p w:rsidR="00340A62" w:rsidRPr="00340A62" w:rsidRDefault="00340A62" w:rsidP="00DE4AE5">
      <w:pPr>
        <w:widowControl/>
        <w:shd w:val="clear" w:color="auto" w:fill="FFFFFF"/>
        <w:spacing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Artikel 3</w:t>
      </w:r>
    </w:p>
    <w:p w:rsidR="00340A62" w:rsidRPr="00340A62" w:rsidRDefault="00340A62" w:rsidP="00340A62">
      <w:pPr>
        <w:widowControl/>
        <w:shd w:val="clear" w:color="auto" w:fill="FFFFFF"/>
        <w:spacing w:before="150"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Het is verboden om willens en wetens deel te nemen aan activiteiten die ertoe strekken of tot gevolg hebben dat, direct of indirect, artikel 2 wordt ontdoken.</w:t>
      </w:r>
    </w:p>
    <w:p w:rsidR="00340A62" w:rsidRPr="00340A62" w:rsidRDefault="00340A62" w:rsidP="00340A62">
      <w:pPr>
        <w:widowControl/>
        <w:shd w:val="clear" w:color="auto" w:fill="FFFFFF"/>
        <w:spacing w:before="150" w:after="150"/>
        <w:ind w:left="225" w:right="525" w:hanging="2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2. Alle informatie dat de bepalingen van deze verordening worden of zijn ontdoken, wordt ter kennis gebracht van de in de bijlage genoemde bevoegde autoriteiten van de lidstaten en aan de Commissie.</w:t>
      </w:r>
    </w:p>
    <w:p w:rsidR="00340A62" w:rsidRPr="00340A62" w:rsidRDefault="00340A62" w:rsidP="00340A62">
      <w:pPr>
        <w:widowControl/>
        <w:shd w:val="clear" w:color="auto" w:fill="FFFFFF"/>
        <w:spacing w:before="150" w:after="150"/>
        <w:ind w:right="525"/>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Artikel 4</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1. Onverminderd de toepasselijke voorschriften inzake rapportage, vertrouwelijkheid en beroepsgeheim en onverminderd het bepaalde in artikel 284 van het Verdrag wordt door banken, andere financiële instellingen, verzekeringsondernemingen en andere organisaties en personen: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onverwijld alle informatie verstrekt die de naleving van deze verordening kan vergemakkelijken, zoals rekeningen en bedragen die overeenkomstig artikel 2 zijn bevroren en transacties die overeenkomstig de artikelen 5 en 6 zijn verricht:</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aan de in de bijlage vermelde bevoegde autoriteiten van de lidstaten waar zij hun woonplaats hebben of gevestigd zijn,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 via die bevoegde autoriteiten aan de Commissie;</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sz w:val="22"/>
          <w:szCs w:val="22"/>
          <w:lang w:val="pap-029" w:eastAsia="pap-029"/>
        </w:rPr>
      </w:pPr>
      <w:r w:rsidRPr="00340A62">
        <w:rPr>
          <w:rFonts w:ascii="Palatino Linotype" w:hAnsi="Palatino Linotype" w:cs="Tahoma"/>
          <w:i/>
          <w:snapToGrid/>
          <w:color w:val="333333"/>
          <w:sz w:val="22"/>
          <w:szCs w:val="22"/>
          <w:lang w:val="pap-029" w:eastAsia="pap-029"/>
        </w:rPr>
        <w:t xml:space="preserve">- samengewerkt met de in de bijlage genoemde bevoegde autoriteiten wanneer deze de </w:t>
      </w:r>
      <w:r w:rsidRPr="00340A62">
        <w:rPr>
          <w:rFonts w:ascii="Palatino Linotype" w:hAnsi="Palatino Linotype" w:cs="Tahoma"/>
          <w:i/>
          <w:snapToGrid/>
          <w:sz w:val="22"/>
          <w:szCs w:val="22"/>
          <w:lang w:val="pap-029" w:eastAsia="pap-029"/>
        </w:rPr>
        <w:t>verstrekte informatie willen verifiëren.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sz w:val="22"/>
          <w:szCs w:val="22"/>
          <w:lang w:val="pap-029" w:eastAsia="pap-029"/>
        </w:rPr>
      </w:pPr>
      <w:r w:rsidRPr="00340A62">
        <w:rPr>
          <w:rFonts w:ascii="Palatino Linotype" w:hAnsi="Palatino Linotype" w:cs="Tahoma"/>
          <w:i/>
          <w:snapToGrid/>
          <w:sz w:val="22"/>
          <w:szCs w:val="22"/>
          <w:lang w:val="pap-029" w:eastAsia="pap-029"/>
        </w:rPr>
        <w:t>2. Alle overeenkomstig dit artikel verstrekte of ontvangen informatie wordt uitsluitend geb</w:t>
      </w:r>
      <w:r w:rsidRPr="00340A62">
        <w:rPr>
          <w:rFonts w:ascii="Palatino Linotype" w:hAnsi="Palatino Linotype" w:cs="Tahoma"/>
          <w:i/>
          <w:snapToGrid/>
          <w:color w:val="333333"/>
          <w:sz w:val="22"/>
          <w:szCs w:val="22"/>
          <w:lang w:val="pap-029" w:eastAsia="pap-029"/>
        </w:rPr>
        <w:t>ruikt voor de doeleinden waarvoor zij is verstrekt respectievelijk ontvangen.</w:t>
      </w:r>
    </w:p>
    <w:p w:rsidR="00340A62" w:rsidRPr="00340A62" w:rsidRDefault="00340A62" w:rsidP="00340A62">
      <w:pPr>
        <w:widowControl/>
        <w:shd w:val="clear" w:color="auto" w:fill="FFFFFF"/>
        <w:spacing w:before="150" w:after="150"/>
        <w:ind w:right="525"/>
        <w:jc w:val="both"/>
        <w:rPr>
          <w:rFonts w:ascii="Palatino Linotype" w:hAnsi="Palatino Linotype" w:cs="Tahoma"/>
          <w:i/>
          <w:snapToGrid/>
          <w:color w:val="333333"/>
          <w:sz w:val="22"/>
          <w:szCs w:val="22"/>
          <w:lang w:val="pap-029" w:eastAsia="pap-029"/>
        </w:rPr>
      </w:pPr>
      <w:r w:rsidRPr="00340A62">
        <w:rPr>
          <w:rFonts w:ascii="Palatino Linotype" w:hAnsi="Palatino Linotype" w:cs="Tahoma"/>
          <w:i/>
          <w:snapToGrid/>
          <w:color w:val="333333"/>
          <w:sz w:val="22"/>
          <w:szCs w:val="22"/>
          <w:lang w:val="pap-029" w:eastAsia="pap-029"/>
        </w:rPr>
        <w:t>3. Alle direct door de Commissie ontvangen informatie wordt ter beschikking gesteld van de bevoegde autoriteiten van de betrokken lidstaten, alsmede van de Raad.</w:t>
      </w:r>
    </w:p>
    <w:p w:rsidR="00DE4AE5" w:rsidRDefault="00DE4AE5"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r w:rsidRPr="00340A62">
        <w:rPr>
          <w:rFonts w:ascii="Palatino Linotype" w:hAnsi="Palatino Linotype" w:cs="Tahoma"/>
          <w:b/>
          <w:snapToGrid/>
          <w:color w:val="333333"/>
          <w:sz w:val="22"/>
          <w:szCs w:val="22"/>
          <w:lang w:val="pap-029" w:eastAsia="pap-029"/>
        </w:rPr>
        <w:lastRenderedPageBreak/>
        <w:t>B  Belarus</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De wijziging van de sanctiemaatregelen tegen Belarus is het gevolg van Verordening (EU) 2025/1472</w:t>
      </w:r>
      <w:r w:rsidRPr="00340A62">
        <w:rPr>
          <w:rFonts w:ascii="Palatino Linotype" w:hAnsi="Palatino Linotype" w:cs="Arial"/>
          <w:snapToGrid/>
          <w:sz w:val="22"/>
          <w:szCs w:val="22"/>
          <w:vertAlign w:val="superscript"/>
          <w:lang w:val="nl-NL" w:eastAsia="zh-CN"/>
        </w:rPr>
        <w:footnoteReference w:id="34"/>
      </w:r>
      <w:r w:rsidRPr="00340A62">
        <w:rPr>
          <w:rFonts w:ascii="Palatino Linotype" w:hAnsi="Palatino Linotype" w:cs="Arial"/>
          <w:snapToGrid/>
          <w:sz w:val="22"/>
          <w:szCs w:val="22"/>
          <w:lang w:val="nl-NL" w:eastAsia="zh-CN"/>
        </w:rPr>
        <w:t>, welke uitvoering geeft aan Besluit (GBVB) 2025/1471</w:t>
      </w:r>
      <w:r w:rsidRPr="00340A62">
        <w:rPr>
          <w:rFonts w:ascii="Palatino Linotype" w:hAnsi="Palatino Linotype" w:cs="Arial"/>
          <w:snapToGrid/>
          <w:sz w:val="22"/>
          <w:szCs w:val="22"/>
          <w:vertAlign w:val="superscript"/>
          <w:lang w:val="nl-NL" w:eastAsia="zh-CN"/>
        </w:rPr>
        <w:footnoteReference w:id="35"/>
      </w:r>
      <w:r w:rsidRPr="00340A62">
        <w:rPr>
          <w:rFonts w:ascii="Palatino Linotype" w:hAnsi="Palatino Linotype" w:cs="Arial"/>
          <w:snapToGrid/>
          <w:sz w:val="22"/>
          <w:szCs w:val="22"/>
          <w:lang w:val="nl-NL" w:eastAsia="zh-CN"/>
        </w:rPr>
        <w:t>. De Raad van de Europese Unie acht het passend om vanwege de voortdurende betrokkenheid van Belarus bij de agressie van Rusland tegen Oekraïne, aanvullende beperkende maatregelen vast te stellen.</w:t>
      </w: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De wijziging omvat aldus aanvullende sanctiemaatregelen tegen Belarus. Deze sanctiemaatregelen zijn een afspiegeling van de maatregelen die tegen de Russische Federatie zijn overeengekomen, aangevuld met maatregelen zoals:</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optioneel administratief mechanisme dat de bevoegde autoriteiten in staat stelt een voorafgaande vergunning te eisen voor de uitvoer van in bijlage VII bij Verordening (EG) nr. 765/2006 opgenomen producten naar een derde land, wanneer de exporteur ervan in kennis is gesteld dat er voldoende redenen zijn om te vermoeden dat de eindbestemming van de producten in Rusland ligt of dat de producten Russische entiteiten als eindgebruiker hebben (artikel 1 septies van Verordening (EG) nr. 765/2006);</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uitbreiding van het verbod op het verlenen van gespecialiseerde diensten voor financieel berichtenverkeer aan bepaalde Belarussische kredietinstellingen en hun Belarussische dochterondernemingen, die relevant zijn voor het Belarussische financiële systeem en die reeds door de Unie onderworpen zijn aan beperkende maatregelen, uit te breiden tot een transactieverbod (artikel 8 decies van Verordening (EG) nr. 765/2006);</w:t>
      </w:r>
    </w:p>
    <w:p w:rsidR="00340A62" w:rsidRPr="00340A62" w:rsidRDefault="00340A62" w:rsidP="00340A62">
      <w:pPr>
        <w:widowControl/>
        <w:numPr>
          <w:ilvl w:val="0"/>
          <w:numId w:val="7"/>
        </w:numPr>
        <w:autoSpaceDE w:val="0"/>
        <w:autoSpaceDN w:val="0"/>
        <w:adjustRightInd w:val="0"/>
        <w:ind w:left="36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een uitbreiding van  de lijst van producten die zouden kunnen bijdragen tot de versterking van de industriële capaciteit van Belarus, zoals machines, chemische stoffen, sommige metalen en kunststoffen (artikel 1 ter ter van Verordening (EG) nr. 765/2006).</w:t>
      </w:r>
    </w:p>
    <w:p w:rsidR="00340A62" w:rsidRPr="00340A62" w:rsidRDefault="00340A62" w:rsidP="00340A62">
      <w:pPr>
        <w:autoSpaceDE w:val="0"/>
        <w:autoSpaceDN w:val="0"/>
        <w:adjustRightInd w:val="0"/>
        <w:ind w:left="360" w:hanging="360"/>
        <w:jc w:val="both"/>
        <w:rPr>
          <w:rFonts w:ascii="Palatino Linotype" w:hAnsi="Palatino Linotype" w:cs="Arial"/>
          <w:snapToGrid/>
          <w:sz w:val="22"/>
          <w:szCs w:val="22"/>
          <w:lang w:val="nl-NL" w:eastAsia="zh-CN"/>
        </w:rPr>
      </w:pP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nl-NL" w:eastAsia="pap-029"/>
        </w:rPr>
      </w:pPr>
      <w:r w:rsidRPr="00340A62">
        <w:rPr>
          <w:rFonts w:ascii="Palatino Linotype" w:hAnsi="Palatino Linotype" w:cs="Tahoma"/>
          <w:b/>
          <w:snapToGrid/>
          <w:color w:val="333333"/>
          <w:sz w:val="22"/>
          <w:szCs w:val="22"/>
          <w:lang w:val="nl-NL" w:eastAsia="pap-029"/>
        </w:rPr>
        <w:t>C  Iran</w:t>
      </w:r>
    </w:p>
    <w:p w:rsidR="00340A62" w:rsidRPr="00340A62" w:rsidRDefault="00340A62" w:rsidP="00340A62">
      <w:pPr>
        <w:widowControl/>
        <w:shd w:val="clear" w:color="auto" w:fill="FFFFFF"/>
        <w:spacing w:before="150" w:after="150"/>
        <w:ind w:right="45"/>
        <w:jc w:val="both"/>
        <w:rPr>
          <w:rFonts w:ascii="Palatino Linotype" w:hAnsi="Palatino Linotype" w:cs="Tahoma"/>
          <w:snapToGrid/>
          <w:color w:val="333333"/>
          <w:sz w:val="22"/>
          <w:szCs w:val="22"/>
          <w:lang w:val="nl-NL" w:eastAsia="pap-029"/>
        </w:rPr>
      </w:pPr>
      <w:r w:rsidRPr="00340A62">
        <w:rPr>
          <w:rFonts w:ascii="Palatino Linotype" w:hAnsi="Palatino Linotype" w:cs="Calibri"/>
          <w:snapToGrid/>
          <w:color w:val="000000"/>
          <w:sz w:val="22"/>
          <w:szCs w:val="22"/>
          <w:lang w:val="pap-029" w:eastAsia="pap-029"/>
        </w:rPr>
        <w:t>Van alle sanctiemaatregelen jegens Iran heeft </w:t>
      </w:r>
      <w:hyperlink r:id="rId13" w:tgtFrame="_blank" w:history="1">
        <w:r w:rsidRPr="00340A62">
          <w:rPr>
            <w:rFonts w:ascii="Palatino Linotype" w:hAnsi="Palatino Linotype" w:cs="Calibri"/>
            <w:snapToGrid/>
            <w:color w:val="0000FF"/>
            <w:sz w:val="22"/>
            <w:szCs w:val="22"/>
            <w:u w:val="single"/>
            <w:lang w:val="pap-029" w:eastAsia="pap-029"/>
          </w:rPr>
          <w:t>Verordening - EU - 2025/1975 - NL - EUR-Lex</w:t>
        </w:r>
      </w:hyperlink>
      <w:r w:rsidRPr="00340A62">
        <w:rPr>
          <w:rFonts w:ascii="Palatino Linotype" w:hAnsi="Palatino Linotype" w:cs="Calibri"/>
          <w:snapToGrid/>
          <w:color w:val="000000"/>
          <w:sz w:val="22"/>
          <w:szCs w:val="22"/>
          <w:lang w:val="pap-029" w:eastAsia="pap-029"/>
        </w:rPr>
        <w:t>  geleid tot wijziging van de sanctiemaatregelen tegen Iran.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De voorgestelde wijziging van de verbodsbepalingen tegen Iran is het gevolg van </w:t>
      </w:r>
      <w:bookmarkStart w:id="6" w:name="_Hlk229039252"/>
      <w:r w:rsidRPr="00340A62">
        <w:rPr>
          <w:rFonts w:ascii="Palatino Linotype" w:eastAsia="Calibri" w:hAnsi="Palatino Linotype"/>
          <w:snapToGrid/>
          <w:sz w:val="22"/>
          <w:szCs w:val="22"/>
          <w:lang w:val="pap-029" w:eastAsia="pap-029"/>
        </w:rPr>
        <w:t>Verordening (EU) 2025/1975</w:t>
      </w:r>
      <w:hyperlink r:id="rId14" w:anchor="n1" w:history="1">
        <w:r w:rsidRPr="00340A62">
          <w:rPr>
            <w:rFonts w:ascii="Palatino Linotype" w:eastAsia="Calibri" w:hAnsi="Palatino Linotype"/>
            <w:snapToGrid/>
            <w:sz w:val="22"/>
            <w:szCs w:val="22"/>
            <w:u w:val="single"/>
            <w:lang w:val="pap-029" w:eastAsia="pap-029"/>
          </w:rPr>
          <w:t>1</w:t>
        </w:r>
      </w:hyperlink>
      <w:bookmarkEnd w:id="6"/>
      <w:r w:rsidRPr="00340A62">
        <w:rPr>
          <w:rFonts w:ascii="Palatino Linotype" w:eastAsia="Calibri" w:hAnsi="Palatino Linotype"/>
          <w:snapToGrid/>
          <w:sz w:val="22"/>
          <w:szCs w:val="22"/>
          <w:lang w:val="pap-029" w:eastAsia="pap-029"/>
        </w:rPr>
        <w:t>. Verordening (EU) 2025/1975 geeft uitvoering aan Besluit (GBVB) 2025/1972</w:t>
      </w:r>
      <w:hyperlink r:id="rId15" w:anchor="n2" w:history="1">
        <w:r w:rsidRPr="00340A62">
          <w:rPr>
            <w:rFonts w:ascii="Palatino Linotype" w:eastAsia="Calibri" w:hAnsi="Palatino Linotype"/>
            <w:snapToGrid/>
            <w:sz w:val="22"/>
            <w:szCs w:val="22"/>
            <w:u w:val="single"/>
            <w:lang w:val="pap-029" w:eastAsia="pap-029"/>
          </w:rPr>
          <w:t>2</w:t>
        </w:r>
      </w:hyperlink>
      <w:r w:rsidRPr="00340A62">
        <w:rPr>
          <w:rFonts w:ascii="Palatino Linotype" w:eastAsia="Calibri" w:hAnsi="Palatino Linotype"/>
          <w:snapToGrid/>
          <w:sz w:val="22"/>
          <w:szCs w:val="22"/>
          <w:lang w:val="pap-029" w:eastAsia="pap-029"/>
        </w:rPr>
        <w:t>. Vanwege het vervallen van artikel 26 bis van Besluit (GBVB) 2025/1972 wordt het kennisembargo jegens Iran uit artikel 21 van datzelfde besluit, wederom van kracht. Sinds 2015 schortte artikel 26 bis de werking van artikel 21 op in het kader van het Joint Comprehensive Plan of Action (JCPOA). Omdat genoemd artikel 26 bis vervalt, vervalt tevens de opschortende werking van artikel 21 waardoor het kennisembargo wederom geldt en geïmplementeerd dient te worden.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De afspraken die in het JCPOA met Iran zijn vastgelegd en die bekrachtigd zijn door de Veiligheidsraad in Resolutie 2231 (2015) voorzagen in een geleidelijke opheffing van de sancties jegens Iran. De onverkorte uitvoering van het gezamenlijk alomvattend actieplan (Joint </w:t>
      </w:r>
      <w:r w:rsidRPr="00340A62">
        <w:rPr>
          <w:rFonts w:ascii="Palatino Linotype" w:eastAsia="Calibri" w:hAnsi="Palatino Linotype"/>
          <w:snapToGrid/>
          <w:sz w:val="22"/>
          <w:szCs w:val="22"/>
          <w:lang w:val="pap-029" w:eastAsia="pap-029"/>
        </w:rPr>
        <w:lastRenderedPageBreak/>
        <w:t>Comprehensive Plan of Action – JCPOA) moest het uitsluitend vreedzame karakter van het Iraanse nucleaire programma garanderen en de volledige opheffing van alle nucleair-gerelateerde sancties inhouden.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18 oktober 2015 heeft de Raad van de Europese Unie (hierna: Raad) Besluit (GBVB) 2015/1863</w:t>
      </w:r>
      <w:hyperlink r:id="rId16" w:anchor="n4" w:history="1">
        <w:r w:rsidRPr="00340A62">
          <w:rPr>
            <w:rFonts w:ascii="Palatino Linotype" w:eastAsia="Calibri" w:hAnsi="Palatino Linotype"/>
            <w:snapToGrid/>
            <w:sz w:val="22"/>
            <w:szCs w:val="22"/>
            <w:u w:val="single"/>
            <w:lang w:val="pap-029" w:eastAsia="pap-029"/>
          </w:rPr>
          <w:t>4</w:t>
        </w:r>
      </w:hyperlink>
      <w:r w:rsidRPr="00340A62">
        <w:rPr>
          <w:rFonts w:ascii="Palatino Linotype" w:eastAsia="Calibri" w:hAnsi="Palatino Linotype"/>
          <w:snapToGrid/>
          <w:sz w:val="22"/>
          <w:szCs w:val="22"/>
          <w:lang w:val="pap-029" w:eastAsia="pap-029"/>
        </w:rPr>
        <w:t> vastgesteld in navolging van Resolutie 2231 (2015). Dat besluit voorzag in de opheffing van een aantal sanctiemaatregelen jegens Iran. In overeenstemming met het JCPOA werd in Besluit (GBVB) 2015/1863 bepaald dat alle economische beperkende maatregelen (waaronder de sancties betreffende de olie- en gassector, de scheeps- en transportsector, de goud en edelmetaalsector) en financiële beperkende maatregelen op nucleair gebied worden opgeheven zodra de Internationale Organisatie voor Atoomenergie had vastgesteld dat Iran zijn nucleaire verplichtingen uit het JCPOA was nagekomen.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18 oktober 2015 nam de Raad tevens Verklaring 2015/C 345/01</w:t>
      </w:r>
      <w:hyperlink r:id="rId17" w:anchor="n5" w:history="1">
        <w:r w:rsidRPr="00340A62">
          <w:rPr>
            <w:rFonts w:ascii="Palatino Linotype" w:eastAsia="Calibri" w:hAnsi="Palatino Linotype"/>
            <w:snapToGrid/>
            <w:sz w:val="22"/>
            <w:szCs w:val="22"/>
            <w:u w:val="single"/>
            <w:lang w:val="pap-029" w:eastAsia="pap-029"/>
          </w:rPr>
          <w:t>5</w:t>
        </w:r>
      </w:hyperlink>
      <w:r w:rsidRPr="00340A62">
        <w:rPr>
          <w:rFonts w:ascii="Palatino Linotype" w:eastAsia="Calibri" w:hAnsi="Palatino Linotype"/>
          <w:snapToGrid/>
          <w:sz w:val="22"/>
          <w:szCs w:val="22"/>
          <w:lang w:val="pap-029" w:eastAsia="pap-029"/>
        </w:rPr>
        <w:t> aan. Hierin is ondermeer het voornemen opgenomen om, in geval van significante niet-nakoming door Iran van zijn verplichtingen uit hoofde van het JCPOA, alle geschorste of beëindigde nucleair-gerelateerde sancties van de Europese Unie onverwijld opnieuw in te voeren op een gezamenlijke aanbeveling aan de Raad van de hoge vertegenwoordiger van de Europese Unie voor buitenlandse zaken en veiligheidsbeleid, Frankrijk, Duitsland en het Verenigd Koninkrijk. Deze gezamenlijk aanbeveling vond plaats op 29 augustus 2025 en hield in dat geschorste en/of beëindigde beperkende maatregelen onverwijld opnieuw dienen te worden ingevoerd zodra de VN-sancties opnieuw van kracht zijn, in overeenstemming met Resolutie 2231 (2015) van de VN-Veiligheidsraad.</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Op 27 september 2025 nam de VN-Veiligheidsraad geen nieuwe resolutie aan tot verlenging van de opheffing van sancties binnen 30 dagen na de kennisgeving van 28 augustus 2025. Dit heeft tot gevolg dat, in overeenstemming met de bepalingen van punt 37 van het JCPOA, de bepalingen van de Resoluties 1696 (2006), 1737 (2006), 1747 (2007), 1803 (2008), 1835 (2008) en 1929 (2010) van de VN-Veiligheidsraad opnieuw worden ingesteld. Waarna op 29 september 2025 de Raad Besluit GBVB (2025)/1972 heeft vastgesteld tot wijziging van Besluit 2010/413/GBVB.</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Naast reisverboden voor personen, bevriezing van tegoeden voor personen en entiteiten (waaronder de Centrale Bank van Iran en van grote Iraanse commerciële banken) en in lijn hiermee, het verbod om fondsen of economische middelen beschikbaar te stellen aan degenen die op de lijst staan, zijn er ook economische en financiële sancties, die betrekking hebben op de handels-, financiële en transportsector.</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De volgende beperkende nucleair-gerelateerde sanctiemaatregelen zijn op grond van Verordening (EU) 2025/1975 van kracht geworden: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export van goederen en technologie voor tweeërlei gebruik naar Iran (artikel 2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invoer en vervoersverbod op goederen en technologie voor tweeërlei gebruik vanuit Iran (artikel 4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vergunningsverplichting op goederen en technologie die een bijdrage kunnen leveren tot de activiteiten van Iran met betrekking tot verrijking of opwerking of met betrekking tot zwaar water, of tot de ontwikkeling van overbrengingssystemen voor nucleaire wapens, dan wel een bijdrage kunnen leveren tot de uitoefening van activiteiten in verband met andere punten waarover de IAEA haar bezorgdheid heeft uitgesproken of heeft verklaard dat er nog geen duidelijkheid bestaat (artikel 3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wapenexport naar Iran (artikel 5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lastRenderedPageBreak/>
        <w:t>–Een verbod op verkoop, uitvoer of levering naar Iran of voor gebruik in Iran van bepaalde essentiële uitrusting of technologie voor de petrochemische industrie en voor de exploratie, productie, of raffinage van aardolie en aardgas, dan wel voor het vloeibaar maken van aardgas (artikel 8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technische bijstand, het verlenen van tussenhandeldiensten, financiering of het verlenen van financiële bijstand in verband met de essentiële uitrusting en technologie voor de petrochemische industrie of de exploratie, productie, of raffinage van aardolie en aardgas (artikel 9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verkoop, uitvoer of levering van bepaalde essentiële maritieme uitrusting of technologie naar Iran of voor gebruik in Iran en ook de financiering of financiële bijstand ervan (artikel 10 bis en artikel 10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verkoop, uitvoer of levering van bepaalde programmatuur naar Iran of voor gebruik in Iran voor het integreren van industriële processen die van belang is voor industrieën die direct of indirect onder zeggenschap staan van de Islamitische Revolutionaire Garde, of voor het nucleaire, militaire of ballistischerakettenprogramma van Iran (artikel 10 quinquies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technische bijstand, het verlenen van tussenhandeldiensten, financiering of het verlenen van financiële bijstand in verband met bepaalde programmatuur die van belang is voor industrieën die direct of indirect onder zeggenschap staan van de Islamitische Revolutionaire Garde, of voor het nucleaire, militaire of ballistischerakettenprogramma van Iran (artikel 10 sexies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van aardolie of aardolieproducten uit Iran of uitgevoerd uit Iran, een verbod op de aankoop van aardolie of die zich bevinden in Iran of die afkomstig zijn uit Iran, een vervoersverbod van aardolie of aardolieproducten afkomstig uit Iran of die vanuit Iran naar een ander land worden uitgevoerd, en een verbod op financiering of financiële bijstand, met inbegrip van financiële derivaten, alsmede een verbod om verzekeringen of herverzekeringen te verstrekken die verband houden met de invoer, de aankoop of het vervoer van aardolie of aardolieproducten van oorsprong uit Iran of die vanuit Iran zijn ingevoerd (artikel 11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van petrochemische producten uit Iran of uitgevoerd uit Iran, een verbod op de aankoop van petrochemische producten die zich bevinden in Iran of die afkomstig zijn uit Iran, een vervoersverbod van petrochemische producten afkomstig uit Iran of die vanuit Iran naar een ander land worden uitgevoerd, en een verbod op financiering of financiële bijstand, met inbegrip van financiële derivaten, alsmede een verbod om verzekeringen of herverzekeringen te verstrekken die verband houden met de invoer, de aankoop of het vervoer van petrochemische producten van oorsprong uit Iran of die vanuit Iran zijn ingevoerd (artikel 13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aankoop en vervoer van aardgas uit Iran of uitgevoerd uit Iran, een ruilverbod van aardgas uit Iran of vanuit Iran uitgevoerd, en een verbod op financiering of financiële bijstand, met inbegrip van financiële derivaten, alsmede een verbod om verzekeringen of herverzekeringen te verstrekken die verband houden met de invoer, de aankoop, het vervoer of het ruilen van die aardgas (artikel 14 bis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 xml:space="preserve">–Een verbod op verkoop, levering of uitvoer van goud, edelmetaal en diamanten, alsmede een verbod op technische bijstand of tussenhandeldiensten, financieringsmiddelen of financiële bijstand ten aanzien van goud, edelmetaal en diamanten, ongeacht of deze uit de Europese Unie afkomstig zijn, aan de regering van Iran, aan overheidsorganen, -bedrijven en -agentschappen </w:t>
      </w:r>
      <w:r w:rsidRPr="00340A62">
        <w:rPr>
          <w:rFonts w:ascii="Palatino Linotype" w:eastAsia="Calibri" w:hAnsi="Palatino Linotype"/>
          <w:snapToGrid/>
          <w:sz w:val="22"/>
          <w:szCs w:val="22"/>
          <w:lang w:val="pap-029" w:eastAsia="pap-029"/>
        </w:rPr>
        <w:lastRenderedPageBreak/>
        <w:t>ervan, en aan enige persoon, entiteit of lichaam die of dat namens hen of op hun aanwijzing handelen, of aan entiteiten of lichamen die in het bezit zijn of onder zeggenschap staan van hen;</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de invoer, aankoop en vervoer van goud, edelmetaal en diamanten ongeacht of deze uit Iran afkomstig zijn van de regering van Iran, van overheidsorganen, -bedrijven en -agentschappen ervan, en van enige persoon, entiteit of lichaam die of dat namens hen of op hun aanwijzing handelen, of van entiteiten of lichamen die in het bezit zijn of onder zeggenschap staan van hen (artikel 15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verkoop, levering of uitvoer van grafiet en metaal (ruw of halffabricaat) naar een Iraanse persoon of entiteit of een Iraans lichaam, of voor gebruik in Iran alsmede een verbod op technische bijstand, het verlenen van tussenhandeldiensten, financiering of het verlenen van financiële bijstand in verband met het leveren, vervaardigen, onderhouden en gebruiken van grafiet en metaal (artikel 15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financiële leningen of kredieten, een deelneming in, of een joint venture met Iraanse personen of entiteiten die betrokken zijn bij de vervaardiging van goederen of technologie genoemd in de gemeenschappelijke EU-lijst van militaire goederen, de exploratie of de productie van aardolie en aardgas, de raffinage van brandstoffen of de vloeibaarmaking van aardgas, of de petrochemische industrie (artikel 17 ter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en verbod op het accepteren of goedkeuren, door het sluiten van een overeenkomst of op enigerlei andere wijze, dat een financiële lening of krediet wordt verleend aan, een participatie wordt genomen of vergroot in, of een joint venture wordt opgezet met, een of meer Iraanse personen, entiteiten of lichamen, in een onderneming die betrokken is bij uraniumontginning of de verrijking en opwerking van uranium of de fabricage van alle goederen en technologie in de lijsten van de Groep van Nucleaire Exportlanden en het Missile Technology Control Regime (artikel 22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het overmaken van financiële middelen tussen kredietinstellingen en financiële instellingen in de Europese Unie en kredietinstellingen en financiële instellingen en wisselkantoren die gevestigd zijn in Iran tenzij er sprake is van een uitzondering en mits volgens bepaalde regels uitgevoerd (artikel 30 van Verordening (EU) nr. 267/2012);</w:t>
      </w:r>
    </w:p>
    <w:p w:rsidR="00340A62" w:rsidRPr="00340A62" w:rsidRDefault="00340A62" w:rsidP="00340A62">
      <w:pPr>
        <w:widowControl/>
        <w:jc w:val="both"/>
        <w:rPr>
          <w:rFonts w:ascii="Palatino Linotype" w:eastAsia="Calibri" w:hAnsi="Palatino Linotype"/>
          <w:snapToGrid/>
          <w:sz w:val="22"/>
          <w:szCs w:val="22"/>
          <w:lang w:val="pap-029" w:eastAsia="pap-029"/>
        </w:rPr>
      </w:pPr>
      <w:r w:rsidRPr="00340A62">
        <w:rPr>
          <w:rFonts w:ascii="Palatino Linotype" w:eastAsia="Calibri" w:hAnsi="Palatino Linotype"/>
          <w:snapToGrid/>
          <w:sz w:val="22"/>
          <w:szCs w:val="22"/>
          <w:lang w:val="pap-029" w:eastAsia="pap-029"/>
        </w:rPr>
        <w:t>–Een verbod op het overmaken van financiële middelen zonder toestemming, naar een private persoon of entiteit niet zijnde een kredietinstelling, financiële instelling of een wisselkantoor boven een bepaald bedrag (artikel 30 bis van Verordening (EU) nr. 267/2012).</w:t>
      </w:r>
    </w:p>
    <w:p w:rsidR="00340A62" w:rsidRPr="00340A62" w:rsidRDefault="00340A62" w:rsidP="00340A62">
      <w:pPr>
        <w:widowControl/>
        <w:shd w:val="clear" w:color="auto" w:fill="FFFFFF"/>
        <w:spacing w:before="150" w:after="150"/>
        <w:ind w:right="525"/>
        <w:rPr>
          <w:rFonts w:ascii="Palatino Linotype" w:hAnsi="Palatino Linotype" w:cs="Tahoma"/>
          <w:b/>
          <w:snapToGrid/>
          <w:color w:val="333333"/>
          <w:sz w:val="22"/>
          <w:szCs w:val="22"/>
          <w:lang w:val="pap-029" w:eastAsia="pap-029"/>
        </w:rPr>
      </w:pPr>
      <w:r w:rsidRPr="00340A62">
        <w:rPr>
          <w:rFonts w:ascii="Palatino Linotype" w:hAnsi="Palatino Linotype" w:cs="Tahoma"/>
          <w:b/>
          <w:snapToGrid/>
          <w:color w:val="333333"/>
          <w:sz w:val="22"/>
          <w:szCs w:val="22"/>
          <w:lang w:val="pap-029" w:eastAsia="pap-029"/>
        </w:rPr>
        <w:t>D  Libi</w:t>
      </w:r>
      <w:r w:rsidRPr="00340A62">
        <w:rPr>
          <w:rFonts w:ascii="Palatino Linotype" w:hAnsi="Palatino Linotype" w:cs="Calibri"/>
          <w:b/>
          <w:snapToGrid/>
          <w:color w:val="333333"/>
          <w:sz w:val="22"/>
          <w:szCs w:val="22"/>
          <w:lang w:val="pap-029" w:eastAsia="pap-029"/>
        </w:rPr>
        <w:t>ë</w:t>
      </w:r>
    </w:p>
    <w:p w:rsidR="00340A62" w:rsidRPr="00340A62" w:rsidRDefault="00340A62" w:rsidP="00DE4AE5">
      <w:pPr>
        <w:widowControl/>
        <w:shd w:val="clear" w:color="auto" w:fill="FFFFFF"/>
        <w:spacing w:before="150"/>
        <w:ind w:right="45"/>
        <w:jc w:val="both"/>
        <w:rPr>
          <w:rFonts w:ascii="Palatino Linotype" w:hAnsi="Palatino Linotype"/>
          <w:snapToGrid/>
          <w:sz w:val="22"/>
          <w:szCs w:val="22"/>
          <w:shd w:val="clear" w:color="auto" w:fill="FFFFFF"/>
          <w:lang w:val="pap-029" w:eastAsia="pap-029"/>
        </w:rPr>
      </w:pPr>
      <w:r w:rsidRPr="00340A62">
        <w:rPr>
          <w:rFonts w:ascii="Palatino Linotype" w:hAnsi="Palatino Linotype"/>
          <w:snapToGrid/>
          <w:sz w:val="22"/>
          <w:szCs w:val="22"/>
          <w:shd w:val="clear" w:color="auto" w:fill="FFFFFF"/>
          <w:lang w:val="pap-029" w:eastAsia="pap-029"/>
        </w:rPr>
        <w:t>Op 16 januari 2025 heeft het comité van de Veiligheidsraad van de Verenigde Naties dat is ingesteld op grond van Resolutie 1970 (2011) betreffende Libië, Resolutie 2769 (2025) aangenomen. In die resolutie zijn onder meer twee vrijstellingen van het thans geldende wapenembargo opgenomen. De Raad van Europese Unie stelde hierna Besluit (GBVB) 2025/814 en Verordening (EU) nr. 2025/813 vast. De verbodsbepaling in artikel 1.22 (nieuw) wordt overeenkomstig die verordening aangepast.</w:t>
      </w:r>
    </w:p>
    <w:p w:rsidR="00340A62" w:rsidRPr="00340A62" w:rsidRDefault="00340A62" w:rsidP="00340A62">
      <w:pPr>
        <w:autoSpaceDE w:val="0"/>
        <w:autoSpaceDN w:val="0"/>
        <w:adjustRightInd w:val="0"/>
        <w:rPr>
          <w:rFonts w:ascii="Palatino Linotype" w:hAnsi="Palatino Linotype" w:cs="Arial"/>
          <w:snapToGrid/>
          <w:sz w:val="22"/>
          <w:szCs w:val="22"/>
          <w:lang w:val="nl-NL" w:eastAsia="zh-CN"/>
        </w:rPr>
      </w:pPr>
    </w:p>
    <w:p w:rsidR="00340A62" w:rsidRDefault="00340A62" w:rsidP="00340A62">
      <w:pPr>
        <w:autoSpaceDE w:val="0"/>
        <w:autoSpaceDN w:val="0"/>
        <w:adjustRightInd w:val="0"/>
        <w:rPr>
          <w:rFonts w:ascii="Palatino Linotype" w:hAnsi="Palatino Linotype" w:cs="Arial"/>
          <w:b/>
          <w:snapToGrid/>
          <w:sz w:val="22"/>
          <w:szCs w:val="22"/>
          <w:lang w:val="nl-NL" w:eastAsia="zh-CN"/>
        </w:rPr>
      </w:pPr>
      <w:r w:rsidRPr="00340A62">
        <w:rPr>
          <w:rFonts w:ascii="Palatino Linotype" w:hAnsi="Palatino Linotype" w:cs="Arial"/>
          <w:b/>
          <w:snapToGrid/>
          <w:sz w:val="22"/>
          <w:szCs w:val="22"/>
          <w:lang w:val="nl-NL" w:eastAsia="zh-CN"/>
        </w:rPr>
        <w:t>E  Zimbabwe</w:t>
      </w:r>
    </w:p>
    <w:p w:rsidR="00DE4AE5" w:rsidRPr="00340A62" w:rsidRDefault="00DE4AE5" w:rsidP="00340A62">
      <w:pPr>
        <w:autoSpaceDE w:val="0"/>
        <w:autoSpaceDN w:val="0"/>
        <w:adjustRightInd w:val="0"/>
        <w:rPr>
          <w:rFonts w:ascii="Palatino Linotype" w:hAnsi="Palatino Linotype" w:cs="Arial"/>
          <w:b/>
          <w:snapToGrid/>
          <w:sz w:val="22"/>
          <w:szCs w:val="22"/>
          <w:lang w:val="nl-NL" w:eastAsia="zh-CN"/>
        </w:rPr>
      </w:pPr>
    </w:p>
    <w:p w:rsidR="00340A62" w:rsidRPr="00340A62" w:rsidRDefault="00340A62" w:rsidP="00340A62">
      <w:pPr>
        <w:autoSpaceDE w:val="0"/>
        <w:autoSpaceDN w:val="0"/>
        <w:adjustRightInd w:val="0"/>
        <w:jc w:val="both"/>
        <w:rPr>
          <w:rFonts w:ascii="Palatino Linotype" w:hAnsi="Palatino Linotype" w:cs="Arial"/>
          <w:snapToGrid/>
          <w:sz w:val="22"/>
          <w:szCs w:val="22"/>
          <w:lang w:val="nl-NL" w:eastAsia="zh-CN"/>
        </w:rPr>
      </w:pPr>
      <w:r w:rsidRPr="00340A62">
        <w:rPr>
          <w:rFonts w:ascii="Palatino Linotype" w:hAnsi="Palatino Linotype" w:cs="Arial"/>
          <w:snapToGrid/>
          <w:sz w:val="22"/>
          <w:szCs w:val="22"/>
          <w:lang w:val="nl-NL" w:eastAsia="zh-CN"/>
        </w:rPr>
        <w:t xml:space="preserve">Dit artikel vervalt als gevolg van </w:t>
      </w:r>
      <w:r w:rsidRPr="00340A62">
        <w:rPr>
          <w:rFonts w:ascii="Palatino Linotype" w:hAnsi="Palatino Linotype"/>
          <w:snapToGrid/>
          <w:sz w:val="22"/>
          <w:szCs w:val="22"/>
          <w:lang w:val="nl-NL"/>
        </w:rPr>
        <w:t xml:space="preserve">Verordening (EU) nr. 2026/384 van de Raad van 17 februari 2026 tot wijziging van Verordening (EG) nr. 314/2004 inzake beperkende maatregelen in het licht van de situatie in Zimbabwe (PbEU L 2026/384). </w:t>
      </w:r>
      <w:r w:rsidRPr="00340A62">
        <w:rPr>
          <w:rFonts w:ascii="Palatino Linotype" w:hAnsi="Palatino Linotype" w:cs="Arial"/>
          <w:snapToGrid/>
          <w:sz w:val="22"/>
          <w:szCs w:val="22"/>
          <w:lang w:val="nl-NL" w:eastAsia="zh-CN"/>
        </w:rPr>
        <w:t xml:space="preserve">De Raad van de Europese Unie is op basis van een evaluatie van het Besluit 2011/101/GBVB van oordeel dat de bepalingen over </w:t>
      </w:r>
      <w:bookmarkStart w:id="7" w:name="_Hlk223364395"/>
      <w:r w:rsidRPr="00340A62">
        <w:rPr>
          <w:rFonts w:ascii="Palatino Linotype" w:hAnsi="Palatino Linotype" w:cs="Arial"/>
          <w:snapToGrid/>
          <w:sz w:val="22"/>
          <w:szCs w:val="22"/>
          <w:lang w:val="nl-NL" w:eastAsia="zh-CN"/>
        </w:rPr>
        <w:t xml:space="preserve">het </w:t>
      </w:r>
      <w:r w:rsidRPr="00340A62">
        <w:rPr>
          <w:rFonts w:ascii="Palatino Linotype" w:hAnsi="Palatino Linotype" w:cs="Arial"/>
          <w:snapToGrid/>
          <w:sz w:val="22"/>
          <w:szCs w:val="22"/>
          <w:lang w:val="nl-NL" w:eastAsia="zh-CN"/>
        </w:rPr>
        <w:lastRenderedPageBreak/>
        <w:t xml:space="preserve">inreisverbod en de bevriezing van tegoeden, en ook het daarmee samenhangende verbod op het beschikbaar stellen van tegoeden of economische middelen, </w:t>
      </w:r>
      <w:bookmarkEnd w:id="7"/>
      <w:r w:rsidRPr="00340A62">
        <w:rPr>
          <w:rFonts w:ascii="Palatino Linotype" w:hAnsi="Palatino Linotype" w:cs="Arial"/>
          <w:snapToGrid/>
          <w:sz w:val="22"/>
          <w:szCs w:val="22"/>
          <w:lang w:val="nl-NL" w:eastAsia="zh-CN"/>
        </w:rPr>
        <w:t>moeten worden geschrapt. Ook vindt de Raad dat de titel van Besluit 2011/101/GBVB moet worden gewijzigd om tot uiting te brengen dat het besluit alleen een wapenembargo omvat. Verordening (EG) nr. 314/2004 geeft uitvoering aan het dienovereenkomstig gewijzigde Besluit 2011/101/GBVB</w:t>
      </w:r>
      <w:r w:rsidRPr="00340A62">
        <w:rPr>
          <w:rFonts w:ascii="Palatino Linotype" w:hAnsi="Palatino Linotype" w:cs="Arial"/>
          <w:i/>
          <w:iCs/>
          <w:snapToGrid/>
          <w:color w:val="333333"/>
          <w:sz w:val="22"/>
          <w:szCs w:val="22"/>
          <w:shd w:val="clear" w:color="auto" w:fill="FFFFFF"/>
          <w:vertAlign w:val="superscript"/>
          <w:lang w:val="nl-NL" w:eastAsia="zh-CN"/>
        </w:rPr>
        <w:footnoteReference w:id="36"/>
      </w:r>
      <w:r w:rsidRPr="00340A62">
        <w:rPr>
          <w:rFonts w:ascii="Palatino Linotype" w:hAnsi="Palatino Linotype" w:cs="Arial"/>
          <w:snapToGrid/>
          <w:sz w:val="22"/>
          <w:szCs w:val="22"/>
          <w:lang w:val="nl-NL" w:eastAsia="zh-CN"/>
        </w:rPr>
        <w:t xml:space="preserve">.    </w:t>
      </w:r>
    </w:p>
    <w:p w:rsidR="00340A62" w:rsidRPr="00340A62" w:rsidRDefault="00340A62" w:rsidP="00340A62">
      <w:pPr>
        <w:widowControl/>
        <w:shd w:val="clear" w:color="auto" w:fill="FFFFFF"/>
        <w:spacing w:before="150" w:after="150"/>
        <w:ind w:right="45"/>
        <w:jc w:val="both"/>
        <w:rPr>
          <w:rFonts w:ascii="Palatino Linotype" w:hAnsi="Palatino Linotype" w:cs="Tahoma"/>
          <w:b/>
          <w:snapToGrid/>
          <w:sz w:val="22"/>
          <w:szCs w:val="22"/>
          <w:lang w:val="pap-029" w:eastAsia="pap-029"/>
        </w:rPr>
      </w:pPr>
      <w:r w:rsidRPr="00340A62">
        <w:rPr>
          <w:rFonts w:ascii="Palatino Linotype" w:hAnsi="Palatino Linotype" w:cs="Tahoma"/>
          <w:b/>
          <w:snapToGrid/>
          <w:sz w:val="22"/>
          <w:szCs w:val="22"/>
          <w:lang w:val="pap-029" w:eastAsia="pap-029"/>
        </w:rPr>
        <w:t xml:space="preserve">F  Meldplicht </w:t>
      </w:r>
    </w:p>
    <w:p w:rsidR="00340A62" w:rsidRPr="00340A62" w:rsidRDefault="00340A62" w:rsidP="00340A62">
      <w:pPr>
        <w:widowControl/>
        <w:jc w:val="both"/>
        <w:rPr>
          <w:rFonts w:ascii="Palatino Linotype" w:eastAsia="Calibri" w:hAnsi="Palatino Linotype"/>
          <w:snapToGrid/>
          <w:color w:val="000000"/>
          <w:sz w:val="22"/>
          <w:szCs w:val="22"/>
          <w:shd w:val="clear" w:color="auto" w:fill="FFFFFF"/>
          <w:lang w:val="pap-029"/>
        </w:rPr>
      </w:pPr>
      <w:r w:rsidRPr="00340A62">
        <w:rPr>
          <w:rFonts w:ascii="Palatino Linotype" w:eastAsia="Calibri" w:hAnsi="Palatino Linotype" w:cs="Tahoma"/>
          <w:snapToGrid/>
          <w:sz w:val="22"/>
          <w:szCs w:val="22"/>
          <w:lang w:val="pap-029"/>
        </w:rPr>
        <w:t xml:space="preserve">In de </w:t>
      </w:r>
      <w:bookmarkStart w:id="8" w:name="_Hlk215049824"/>
      <w:r w:rsidRPr="00340A62">
        <w:rPr>
          <w:rFonts w:ascii="Palatino Linotype" w:eastAsia="Calibri" w:hAnsi="Palatino Linotype" w:cs="Tahoma"/>
          <w:snapToGrid/>
          <w:sz w:val="22"/>
          <w:szCs w:val="22"/>
          <w:lang w:val="pap-029"/>
        </w:rPr>
        <w:t xml:space="preserve">van toepassing zijnde verordening van de Europese Raad is de plicht opgenomen voor de lidstaten om elkaar in kennis te stellen van de krachtens die verordeningen genomen maatregel. Zo bepaalt bijvoorbeeld artikel 13 van de verordening (EG) Nr. </w:t>
      </w:r>
      <w:r w:rsidRPr="00340A62">
        <w:rPr>
          <w:rFonts w:ascii="Palatino Linotype" w:eastAsia="Calibri" w:hAnsi="Palatino Linotype"/>
          <w:snapToGrid/>
          <w:sz w:val="22"/>
          <w:szCs w:val="22"/>
          <w:lang w:val="pap-029" w:eastAsia="pap-029"/>
        </w:rPr>
        <w:t xml:space="preserve">1210/2003 van de Raad van 7 juli 2003 </w:t>
      </w:r>
      <w:hyperlink r:id="rId18" w:tooltip="32003R1210" w:history="1">
        <w:r w:rsidRPr="00340A62">
          <w:rPr>
            <w:rFonts w:ascii="Palatino Linotype" w:eastAsia="Calibri" w:hAnsi="Palatino Linotype"/>
            <w:snapToGrid/>
            <w:color w:val="000000"/>
            <w:sz w:val="22"/>
            <w:szCs w:val="22"/>
            <w:lang w:val="pap-029" w:eastAsia="pap-029"/>
          </w:rPr>
          <w:t>betreffende bepaalde specifieke restricties op de economische en financiële betrekkingen met Irak en tot intrekking van Verordening (EG) nr. 2465/96</w:t>
        </w:r>
      </w:hyperlink>
      <w:bookmarkEnd w:id="8"/>
      <w:r w:rsidRPr="00340A62">
        <w:rPr>
          <w:rFonts w:ascii="Palatino Linotype" w:eastAsia="Calibri" w:hAnsi="Palatino Linotype"/>
          <w:snapToGrid/>
          <w:color w:val="000000"/>
          <w:sz w:val="22"/>
          <w:szCs w:val="22"/>
          <w:lang w:val="pap-029" w:eastAsia="pap-029"/>
        </w:rPr>
        <w:t xml:space="preserve"> dat de Sanctiecomité bij Resolutie 661 van de Veiligheidsraad van de Verenigde Naties en</w:t>
      </w:r>
      <w:r w:rsidRPr="00340A62">
        <w:rPr>
          <w:rFonts w:ascii="Palatino Linotype" w:eastAsia="Calibri" w:hAnsi="Palatino Linotype"/>
          <w:snapToGrid/>
          <w:color w:val="000000"/>
          <w:sz w:val="22"/>
          <w:szCs w:val="22"/>
          <w:shd w:val="clear" w:color="auto" w:fill="FFFFFF"/>
          <w:lang w:val="pap-029"/>
        </w:rPr>
        <w:t xml:space="preserve"> de lidstaten elkaar onmiddellĳk in kennis stellen van de krachtens deze verordening getroffen maatregelen. Zĳ stellen elkaar in kennis van alle relevante informatie waarover zĳ in verband met deze verordening beschikken, in het bĳzonder informatie die zĳ overeenkomstig artikel 8 hebben verkregen en informatie over schendingen van de bepalingen van deze verordening, handhavingsproblemen en uitspraken van nationale rechters. Een dergelijke informatievoorziening geschiedt door tussenkomst van de Directie Buitenlande Betrekkingen van Curacao, aangezien het Koninkrijk der Nederlanden lid is van de Verenigde Naties en het veiligheidsmaatregelen betreffen die in Koninkrijksverband zijn genomen. </w:t>
      </w:r>
    </w:p>
    <w:p w:rsidR="00340A62" w:rsidRPr="00340A62" w:rsidRDefault="00340A62" w:rsidP="00340A62">
      <w:pPr>
        <w:widowControl/>
        <w:shd w:val="clear" w:color="auto" w:fill="FFFFFF"/>
        <w:spacing w:before="150" w:after="150"/>
        <w:ind w:right="45"/>
        <w:jc w:val="both"/>
        <w:rPr>
          <w:rFonts w:ascii="Palatino Linotype" w:hAnsi="Palatino Linotype" w:cs="Tahoma"/>
          <w:b/>
          <w:snapToGrid/>
          <w:sz w:val="22"/>
          <w:szCs w:val="22"/>
          <w:lang w:val="pap-029" w:eastAsia="pap-029"/>
        </w:rPr>
      </w:pPr>
      <w:r w:rsidRPr="00340A62">
        <w:rPr>
          <w:rFonts w:ascii="Palatino Linotype" w:hAnsi="Palatino Linotype" w:cs="Tahoma"/>
          <w:b/>
          <w:snapToGrid/>
          <w:sz w:val="22"/>
          <w:szCs w:val="22"/>
          <w:lang w:val="pap-029" w:eastAsia="pap-029"/>
        </w:rPr>
        <w:t>G en H  Wapenembargo’s</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Hoofdstuk III van het Omnibus-Sanctiebesluit Curaçao omvat de regels over de wapenembargo’s.</w:t>
      </w:r>
      <w:r w:rsidRPr="00340A62">
        <w:rPr>
          <w:rFonts w:ascii="Palatino Linotype" w:eastAsia="Palatino Linotype" w:hAnsi="Palatino Linotype" w:cs="Palatino Linotype"/>
          <w:snapToGrid/>
          <w:sz w:val="22"/>
          <w:szCs w:val="22"/>
          <w:lang w:val="pap-029" w:eastAsia="pap-029"/>
        </w:rPr>
        <w:t xml:space="preserve"> Deze wapenembargo’s houden een verbod in om militaire goederen, alsmede militaire technologie, dan wel onderdelen daarvan, direct of indirect te verkopen of te leveren aan, door of uit te voeren naar, dan wel over te dragen aan, daaronder begrepen over te brengen naar, natuurlijke personen, rechtspersonen of entiteiten in of voor gebruik in of ten behoeve van de in artikel 3.1 aangewezen landen of personen of entiteiten, ongeacht het land van oorsprong.</w:t>
      </w:r>
      <w:r w:rsidRPr="00340A62">
        <w:rPr>
          <w:rFonts w:ascii="Palatino Linotype" w:hAnsi="Palatino Linotype"/>
          <w:snapToGrid/>
          <w:sz w:val="22"/>
          <w:szCs w:val="22"/>
          <w:lang w:val="pap-029" w:eastAsia="pap-029"/>
        </w:rPr>
        <w:t xml:space="preserve"> Opgemerkt wordt dat een aantal wapen- / militair gerelateerde verboden zich niet alleen richten op “wapens” in de klassieke zin, maar ook op “aanverwant materieel, paramilitaire uitrusting, reserveonderdelen, technische bijstand, tussenhandeldiensten, financiering, enzovoorts wat aangeeft dat het embargo ruim is opgezet. De </w:t>
      </w:r>
      <w:r w:rsidRPr="00340A62">
        <w:rPr>
          <w:rFonts w:ascii="Palatino Linotype" w:hAnsi="Palatino Linotype"/>
          <w:b/>
          <w:bCs/>
          <w:snapToGrid/>
          <w:sz w:val="22"/>
          <w:szCs w:val="22"/>
          <w:lang w:val="pap-029" w:eastAsia="pap-029"/>
        </w:rPr>
        <w:t>uitzonderingen betreffen veelal</w:t>
      </w:r>
      <w:r w:rsidRPr="00340A62">
        <w:rPr>
          <w:rFonts w:ascii="Palatino Linotype" w:hAnsi="Palatino Linotype"/>
          <w:snapToGrid/>
          <w:sz w:val="22"/>
          <w:szCs w:val="22"/>
          <w:lang w:val="pap-029" w:eastAsia="pap-029"/>
        </w:rPr>
        <w:t xml:space="preserve"> leveringen aan personeel van de United Nations (VN), humanitaire organisaties, media, enzovoorts, deze leveringen zijn in principe toegestaan, mits alleen voor beschermende kleding of persoonlijke bescherming.</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In de volgende artikelen van dat hoofdstuk, te weten artikel 3.2 tot en met 3.16 zijn de uitzonderingen op het verbod opgenomen.</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Met deze wijziging wordt beoogd de uitzonderingen uit het ontwerp te halen. Immers de uitzonderingen zijn rechtstreeks van toepassing op Curaçao op basis van de in de Rijkswet gehanteerde systematiek van “het binnenhalen” van Europese verordeningen in ons rechtssysteem. Door de verordeningen op de nemen in artikel 3.1 van dit landsbesluit, kunnen de personen die handel drijven met die landen en willen weten welke uitzonderingen er gelden, </w:t>
      </w:r>
      <w:r w:rsidRPr="00340A62">
        <w:rPr>
          <w:rFonts w:ascii="Palatino Linotype" w:eastAsia="Palatino Linotype" w:hAnsi="Palatino Linotype" w:cs="Palatino Linotype"/>
          <w:snapToGrid/>
          <w:sz w:val="22"/>
          <w:szCs w:val="22"/>
          <w:lang w:val="nl-NL"/>
        </w:rPr>
        <w:lastRenderedPageBreak/>
        <w:t>direct in de betreffende verordening zoeken en lezen welke uitzonderingen er bestaan. Curaçao hoeft deze uitzonderingen niet “over te nemen” in de nationale rechtsorde, want ze gelden rechtstreeks op basis van de Rijkssanctiewet.</w:t>
      </w:r>
    </w:p>
    <w:p w:rsidR="00340A62" w:rsidRPr="00340A62" w:rsidRDefault="00340A62" w:rsidP="00340A62">
      <w:pPr>
        <w:widowControl/>
        <w:rPr>
          <w:rFonts w:ascii="Palatino Linotype" w:hAnsi="Palatino Linotype"/>
          <w:snapToGrid/>
          <w:sz w:val="22"/>
          <w:szCs w:val="22"/>
          <w:lang w:val="nl-NL"/>
        </w:rPr>
      </w:pPr>
      <w:r w:rsidRPr="00340A62">
        <w:rPr>
          <w:rFonts w:ascii="Palatino Linotype" w:hAnsi="Palatino Linotype"/>
          <w:snapToGrid/>
          <w:sz w:val="22"/>
          <w:szCs w:val="22"/>
          <w:lang w:val="nl-NL"/>
        </w:rPr>
        <w:t>Een link naar de betreffende verordeningen is opgenomen in dit landsbesluit.</w:t>
      </w:r>
    </w:p>
    <w:p w:rsidR="00340A62" w:rsidRPr="00340A62" w:rsidRDefault="00340A62" w:rsidP="00340A62">
      <w:pPr>
        <w:widowControl/>
        <w:rPr>
          <w:rFonts w:ascii="Palatino Linotype" w:hAnsi="Palatino Linotype"/>
          <w:b/>
          <w:snapToGrid/>
          <w:sz w:val="22"/>
          <w:szCs w:val="22"/>
          <w:lang w:val="nl-NL"/>
        </w:rPr>
      </w:pPr>
    </w:p>
    <w:p w:rsidR="00340A62" w:rsidRPr="00340A62" w:rsidRDefault="00340A62" w:rsidP="00340A62">
      <w:pPr>
        <w:widowControl/>
        <w:rPr>
          <w:rFonts w:ascii="Palatino Linotype" w:hAnsi="Palatino Linotype"/>
          <w:b/>
          <w:snapToGrid/>
          <w:sz w:val="22"/>
          <w:szCs w:val="22"/>
          <w:lang w:val="nl-NL"/>
        </w:rPr>
      </w:pPr>
      <w:r w:rsidRPr="00340A62">
        <w:rPr>
          <w:rFonts w:ascii="Palatino Linotype" w:hAnsi="Palatino Linotype"/>
          <w:b/>
          <w:snapToGrid/>
          <w:sz w:val="22"/>
          <w:szCs w:val="22"/>
          <w:lang w:val="nl-NL"/>
        </w:rPr>
        <w:t>I</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De definitiebepaling in het hoofdstuk over de nationale terrorismesancties wordt uitgebreid met een omschrijving van wat onder de begrippen: personen of organisaties, dienen te worden verstaan. Hiermee wordt de reikwijdte van deze begrippen bepaald, zoals door de Financial Action Taskforce (FATF) voorgeschreven. </w:t>
      </w:r>
    </w:p>
    <w:p w:rsidR="00340A62" w:rsidRPr="00340A62" w:rsidRDefault="00340A62" w:rsidP="00340A62">
      <w:pPr>
        <w:widowControl/>
        <w:rPr>
          <w:rFonts w:ascii="Palatino Linotype" w:hAnsi="Palatino Linotype"/>
          <w:snapToGrid/>
          <w:sz w:val="22"/>
          <w:szCs w:val="22"/>
          <w:lang w:val="nl-NL"/>
        </w:rPr>
      </w:pPr>
    </w:p>
    <w:p w:rsidR="00340A62" w:rsidRPr="00340A62" w:rsidRDefault="00340A62" w:rsidP="00340A62">
      <w:pPr>
        <w:widowControl/>
        <w:rPr>
          <w:rFonts w:ascii="Palatino Linotype" w:hAnsi="Palatino Linotype"/>
          <w:b/>
          <w:snapToGrid/>
          <w:sz w:val="22"/>
          <w:szCs w:val="22"/>
          <w:lang w:val="nl-NL"/>
        </w:rPr>
      </w:pPr>
      <w:r w:rsidRPr="00340A62">
        <w:rPr>
          <w:rFonts w:ascii="Palatino Linotype" w:hAnsi="Palatino Linotype"/>
          <w:b/>
          <w:snapToGrid/>
          <w:sz w:val="22"/>
          <w:szCs w:val="22"/>
          <w:lang w:val="nl-NL"/>
        </w:rPr>
        <w:t>J</w:t>
      </w:r>
    </w:p>
    <w:p w:rsidR="00340A62" w:rsidRPr="00340A62" w:rsidRDefault="00340A62" w:rsidP="00340A62">
      <w:pPr>
        <w:widowControl/>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In dit onderdeel wordt opgenomen dat het aanwijzingsbesluit houdende aanwijzing of verwijdering van een persoon of organisatie van een nationale terroristenlijst, terstond in het Publicatieblad wordt bekendgemaakt.</w:t>
      </w:r>
    </w:p>
    <w:p w:rsidR="00340A62" w:rsidRPr="00340A62" w:rsidRDefault="00340A62" w:rsidP="00340A62">
      <w:pPr>
        <w:widowControl/>
        <w:jc w:val="both"/>
        <w:rPr>
          <w:rFonts w:ascii="Palatino Linotype" w:hAnsi="Palatino Linotype"/>
          <w:snapToGrid/>
          <w:sz w:val="22"/>
          <w:szCs w:val="22"/>
        </w:rPr>
      </w:pPr>
      <w:r w:rsidRPr="00340A62">
        <w:rPr>
          <w:rFonts w:ascii="Palatino Linotype" w:hAnsi="Palatino Linotype"/>
          <w:snapToGrid/>
          <w:sz w:val="22"/>
          <w:szCs w:val="22"/>
        </w:rPr>
        <w:t>Zie hiervoor Criterion 6.4 in het Anti-money laundering and counter-terrorist financing measures Curacao, Mutual Evaluation Report July 2025</w:t>
      </w:r>
      <w:r w:rsidRPr="00340A62">
        <w:rPr>
          <w:rFonts w:ascii="Palatino Linotype" w:hAnsi="Palatino Linotype"/>
          <w:snapToGrid/>
          <w:sz w:val="22"/>
          <w:szCs w:val="22"/>
          <w:vertAlign w:val="superscript"/>
        </w:rPr>
        <w:footnoteReference w:id="37"/>
      </w:r>
      <w:r w:rsidRPr="00340A62">
        <w:rPr>
          <w:rFonts w:ascii="Palatino Linotype" w:hAnsi="Palatino Linotype"/>
          <w:snapToGrid/>
          <w:sz w:val="22"/>
          <w:szCs w:val="22"/>
        </w:rPr>
        <w:t>, pagina 160.</w:t>
      </w:r>
    </w:p>
    <w:p w:rsidR="00340A62" w:rsidRPr="00340A62" w:rsidRDefault="00340A62" w:rsidP="00340A62">
      <w:pPr>
        <w:widowControl/>
        <w:rPr>
          <w:rFonts w:ascii="Palatino Linotype" w:hAnsi="Palatino Linotype"/>
          <w:snapToGrid/>
          <w:sz w:val="22"/>
          <w:szCs w:val="22"/>
        </w:rPr>
      </w:pPr>
    </w:p>
    <w:p w:rsidR="00340A62" w:rsidRPr="00340A62" w:rsidRDefault="00340A62" w:rsidP="00340A62">
      <w:pPr>
        <w:widowControl/>
        <w:rPr>
          <w:rFonts w:ascii="Palatino Linotype" w:hAnsi="Palatino Linotype"/>
          <w:i/>
          <w:snapToGrid/>
          <w:sz w:val="22"/>
          <w:szCs w:val="22"/>
        </w:rPr>
      </w:pPr>
      <w:r w:rsidRPr="00340A62">
        <w:rPr>
          <w:rFonts w:ascii="Palatino Linotype" w:hAnsi="Palatino Linotype"/>
          <w:i/>
          <w:snapToGrid/>
          <w:sz w:val="22"/>
          <w:szCs w:val="22"/>
        </w:rPr>
        <w:t>“</w:t>
      </w:r>
      <w:r w:rsidRPr="00340A62">
        <w:rPr>
          <w:rFonts w:ascii="Palatino Linotype" w:hAnsi="Palatino Linotype"/>
          <w:b/>
          <w:i/>
          <w:snapToGrid/>
          <w:sz w:val="22"/>
          <w:szCs w:val="22"/>
        </w:rPr>
        <w:t>Criterion 6.4</w:t>
      </w:r>
      <w:r w:rsidRPr="00340A62">
        <w:rPr>
          <w:rFonts w:ascii="Palatino Linotype" w:hAnsi="Palatino Linotype"/>
          <w:i/>
          <w:snapToGrid/>
          <w:sz w:val="22"/>
          <w:szCs w:val="22"/>
        </w:rPr>
        <w:t xml:space="preserve"> – Designations made under Resolutions 1267/1989/2253 and 1988 are recognised as binding and applicable upon their issuance by the United Nations (read Arts. 2 and 7 of the Sanctions Ordinance in conjunction with Arts. 2 to 4 of the National Sanction Decree Al-Qaida, the Taliban of Afghanistan c.s., ISIL c.s., ANF c.s, and Locally Designated Persons and Organizations. Also see Art. 1.37 of the Omnibus Sanctions Decree (N.G. 2024, no. 22). Domestic designations under Resolution 1373, determined by the Minister of General Affairs, are issued through “ministerial orders with general applicability”, which must be published in the Official Gazette to take effect to become applicable. </w:t>
      </w:r>
      <w:r w:rsidRPr="00340A62">
        <w:rPr>
          <w:rFonts w:ascii="Palatino Linotype" w:hAnsi="Palatino Linotype"/>
          <w:b/>
          <w:i/>
          <w:snapToGrid/>
          <w:sz w:val="22"/>
          <w:szCs w:val="22"/>
        </w:rPr>
        <w:t xml:space="preserve">Assessors did not find enforceable means that guarantee that the publication in the Official Gazette would occur without delay </w:t>
      </w:r>
      <w:r w:rsidRPr="00340A62">
        <w:rPr>
          <w:rFonts w:ascii="Palatino Linotype" w:hAnsi="Palatino Linotype"/>
          <w:b/>
          <w:snapToGrid/>
          <w:sz w:val="22"/>
          <w:szCs w:val="22"/>
        </w:rPr>
        <w:t>or within a set time frame, such as twenty-four hours after a ministerial designation decision</w:t>
      </w:r>
      <w:r w:rsidRPr="00340A62">
        <w:rPr>
          <w:rFonts w:ascii="Palatino Linotype" w:hAnsi="Palatino Linotype"/>
          <w:snapToGrid/>
          <w:sz w:val="22"/>
          <w:szCs w:val="22"/>
        </w:rPr>
        <w:t xml:space="preserve"> (Art. 2 and 6 of the Ministerial Decree of July 8th, 2016, for the </w:t>
      </w:r>
      <w:r w:rsidRPr="00340A62">
        <w:rPr>
          <w:rFonts w:ascii="Palatino Linotype" w:hAnsi="Palatino Linotype"/>
          <w:i/>
          <w:snapToGrid/>
          <w:sz w:val="22"/>
          <w:szCs w:val="22"/>
        </w:rPr>
        <w:t>execution of Art. 12 of the National Sanction Decree Al-Qaida, the Taliban of Afghanistan c.s., ISIL c.s., ANF c.s, and Locally Designated Persons and Organizations. Footnote 6 of the manual “Process for the Freezing of Resources” guides in this regard).</w:t>
      </w:r>
    </w:p>
    <w:p w:rsidR="00340A62" w:rsidRPr="00340A62" w:rsidRDefault="00340A62" w:rsidP="00340A62">
      <w:pPr>
        <w:widowControl/>
        <w:rPr>
          <w:rFonts w:ascii="Palatino Linotype" w:hAnsi="Palatino Linotype"/>
          <w:i/>
          <w:snapToGrid/>
          <w:sz w:val="22"/>
          <w:szCs w:val="22"/>
        </w:rPr>
      </w:pPr>
      <w:r w:rsidRPr="00340A62">
        <w:rPr>
          <w:rFonts w:ascii="Palatino Linotype" w:hAnsi="Palatino Linotype"/>
          <w:i/>
          <w:snapToGrid/>
          <w:sz w:val="22"/>
          <w:szCs w:val="22"/>
        </w:rPr>
        <w:t>Accessor did not find enforceable means that guarantee that the publication in the Official Gazette would occur without delay or within a set time frame.”</w:t>
      </w:r>
    </w:p>
    <w:p w:rsidR="00340A62" w:rsidRPr="00340A62" w:rsidRDefault="00340A62" w:rsidP="00340A62">
      <w:pPr>
        <w:widowControl/>
        <w:jc w:val="both"/>
        <w:rPr>
          <w:rFonts w:ascii="Palatino Linotype" w:hAnsi="Palatino Linotype"/>
          <w:snapToGrid/>
          <w:sz w:val="22"/>
          <w:szCs w:val="22"/>
        </w:rPr>
      </w:pP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Om te voldoen aan deze criteria wordt in dit landsbesluit bepaald dat de aanwijzing of verwijdering in het Publicatieblad geschiedt. De Landscourant verschijnt 1x keer in de week, waardoor de regering niet binnen 24 uur zou kunnen voldoen aan de plicht tot bekendmaking van de aanwijzing of verwijdering van een nationale terrorist, zoals aanbevolen door de FATF. Vandaar op deze plaats wordt bepaald dat de aanwijzing in het Publicatieblad geschiedt. De regering kan op elk moment een Publicatieblad digitaal beschikbaar stellen aan het publiek.</w:t>
      </w:r>
    </w:p>
    <w:p w:rsidR="00340A62" w:rsidRPr="00340A62" w:rsidRDefault="00340A62" w:rsidP="00340A62">
      <w:pPr>
        <w:widowControl/>
        <w:spacing w:before="100" w:beforeAutospacing="1" w:after="100" w:afterAutospacing="1"/>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 xml:space="preserve">De regering dient niet alleen te beschikken over een procedure voor het realiseren en uitvoeren van een aanwijzingsbesluit, houdende plaatsing van een persoon of organisatie op een nationale </w:t>
      </w:r>
      <w:r w:rsidRPr="00340A62">
        <w:rPr>
          <w:rFonts w:ascii="Palatino Linotype" w:hAnsi="Palatino Linotype"/>
          <w:snapToGrid/>
          <w:sz w:val="22"/>
          <w:szCs w:val="22"/>
          <w:lang w:val="pap-029" w:eastAsia="pap-029"/>
        </w:rPr>
        <w:lastRenderedPageBreak/>
        <w:t>terroristenlijst, maar ook een procedure om een persoon of organisatie van de nationale terrorismelijst te verwijderen (delisting). Een aanwijzingsbesluit is een beschikking in de zin van de Landsverordening administratieve rechtspraak</w:t>
      </w:r>
      <w:r w:rsidRPr="00340A62">
        <w:rPr>
          <w:rFonts w:ascii="Palatino Linotype" w:hAnsi="Palatino Linotype"/>
          <w:snapToGrid/>
          <w:sz w:val="22"/>
          <w:szCs w:val="22"/>
          <w:vertAlign w:val="superscript"/>
          <w:lang w:val="pap-029" w:eastAsia="pap-029"/>
        </w:rPr>
        <w:footnoteReference w:id="38"/>
      </w:r>
      <w:r w:rsidRPr="00340A62">
        <w:rPr>
          <w:rFonts w:ascii="Palatino Linotype" w:hAnsi="Palatino Linotype"/>
          <w:snapToGrid/>
          <w:sz w:val="22"/>
          <w:szCs w:val="22"/>
          <w:lang w:val="pap-029" w:eastAsia="pap-029"/>
        </w:rPr>
        <w:t xml:space="preserve">. De plicht om dergelijke procedures vast te stellen en bekend te maken i sin het zesde lid, van artikel 4.4. van het Omnibus-Sanctiebesluit Curaçao opgenomen. </w:t>
      </w:r>
    </w:p>
    <w:p w:rsidR="00340A62" w:rsidRPr="00340A62" w:rsidRDefault="00340A62" w:rsidP="00340A62">
      <w:pPr>
        <w:widowControl/>
        <w:spacing w:before="100" w:beforeAutospacing="1" w:after="100" w:afterAutospacing="1"/>
        <w:jc w:val="both"/>
        <w:rPr>
          <w:rFonts w:ascii="Palatino Linotype" w:hAnsi="Palatino Linotype"/>
          <w:iCs/>
          <w:snapToGrid/>
          <w:sz w:val="22"/>
          <w:szCs w:val="22"/>
          <w:lang w:val="pap-029" w:eastAsia="pap-029"/>
        </w:rPr>
      </w:pPr>
      <w:r w:rsidRPr="00340A62">
        <w:rPr>
          <w:rFonts w:ascii="Palatino Linotype" w:hAnsi="Palatino Linotype"/>
          <w:snapToGrid/>
          <w:sz w:val="22"/>
          <w:szCs w:val="22"/>
          <w:lang w:val="pap-029" w:eastAsia="pap-029"/>
        </w:rPr>
        <w:t xml:space="preserve">De aangewezen persoon of organisatie heeft </w:t>
      </w:r>
      <w:r w:rsidRPr="00340A62">
        <w:rPr>
          <w:rFonts w:ascii="Palatino Linotype" w:hAnsi="Palatino Linotype"/>
          <w:b/>
          <w:bCs/>
          <w:snapToGrid/>
          <w:sz w:val="22"/>
          <w:szCs w:val="22"/>
          <w:lang w:val="pap-029" w:eastAsia="pap-029"/>
        </w:rPr>
        <w:t xml:space="preserve">recht op toegang tot de rechter. Deze waarborgen zijn neergelegd in de </w:t>
      </w:r>
      <w:r w:rsidRPr="00340A62">
        <w:rPr>
          <w:rFonts w:ascii="Palatino Linotype" w:hAnsi="Palatino Linotype"/>
          <w:snapToGrid/>
          <w:sz w:val="22"/>
          <w:szCs w:val="22"/>
          <w:lang w:val="pap-029" w:eastAsia="pap-029"/>
        </w:rPr>
        <w:t>Resolutie 1730 (2006) (procedures voor delisting). Zie in dit verband ook de uitspraak Kadi I te vinden op:</w:t>
      </w:r>
      <w:r w:rsidRPr="00340A62">
        <w:rPr>
          <w:rFonts w:ascii="Palatino Linotype" w:hAnsi="Palatino Linotype"/>
          <w:i/>
          <w:snapToGrid/>
          <w:sz w:val="22"/>
          <w:szCs w:val="22"/>
          <w:lang w:val="pap-029" w:eastAsia="pap-029"/>
        </w:rPr>
        <w:t xml:space="preserve"> </w:t>
      </w:r>
      <w:r w:rsidRPr="00340A62">
        <w:rPr>
          <w:rFonts w:ascii="Palatino Linotype" w:hAnsi="Palatino Linotype"/>
          <w:b/>
          <w:bCs/>
          <w:i/>
          <w:snapToGrid/>
          <w:sz w:val="22"/>
          <w:szCs w:val="22"/>
          <w:lang w:val="pap-029" w:eastAsia="pap-029"/>
        </w:rPr>
        <w:t>ECLI:</w:t>
      </w:r>
      <w:r w:rsidRPr="00340A62">
        <w:rPr>
          <w:rFonts w:ascii="Palatino Linotype" w:hAnsi="Palatino Linotype"/>
          <w:i/>
          <w:snapToGrid/>
          <w:sz w:val="22"/>
          <w:szCs w:val="22"/>
          <w:lang w:val="pap-029" w:eastAsia="pap-029"/>
        </w:rPr>
        <w:t xml:space="preserve"> </w:t>
      </w:r>
      <w:r w:rsidRPr="00340A62">
        <w:rPr>
          <w:rFonts w:ascii="Palatino Linotype" w:hAnsi="Palatino Linotype"/>
          <w:i/>
          <w:iCs/>
          <w:snapToGrid/>
          <w:sz w:val="22"/>
          <w:szCs w:val="22"/>
          <w:lang w:val="pap-029" w:eastAsia="pap-029"/>
        </w:rPr>
        <w:t xml:space="preserve">ECLI:EU:C:2008:461 en Kadi II te vinden op </w:t>
      </w:r>
      <w:r w:rsidRPr="00340A62">
        <w:rPr>
          <w:rFonts w:ascii="Palatino Linotype" w:hAnsi="Palatino Linotype"/>
          <w:b/>
          <w:bCs/>
          <w:i/>
          <w:snapToGrid/>
          <w:sz w:val="22"/>
          <w:szCs w:val="22"/>
          <w:lang w:val="pap-029" w:eastAsia="pap-029"/>
        </w:rPr>
        <w:t>ECLI:</w:t>
      </w:r>
      <w:r w:rsidRPr="00340A62">
        <w:rPr>
          <w:rFonts w:ascii="Palatino Linotype" w:hAnsi="Palatino Linotype"/>
          <w:i/>
          <w:snapToGrid/>
          <w:sz w:val="22"/>
          <w:szCs w:val="22"/>
          <w:lang w:val="pap-029" w:eastAsia="pap-029"/>
        </w:rPr>
        <w:t xml:space="preserve"> </w:t>
      </w:r>
      <w:r w:rsidRPr="00340A62">
        <w:rPr>
          <w:rFonts w:ascii="Palatino Linotype" w:hAnsi="Palatino Linotype"/>
          <w:i/>
          <w:iCs/>
          <w:snapToGrid/>
          <w:sz w:val="22"/>
          <w:szCs w:val="22"/>
          <w:lang w:val="pap-029" w:eastAsia="pap-029"/>
        </w:rPr>
        <w:t>ECLI:EU:C:2013:518.</w:t>
      </w:r>
    </w:p>
    <w:p w:rsidR="00340A62" w:rsidRPr="00340A62" w:rsidRDefault="00340A62" w:rsidP="00340A62">
      <w:pPr>
        <w:widowControl/>
        <w:spacing w:before="100" w:beforeAutospacing="1" w:after="100" w:afterAutospacing="1"/>
        <w:jc w:val="both"/>
        <w:rPr>
          <w:rFonts w:ascii="Palatino Linotype" w:hAnsi="Palatino Linotype"/>
          <w:bCs/>
          <w:snapToGrid/>
          <w:sz w:val="22"/>
          <w:szCs w:val="22"/>
          <w:lang w:val="pap-029" w:eastAsia="pap-029"/>
        </w:rPr>
      </w:pPr>
      <w:r w:rsidRPr="00340A62">
        <w:rPr>
          <w:rFonts w:ascii="Palatino Linotype" w:hAnsi="Palatino Linotype"/>
          <w:snapToGrid/>
          <w:sz w:val="22"/>
          <w:szCs w:val="22"/>
          <w:lang w:val="pap-029" w:eastAsia="pap-029"/>
        </w:rPr>
        <w:t>De delisting is een bestuurlijke maatregel dat niet berust op een wettelijke grondslag. Voor delisting van een VN-sanctielijst dient een verzoek te worden ingediend bij de VN-focal point, zoals is verwerkt in de UNSCR 1730. Voor een delisting van de ISIL /Al-Qaida terroristen lijst is een aparte procedure in het leven geroepen; een Ombudspersoon neemt een verzoek in behandeling. Voor een delisting van gesanctioneerde personen of organisaties op basis van een EU-verordening, wordt</w:t>
      </w:r>
      <w:r w:rsidRPr="00340A62">
        <w:rPr>
          <w:rFonts w:ascii="Palatino Linotype" w:hAnsi="Palatino Linotype"/>
          <w:bCs/>
          <w:snapToGrid/>
          <w:sz w:val="22"/>
          <w:szCs w:val="22"/>
          <w:lang w:val="pap-029" w:eastAsia="pap-029"/>
        </w:rPr>
        <w:t xml:space="preserve"> de procedure beschreven in de verordening die tot een aanwijzing heeft geleid. Een verzoek voor delisting moet worden ingediend bij de EU-Raad. </w:t>
      </w:r>
    </w:p>
    <w:p w:rsidR="00340A62" w:rsidRPr="00340A62" w:rsidRDefault="00340A62" w:rsidP="00340A62">
      <w:pPr>
        <w:widowControl/>
        <w:spacing w:before="100" w:beforeAutospacing="1" w:after="100" w:afterAutospacing="1"/>
        <w:jc w:val="both"/>
        <w:rPr>
          <w:rFonts w:ascii="Palatino Linotype" w:hAnsi="Palatino Linotype"/>
          <w:bCs/>
          <w:snapToGrid/>
          <w:sz w:val="22"/>
          <w:szCs w:val="22"/>
          <w:lang w:val="pap-029" w:eastAsia="pap-029"/>
        </w:rPr>
      </w:pPr>
      <w:r w:rsidRPr="00340A62">
        <w:rPr>
          <w:rFonts w:ascii="Palatino Linotype" w:hAnsi="Palatino Linotype"/>
          <w:bCs/>
          <w:snapToGrid/>
          <w:sz w:val="22"/>
          <w:szCs w:val="22"/>
          <w:lang w:val="pap-029" w:eastAsia="pap-029"/>
        </w:rPr>
        <w:t xml:space="preserve">Voor wat betreft de delisting in Curaçao, staat zoals hierboven reeds vermeld bezwaar bij de Minister van Algemene Zaken en beroep open bij de rechter. </w:t>
      </w:r>
      <w:bookmarkStart w:id="9" w:name="_Hlk228792148"/>
      <w:r w:rsidRPr="00340A62">
        <w:rPr>
          <w:rFonts w:ascii="Palatino Linotype" w:hAnsi="Palatino Linotype"/>
          <w:bCs/>
          <w:snapToGrid/>
          <w:sz w:val="22"/>
          <w:szCs w:val="22"/>
          <w:lang w:val="pap-029" w:eastAsia="pap-029"/>
        </w:rPr>
        <w:t>Immers een aanwijzingsbesluit is een beschikking in de zin van de Landsverordening administratieve rechtspraak.</w:t>
      </w:r>
      <w:bookmarkEnd w:id="9"/>
      <w:r w:rsidRPr="00340A62">
        <w:rPr>
          <w:rFonts w:ascii="Palatino Linotype" w:hAnsi="Palatino Linotype"/>
          <w:bCs/>
          <w:snapToGrid/>
          <w:sz w:val="22"/>
          <w:szCs w:val="22"/>
          <w:lang w:val="pap-029" w:eastAsia="pap-029"/>
        </w:rPr>
        <w:t xml:space="preserve"> </w:t>
      </w:r>
    </w:p>
    <w:p w:rsidR="00340A62" w:rsidRPr="00340A62" w:rsidRDefault="00340A62" w:rsidP="00340A62">
      <w:pPr>
        <w:widowControl/>
        <w:jc w:val="both"/>
        <w:rPr>
          <w:rFonts w:ascii="Palatino Linotype" w:hAnsi="Palatino Linotype"/>
          <w:snapToGrid/>
          <w:sz w:val="22"/>
          <w:szCs w:val="22"/>
          <w:lang w:val="nl-NL"/>
        </w:rPr>
      </w:pPr>
      <w:r w:rsidRPr="00340A62">
        <w:rPr>
          <w:rFonts w:ascii="Palatino Linotype" w:hAnsi="Palatino Linotype"/>
          <w:snapToGrid/>
          <w:sz w:val="22"/>
          <w:szCs w:val="22"/>
          <w:lang w:val="nl-NL"/>
        </w:rPr>
        <w:t>Volledigheidshalve wordt opgemerkt dat, nu de verbodsbepalingen in artikel 4.2, derde, vierde en vijfde lid, van het Omnibus-Sanctiebesluit Curaçao conditioneel zijn geformuleerd en uitsluitend betrekking hebben op aangewezen personen of organisaties, de sanctiemaatregelen van rechtswege vervallen zodra betrokkene niet langer als zodanig is aangewezen, en dus verwijderd is van de sanctielijst.</w:t>
      </w:r>
    </w:p>
    <w:p w:rsidR="00340A62" w:rsidRPr="00340A62" w:rsidRDefault="00340A62" w:rsidP="00340A62">
      <w:pPr>
        <w:widowControl/>
        <w:jc w:val="both"/>
        <w:rPr>
          <w:rFonts w:ascii="Palatino Linotype" w:hAnsi="Palatino Linotype"/>
          <w:b/>
          <w:snapToGrid/>
          <w:sz w:val="22"/>
          <w:szCs w:val="22"/>
          <w:lang w:val="nl-NL"/>
        </w:rPr>
      </w:pPr>
    </w:p>
    <w:p w:rsidR="00340A62" w:rsidRPr="00340A62" w:rsidRDefault="00340A62" w:rsidP="00340A62">
      <w:pPr>
        <w:widowControl/>
        <w:jc w:val="both"/>
        <w:rPr>
          <w:rFonts w:ascii="Palatino Linotype" w:hAnsi="Palatino Linotype"/>
          <w:b/>
          <w:snapToGrid/>
          <w:sz w:val="22"/>
          <w:szCs w:val="22"/>
          <w:lang w:val="nl-NL"/>
        </w:rPr>
      </w:pPr>
      <w:r w:rsidRPr="00340A62">
        <w:rPr>
          <w:rFonts w:ascii="Palatino Linotype" w:hAnsi="Palatino Linotype"/>
          <w:b/>
          <w:snapToGrid/>
          <w:sz w:val="22"/>
          <w:szCs w:val="22"/>
          <w:lang w:val="nl-NL"/>
        </w:rPr>
        <w:t>K Commissie aanwijzen personen en organisaties</w:t>
      </w:r>
    </w:p>
    <w:p w:rsidR="00340A62" w:rsidRPr="00340A62" w:rsidRDefault="00340A62" w:rsidP="00340A62">
      <w:pPr>
        <w:widowControl/>
        <w:jc w:val="both"/>
        <w:rPr>
          <w:rFonts w:ascii="Palatino Linotype" w:hAnsi="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hAnsi="Palatino Linotype"/>
          <w:snapToGrid/>
          <w:sz w:val="22"/>
          <w:szCs w:val="22"/>
          <w:lang w:val="nl-NL"/>
        </w:rPr>
        <w:t xml:space="preserve">Op 15 juli 2016 is in de Curaçaosche Courant gepubliceerd de Beschikking aanwijzing personen en organisaties van de 8 juli 2016. Deze beschikking strekt ter uitvoering van </w:t>
      </w:r>
      <w:r w:rsidRPr="00340A62">
        <w:rPr>
          <w:rFonts w:ascii="Palatino Linotype" w:eastAsia="Palatino Linotype" w:hAnsi="Palatino Linotype" w:cs="Palatino Linotype"/>
          <w:snapToGrid/>
          <w:sz w:val="22"/>
          <w:szCs w:val="22"/>
          <w:lang w:val="nl-NL"/>
        </w:rPr>
        <w:t xml:space="preserve">Resolutie 1373 van de Veiligheidsraad van 28 september 2001 en het Gemeenschappelijk Standpunt van de Raad van de Europese Unie van 27 december 2001 (2001/930/GBVB)  inzake terrorismebestrijding op basis waarvan personen of organisaties op nationale terrorismelijsten kunnen worden geplaatst. De plaatsing van personen of organisaties op nationale terrorismelijsten kan aan de orde komen als de persoon of organisatie </w:t>
      </w:r>
      <w:bookmarkStart w:id="10" w:name="_Hlk197350249"/>
      <w:r w:rsidRPr="00340A62">
        <w:rPr>
          <w:rFonts w:ascii="Palatino Linotype" w:eastAsia="Palatino Linotype" w:hAnsi="Palatino Linotype" w:cs="Palatino Linotype"/>
          <w:snapToGrid/>
          <w:sz w:val="22"/>
          <w:szCs w:val="22"/>
          <w:lang w:val="nl-NL"/>
        </w:rPr>
        <w:t xml:space="preserve">als dader of facilitator niet voorkomt op de VN-lijst, maar wel betrokken is bij terroristische activiteiten en op grond van nationaliteit, woonplaats/vestigingsplaats of activiteiten </w:t>
      </w:r>
      <w:bookmarkEnd w:id="10"/>
      <w:r w:rsidRPr="00340A62">
        <w:rPr>
          <w:rFonts w:ascii="Palatino Linotype" w:eastAsia="Palatino Linotype" w:hAnsi="Palatino Linotype" w:cs="Palatino Linotype"/>
          <w:snapToGrid/>
          <w:sz w:val="22"/>
          <w:szCs w:val="22"/>
          <w:lang w:val="nl-NL"/>
        </w:rPr>
        <w:t xml:space="preserve">banden heeft met Curaçao. Een aanwijzing brengt mee dat betrokkenen - behoudens ontheffing - geen financiële transacties mogen verrichten en dat aan hen geen middelen ter beschikking mogen worden gesteld.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Conform </w:t>
      </w:r>
      <w:r w:rsidRPr="00340A62">
        <w:rPr>
          <w:rFonts w:ascii="Palatino Linotype" w:hAnsi="Palatino Linotype"/>
          <w:snapToGrid/>
          <w:sz w:val="22"/>
          <w:szCs w:val="22"/>
          <w:lang w:val="nl-NL"/>
        </w:rPr>
        <w:t xml:space="preserve">de Beschikking aanwijzing personen en organisaties van de 8 juli 2016 bestaat </w:t>
      </w:r>
      <w:r w:rsidRPr="00340A62">
        <w:rPr>
          <w:rFonts w:ascii="Palatino Linotype" w:eastAsia="Palatino Linotype" w:hAnsi="Palatino Linotype" w:cs="Palatino Linotype"/>
          <w:snapToGrid/>
          <w:sz w:val="22"/>
          <w:szCs w:val="22"/>
          <w:lang w:val="nl-NL"/>
        </w:rPr>
        <w:t>de commissie uit de volgende leden:</w:t>
      </w:r>
    </w:p>
    <w:p w:rsidR="00340A62" w:rsidRPr="00340A62" w:rsidRDefault="00340A62" w:rsidP="00340A62">
      <w:pPr>
        <w:widowControl/>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a.   de Procureur-Generaal, tevens voorzitter;</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lastRenderedPageBreak/>
        <w:t>b.   het hoofd van de Financial Intelligence Unit;</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c.   de Korpschef van het Korps Politie Curaçao;</w:t>
      </w:r>
    </w:p>
    <w:p w:rsidR="00340A62" w:rsidRPr="00340A62" w:rsidRDefault="00340A62" w:rsidP="00340A62">
      <w:pPr>
        <w:widowControl/>
        <w:tabs>
          <w:tab w:val="left" w:pos="360"/>
          <w:tab w:val="left" w:pos="1080"/>
        </w:tabs>
        <w:contextualSpacing/>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d.  het hoofd van de Veiligheidsdienst Curaçao;</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e.   het hoofd Douane</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In het op 20</w:t>
      </w:r>
      <w:r w:rsidRPr="00340A62">
        <w:rPr>
          <w:rFonts w:ascii="Palatino Linotype" w:eastAsia="Palatino Linotype" w:hAnsi="Palatino Linotype" w:cs="Palatino Linotype"/>
          <w:snapToGrid/>
          <w:sz w:val="22"/>
          <w:szCs w:val="22"/>
          <w:vertAlign w:val="superscript"/>
          <w:lang w:val="nl-NL"/>
        </w:rPr>
        <w:t>ste</w:t>
      </w:r>
      <w:r w:rsidRPr="00340A62">
        <w:rPr>
          <w:rFonts w:ascii="Palatino Linotype" w:eastAsia="Palatino Linotype" w:hAnsi="Palatino Linotype" w:cs="Palatino Linotype"/>
          <w:snapToGrid/>
          <w:sz w:val="22"/>
          <w:szCs w:val="22"/>
          <w:lang w:val="nl-NL"/>
        </w:rPr>
        <w:t xml:space="preserve"> mei 2025 vastgestelde Omnibus-Sanctielandsbesluit is per abuis nagelaten om het hoofd van de Veiligheidsdienst Curaçao als lid op te nemen. Dit is nimmer de bedoeling van de wetgever geweest. Op deze plaatst wordt die fout gecorrigeerd. </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r w:rsidRPr="00340A62">
        <w:rPr>
          <w:rFonts w:ascii="Palatino Linotype" w:eastAsia="Palatino Linotype" w:hAnsi="Palatino Linotype" w:cs="Palatino Linotype"/>
          <w:snapToGrid/>
          <w:sz w:val="22"/>
          <w:szCs w:val="22"/>
          <w:lang w:val="nl-NL"/>
        </w:rPr>
        <w:t xml:space="preserve">In de praktijk is gebleken dat een uitbreiding van het aantal leden van de commissie wenselijk is. Voorgesteld wordt om de Directie Buitenlandse Betrekkingen en de </w:t>
      </w:r>
      <w:bookmarkStart w:id="11" w:name="_Hlk214881101"/>
      <w:r w:rsidRPr="00340A62">
        <w:rPr>
          <w:rFonts w:ascii="Palatino Linotype" w:eastAsia="Palatino Linotype" w:hAnsi="Palatino Linotype" w:cs="Palatino Linotype"/>
          <w:snapToGrid/>
          <w:sz w:val="22"/>
          <w:szCs w:val="22"/>
          <w:lang w:val="nl-NL"/>
        </w:rPr>
        <w:t>Directie Wetgeving en Juridische Zaken</w:t>
      </w:r>
      <w:bookmarkEnd w:id="11"/>
      <w:r w:rsidRPr="00340A62">
        <w:rPr>
          <w:rFonts w:ascii="Palatino Linotype" w:eastAsia="Palatino Linotype" w:hAnsi="Palatino Linotype" w:cs="Palatino Linotype"/>
          <w:snapToGrid/>
          <w:sz w:val="22"/>
          <w:szCs w:val="22"/>
          <w:lang w:val="nl-NL"/>
        </w:rPr>
        <w:t xml:space="preserve"> lid van de commissie te maken. Directie Wetgeving en Juridische Zaken kan de commissieleden juridisch ondersteunen, terwijl de Directie Buitenlandse Betrekkingen de schakel vormt tussen nationale en internationale stakeholders in deze. Immers d</w:t>
      </w:r>
      <w:r w:rsidRPr="00340A62">
        <w:rPr>
          <w:rFonts w:ascii="Palatino Linotype" w:hAnsi="Palatino Linotype" w:cs="Tahoma"/>
          <w:snapToGrid/>
          <w:color w:val="333333"/>
          <w:sz w:val="22"/>
          <w:szCs w:val="22"/>
          <w:shd w:val="clear" w:color="auto" w:fill="FFFFFF"/>
          <w:lang w:val="nl-NL"/>
        </w:rPr>
        <w:t>e Commissie en de lidstaten, alsmede de Verenigde Naties zijn verplicht elkaar op de hoogte te stellen van de krachtens de verschillende Europese verordeningen getroffen maatregelen en andere in verband met die verordeningen tot hun beschikking staande relevante informatie. De Directie Buitenlandse Betrekkingen heeft hierin een belangrijke rol.</w:t>
      </w:r>
    </w:p>
    <w:p w:rsidR="00340A62" w:rsidRPr="00340A62" w:rsidRDefault="00340A62" w:rsidP="00340A62">
      <w:pPr>
        <w:widowControl/>
        <w:jc w:val="both"/>
        <w:rPr>
          <w:rFonts w:ascii="Palatino Linotype" w:eastAsia="Palatino Linotype" w:hAnsi="Palatino Linotype" w:cs="Palatino Linotype"/>
          <w:snapToGrid/>
          <w:sz w:val="22"/>
          <w:szCs w:val="22"/>
          <w:lang w:val="nl-NL"/>
        </w:rPr>
      </w:pPr>
    </w:p>
    <w:p w:rsidR="00340A62" w:rsidRPr="00340A62" w:rsidRDefault="00340A62" w:rsidP="00DE4AE5">
      <w:pPr>
        <w:widowControl/>
        <w:spacing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Personen, groepen en entiteiten die aangewezen kunnen worden zijn personen, groepen en entiteiten die betrokken zijn bij terroristische daden. Hieronder wordt verstaan: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 personen die terroristische daden plegen of pogen te plegen, of daaraan deelnemen dan wel het plegen van deze daden vergemakkelijken;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 groepen en entiteiten die eigendom zijn van, dan wel rechtstreeks of onrechtstreeks door deze personen worden gecontroleerd; en personen, groepen en entiteiten die handelen namens of onder leiding van deze personen of entiteiten, met inbegrip van tegoeden verkregen uit of opgebracht door goederen die eigendom zijn van, dan wel rechtstreeks of onrechtstreeks gecontroleerd worden door deze personen en met hen verbonden personen, groepen en entiteiten.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Onder terroristische daad wordt verstaan: een opzettelijke handeling die naar aard of context een land of een organisatie ernstig kan schaden en die overeenkomstig het nationale recht als strafbaar feit is gedefinieerd, wanneer de daad gepleegd wordt met het doel:</w:t>
      </w:r>
    </w:p>
    <w:p w:rsidR="00340A62" w:rsidRPr="00340A62" w:rsidRDefault="00340A62" w:rsidP="00340A62">
      <w:pPr>
        <w:widowControl/>
        <w:tabs>
          <w:tab w:val="left" w:pos="0"/>
        </w:tabs>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 een bevolking ernstig te intimideren, of</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ii) overheden dan wel een internationale organisatie op onrechtmatige wijze te verplichten een bepaalde handeling te verrichten of zich daarvan te onthouden, dan wel</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iii) de politieke, constitutionele, economische of sociale basisstructuren van een land of van een internationale organisatie ernstig te destabiliseren of te vernietigen:</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a) aanslag op het leven van een persoon, met mogelijk een dodelijke afloop;</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b) ernstige schending van de fysieke integriteit van één persoon;</w:t>
      </w:r>
    </w:p>
    <w:p w:rsidR="00340A62" w:rsidRPr="00340A62" w:rsidRDefault="00340A62" w:rsidP="00340A62">
      <w:pPr>
        <w:widowControl/>
        <w:spacing w:before="150" w:after="150"/>
        <w:ind w:left="225" w:right="45" w:hanging="22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lastRenderedPageBreak/>
        <w:t>c) ontvoering of gijzeling;</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d) het veroorzaken van vergaande verwoesting van overheids- en openbare voorzieningen, vervoersystemen of infrastructurele voorzieningen, met inbegrip van informaticasystemen, een vast platform op het continentaal plat, openbare plaatsen of privé-terreinen, met als mogelijk resultaat dat mensenlevens in gevaar worden gebracht of aanzienlijke economische schade wordt aangericht;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e) het kapen van vlieg- en vaartuigen, van andere middelen van personen- of goederenvervoer;</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f) vervaardiging, bezit, verwerving, vervoer, levering of gebruik van vuurwapens, springstoffen, kernwapens, biologische en chemische wapens, alsook onderzoek en ontwikkeling met betrekking tot biologische en chemische wapens;</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g) het laten ontsnappen van gevaarlijke stoffen of het veroorzaken van branden, overstromingen of ontploffingen, met als gevolg dat mensenlevens in gevaar worden gebracht;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h) het verstoren of onderbreken van de toevoer van water, stroom of andere essentiële natuurlijke hulpbronnen, met als gevolg dat mensenlevens in gevaar worden gebracht;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 het dreigen met een van de onder a) tot en met h) genoemde gedragingen;</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j) leiding geven aan een terroristische groepering;</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k) het deelnemen aan de activiteiten van een terroristische groepering, ook door aan deze groepering informatie of materiële middelen te leveren of door enigerlei vorm van financiering van de activiteiten van de groepering, in de wetenschap dat met deze deelname aan de criminele activiteiten van de groepering wordt meegewerkt.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Onder terroristische groepering wordt verstaan een sinds enige tijd bestaande, gestructureerde vereniging van meer dan twee personen die in overleg optreden om strafbare feiten van terroristische aard te plegen. Onder "gestructureerde vereniging" wordt verstaan een vereniging die niet toevallig tot stand is gekomen met het oog op een onverwijld te plegen terroristische daad en waarbij niet noodzakelijkerwijs sprake is van formeel afgebakende taken van de leden, noch van continuïteit in de samenstelling of een ontwikkelde structuur.</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Het aanwijzen van personen, groepen of entiteiten dient te geschieden aan de hand van welbepaalde inlichtingen of dossierelementen die aantonen dat door een bevoegde instantie een beslissing is genomen ten aanzien van de bedoelde personen, groepen of entiteiten, ongeacht of het gaat om de inleiding van een onderzoek of een vervolging wegens een terroristische daad, poging tot het plegen van een dergelijke daad, of de deelname aan of het vergemakkelijken van een dergelijke daad, op grond van bewijzen of serieuze en geloofwaardige aanwijzingen, dan wel om een veroordeling wegens dergelijke feiten. Personen, groepen en entiteiten die de Veiligheidsraad van de Verenigde Naties in verband heeft gebracht met terrorisme en waartegen deze sancties heeft gelast, kunnen op de lijst worden geplaatst.</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lastRenderedPageBreak/>
        <w:t>Een "bevoegde instantie" is steeds een rechterlijke instantie of, indien rechterlijke instanties geen bevoegdheid bezitten, een gelijkwaardige op dat terrein bevoegde instantie.</w:t>
      </w:r>
    </w:p>
    <w:p w:rsidR="00340A62" w:rsidRPr="00340A62" w:rsidRDefault="00340A62" w:rsidP="00340A62">
      <w:pPr>
        <w:widowControl/>
        <w:spacing w:before="150" w:after="150"/>
        <w:ind w:right="45"/>
        <w:jc w:val="both"/>
        <w:rPr>
          <w:rFonts w:ascii="Palatino Linotype" w:hAnsi="Palatino Linotype" w:cs="Tahoma"/>
          <w:b/>
          <w:snapToGrid/>
          <w:color w:val="000000"/>
          <w:sz w:val="22"/>
          <w:szCs w:val="22"/>
          <w:lang w:val="pap-029" w:eastAsia="pap-029"/>
        </w:rPr>
      </w:pPr>
      <w:r w:rsidRPr="00340A62">
        <w:rPr>
          <w:rFonts w:ascii="Palatino Linotype" w:hAnsi="Palatino Linotype" w:cs="Tahoma"/>
          <w:b/>
          <w:snapToGrid/>
          <w:color w:val="000000"/>
          <w:sz w:val="22"/>
          <w:szCs w:val="22"/>
          <w:lang w:val="pap-029" w:eastAsia="pap-029"/>
        </w:rPr>
        <w:t>Artikel II</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r w:rsidRPr="00340A62">
        <w:rPr>
          <w:rFonts w:ascii="Palatino Linotype" w:hAnsi="Palatino Linotype" w:cs="Tahoma"/>
          <w:snapToGrid/>
          <w:color w:val="000000"/>
          <w:sz w:val="22"/>
          <w:szCs w:val="22"/>
          <w:lang w:val="pap-029" w:eastAsia="pap-029"/>
        </w:rPr>
        <w:t>In de Mutual Evaluation Report van Curaçao van July 2025</w:t>
      </w:r>
      <w:r w:rsidRPr="00340A62">
        <w:rPr>
          <w:rFonts w:ascii="Palatino Linotype" w:hAnsi="Palatino Linotype" w:cs="Tahoma"/>
          <w:snapToGrid/>
          <w:color w:val="000000"/>
          <w:sz w:val="22"/>
          <w:szCs w:val="22"/>
          <w:vertAlign w:val="superscript"/>
          <w:lang w:val="pap-029" w:eastAsia="pap-029"/>
        </w:rPr>
        <w:footnoteReference w:id="39"/>
      </w:r>
      <w:r w:rsidRPr="00340A62">
        <w:rPr>
          <w:rFonts w:ascii="Palatino Linotype" w:hAnsi="Palatino Linotype" w:cs="Tahoma"/>
          <w:snapToGrid/>
          <w:color w:val="000000"/>
          <w:sz w:val="22"/>
          <w:szCs w:val="22"/>
          <w:lang w:val="pap-029" w:eastAsia="pap-029"/>
        </w:rPr>
        <w:t xml:space="preserve"> is te lezen in welke mate Curaçao de FATF-aanbevelingen effectief implementeert. De Commissie aanwijzing personen en organisaties maakt onderdeel uit van de maatregelen die Curaçao heeft genomen om te voldoen aan de aanbevelingen. </w:t>
      </w:r>
      <w:r w:rsidRPr="00340A62">
        <w:rPr>
          <w:rFonts w:ascii="Palatino Linotype" w:hAnsi="Palatino Linotype"/>
          <w:snapToGrid/>
          <w:sz w:val="22"/>
          <w:szCs w:val="22"/>
          <w:lang w:val="pap-029" w:eastAsia="pap-029"/>
        </w:rPr>
        <w:t>De betrokken actoren binnen de Commissie hebben reeds overleg gevoerd over de noodzakelijke procedures, de werkwijze van de Commissie en overige relevante aangelegenheden, teneinde de Commissie in staat te stellen haar taken naar behoren te vervullen.</w:t>
      </w:r>
    </w:p>
    <w:p w:rsidR="00340A62" w:rsidRPr="00340A62" w:rsidRDefault="00340A62" w:rsidP="00340A62">
      <w:pPr>
        <w:widowControl/>
        <w:spacing w:before="150" w:after="150"/>
        <w:ind w:right="45"/>
        <w:jc w:val="both"/>
        <w:rPr>
          <w:rFonts w:ascii="Palatino Linotype" w:hAnsi="Palatino Linotype"/>
          <w:snapToGrid/>
          <w:sz w:val="22"/>
          <w:szCs w:val="22"/>
          <w:lang w:val="pap-029" w:eastAsia="pap-029"/>
        </w:rPr>
      </w:pPr>
      <w:r w:rsidRPr="00340A62">
        <w:rPr>
          <w:rFonts w:ascii="Palatino Linotype" w:hAnsi="Palatino Linotype" w:cs="Tahoma"/>
          <w:snapToGrid/>
          <w:color w:val="000000"/>
          <w:sz w:val="22"/>
          <w:szCs w:val="22"/>
          <w:lang w:val="pap-029" w:eastAsia="pap-029"/>
        </w:rPr>
        <w:t>Vanwege de gevoelige informatie die gedeeld kan worden in de Commissie aanwijzing personen en organisatie, wordt wettelijk bepaald dat de leden van de Commissie ook een veiligheidsonderzoek als bedoeld in de Landsverordening Veiligheidsdienst Curacao</w:t>
      </w:r>
      <w:r w:rsidRPr="00340A62">
        <w:rPr>
          <w:rFonts w:ascii="Palatino Linotype" w:hAnsi="Palatino Linotype" w:cs="Tahoma"/>
          <w:snapToGrid/>
          <w:color w:val="000000"/>
          <w:sz w:val="22"/>
          <w:szCs w:val="22"/>
          <w:vertAlign w:val="superscript"/>
          <w:lang w:val="pap-029" w:eastAsia="pap-029"/>
        </w:rPr>
        <w:footnoteReference w:id="40"/>
      </w:r>
      <w:r w:rsidRPr="00340A62">
        <w:rPr>
          <w:rFonts w:ascii="Palatino Linotype" w:hAnsi="Palatino Linotype" w:cs="Tahoma"/>
          <w:snapToGrid/>
          <w:color w:val="000000"/>
          <w:sz w:val="22"/>
          <w:szCs w:val="22"/>
          <w:lang w:val="pap-029" w:eastAsia="pap-029"/>
        </w:rPr>
        <w:t xml:space="preserve"> dienen te ondergaan. Daartoe wordt het </w:t>
      </w:r>
      <w:r w:rsidRPr="00340A62">
        <w:rPr>
          <w:rFonts w:ascii="Palatino Linotype" w:hAnsi="Palatino Linotype"/>
          <w:snapToGrid/>
          <w:sz w:val="22"/>
          <w:szCs w:val="22"/>
          <w:lang w:val="pap-029" w:eastAsia="pap-029"/>
        </w:rPr>
        <w:t xml:space="preserve">Landsbesluit aanwijzing vertrouwensfuncties en veiligheidsonderzoeken aangepast. Deze wijziging treedt in werking op een bij landsbesluit te bepalen tijdstip. </w:t>
      </w:r>
    </w:p>
    <w:p w:rsidR="00340A62" w:rsidRPr="00340A62" w:rsidRDefault="00340A62" w:rsidP="00340A62">
      <w:pPr>
        <w:widowControl/>
        <w:spacing w:before="150" w:after="150"/>
        <w:ind w:right="45"/>
        <w:jc w:val="both"/>
        <w:rPr>
          <w:rFonts w:ascii="Palatino Linotype" w:hAnsi="Palatino Linotype"/>
          <w:snapToGrid/>
          <w:sz w:val="22"/>
          <w:szCs w:val="22"/>
          <w:lang w:val="pap-029" w:eastAsia="pap-029"/>
        </w:rPr>
      </w:pPr>
      <w:r w:rsidRPr="00340A62">
        <w:rPr>
          <w:rFonts w:ascii="Palatino Linotype" w:hAnsi="Palatino Linotype"/>
          <w:snapToGrid/>
          <w:sz w:val="22"/>
          <w:szCs w:val="22"/>
          <w:lang w:val="pap-029" w:eastAsia="pap-029"/>
        </w:rPr>
        <w:t xml:space="preserve">Tot die tijd wordt door de Veiligheidsdienst Curaçao andere instrumenten toegepast om de vertrouwelijkheid en integriteit van de Commissie te waarborgen. Daarnaast bestaat de Commissie uit leden die reeds een veiligheidsonderzoek hebben ondergaan. </w:t>
      </w:r>
    </w:p>
    <w:p w:rsidR="00340A62" w:rsidRPr="00340A62" w:rsidRDefault="00340A62" w:rsidP="00340A62">
      <w:pPr>
        <w:widowControl/>
        <w:spacing w:before="150" w:after="150"/>
        <w:ind w:right="45"/>
        <w:jc w:val="both"/>
        <w:rPr>
          <w:rFonts w:ascii="Palatino Linotype" w:hAnsi="Palatino Linotype" w:cs="Tahoma"/>
          <w:snapToGrid/>
          <w:color w:val="000000"/>
          <w:sz w:val="22"/>
          <w:szCs w:val="22"/>
          <w:lang w:val="pap-029" w:eastAsia="pap-029"/>
        </w:rPr>
      </w:pPr>
    </w:p>
    <w:p w:rsidR="00340A62" w:rsidRPr="00340A62" w:rsidRDefault="00340A62" w:rsidP="00340A62">
      <w:pPr>
        <w:widowControl/>
        <w:ind w:left="5103" w:firstLine="27"/>
        <w:rPr>
          <w:rFonts w:ascii="Palatino Linotype" w:hAnsi="Palatino Linotype"/>
          <w:snapToGrid/>
          <w:sz w:val="22"/>
          <w:szCs w:val="22"/>
          <w:lang w:val="nl-NL"/>
        </w:rPr>
      </w:pPr>
    </w:p>
    <w:p w:rsidR="008D5E2E" w:rsidRDefault="00340A62" w:rsidP="00A35415">
      <w:pPr>
        <w:autoSpaceDE w:val="0"/>
        <w:autoSpaceDN w:val="0"/>
        <w:adjustRightInd w:val="0"/>
        <w:ind w:left="5940"/>
        <w:rPr>
          <w:rFonts w:ascii="Palatino Linotype" w:hAnsi="Palatino Linotype"/>
          <w:snapToGrid/>
          <w:sz w:val="22"/>
          <w:szCs w:val="22"/>
          <w:lang w:val="nl-NL"/>
        </w:rPr>
      </w:pPr>
      <w:r w:rsidRPr="00340A62">
        <w:rPr>
          <w:rFonts w:ascii="Palatino Linotype" w:hAnsi="Palatino Linotype"/>
          <w:snapToGrid/>
          <w:sz w:val="22"/>
          <w:szCs w:val="22"/>
          <w:lang w:val="nl-NL"/>
        </w:rPr>
        <w:t>De Minister van Algemene Zaken,</w:t>
      </w:r>
    </w:p>
    <w:p w:rsidR="00A35415" w:rsidRPr="00340A62" w:rsidRDefault="00A35415" w:rsidP="00A35415">
      <w:pPr>
        <w:autoSpaceDE w:val="0"/>
        <w:autoSpaceDN w:val="0"/>
        <w:adjustRightInd w:val="0"/>
        <w:ind w:left="5940"/>
        <w:jc w:val="center"/>
        <w:rPr>
          <w:rFonts w:ascii="Palatino Linotype" w:hAnsi="Palatino Linotype" w:cs="Arial"/>
          <w:snapToGrid/>
          <w:sz w:val="22"/>
          <w:szCs w:val="22"/>
          <w:lang w:val="nl-NL"/>
        </w:rPr>
      </w:pPr>
      <w:r w:rsidRPr="00A35415">
        <w:rPr>
          <w:rFonts w:ascii="Palatino Linotype" w:hAnsi="Palatino Linotype" w:cs="Arial"/>
          <w:snapToGrid/>
          <w:sz w:val="22"/>
          <w:szCs w:val="22"/>
          <w:lang w:val="nl-NL"/>
        </w:rPr>
        <w:t>G.S. PISAS</w:t>
      </w:r>
    </w:p>
    <w:p w:rsidR="00022D76" w:rsidRDefault="00022D76" w:rsidP="00022D76">
      <w:pPr>
        <w:autoSpaceDE w:val="0"/>
        <w:autoSpaceDN w:val="0"/>
        <w:adjustRightInd w:val="0"/>
        <w:rPr>
          <w:rFonts w:ascii="Palatino Linotype" w:hAnsi="Palatino Linotype" w:cs="Arial"/>
          <w:b/>
          <w:sz w:val="20"/>
          <w:lang w:val="nl-NL"/>
        </w:rPr>
      </w:pPr>
    </w:p>
    <w:sectPr w:rsidR="00022D76">
      <w:headerReference w:type="even" r:id="rId19"/>
      <w:headerReference w:type="default" r:id="rId20"/>
      <w:footerReference w:type="first" r:id="rId21"/>
      <w:endnotePr>
        <w:numFmt w:val="decimal"/>
      </w:endnotePr>
      <w:type w:val="continuous"/>
      <w:pgSz w:w="11906" w:h="16838"/>
      <w:pgMar w:top="1962" w:right="1298" w:bottom="958" w:left="1298" w:header="1440" w:footer="958"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0A62" w:rsidRDefault="00340A62">
      <w:pPr>
        <w:spacing w:line="20" w:lineRule="exact"/>
      </w:pPr>
    </w:p>
  </w:endnote>
  <w:endnote w:type="continuationSeparator" w:id="0">
    <w:p w:rsidR="00340A62" w:rsidRDefault="00340A62">
      <w:r>
        <w:t xml:space="preserve"> </w:t>
      </w:r>
    </w:p>
  </w:endnote>
  <w:endnote w:type="continuationNotice" w:id="1">
    <w:p w:rsidR="00340A62" w:rsidRDefault="00340A62">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196C" w:rsidRDefault="002B196C" w:rsidP="00403464">
    <w:pPr>
      <w:pStyle w:val="Footer"/>
      <w:jc w:val="center"/>
      <w:rPr>
        <w:rFonts w:ascii="Palatino Linotype" w:hAnsi="Palatino Linotype"/>
        <w:lang w:val="nl-NL"/>
      </w:rPr>
    </w:pPr>
  </w:p>
  <w:p w:rsidR="00403464" w:rsidRPr="00403464" w:rsidRDefault="00403464" w:rsidP="00403464">
    <w:pPr>
      <w:pStyle w:val="Footer"/>
      <w:jc w:val="center"/>
      <w:rPr>
        <w:rFonts w:ascii="Palatino Linotype" w:hAnsi="Palatino Linotype"/>
        <w:sz w:val="22"/>
        <w:lang w:val="nl-NL"/>
      </w:rPr>
    </w:pPr>
    <w:r w:rsidRPr="00403464">
      <w:rPr>
        <w:rFonts w:ascii="Palatino Linotype" w:hAnsi="Palatino Linotype"/>
        <w:lang w:val="nl-NL"/>
      </w:rPr>
      <w:t xml:space="preserve">Het nader rapport is bekendgemaakt in de Landscourant editie </w:t>
    </w:r>
    <w:r w:rsidR="002B196C">
      <w:rPr>
        <w:rFonts w:ascii="Palatino Linotype" w:hAnsi="Palatino Linotype"/>
        <w:lang w:val="nl-NL"/>
      </w:rPr>
      <w:t>29</w:t>
    </w:r>
    <w:r w:rsidRPr="00403464">
      <w:rPr>
        <w:rFonts w:ascii="Palatino Linotype" w:hAnsi="Palatino Linotype"/>
        <w:lang w:val="nl-NL"/>
      </w:rPr>
      <w:t>, jaargang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0A62" w:rsidRDefault="00340A62">
      <w:r>
        <w:separator/>
      </w:r>
    </w:p>
  </w:footnote>
  <w:footnote w:type="continuationSeparator" w:id="0">
    <w:p w:rsidR="00340A62" w:rsidRDefault="00340A62">
      <w:r>
        <w:continuationSeparator/>
      </w:r>
    </w:p>
  </w:footnote>
  <w:footnote w:id="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2025, no.52.</w:t>
      </w:r>
    </w:p>
  </w:footnote>
  <w:footnote w:id="2">
    <w:p w:rsidR="00340A62" w:rsidRPr="00340A62"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2014, no. 21, zoals laatstelijk gewijzigd bij P.B. 2022, no. 3.</w:t>
      </w:r>
    </w:p>
  </w:footnote>
  <w:footnote w:id="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http://data.europa.eu/eli/dec/2011/486/oj</w:t>
        </w:r>
      </w:hyperlink>
    </w:p>
  </w:footnote>
  <w:footnote w:id="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http://data.europa.eu/eli/reg/2011/753/oj</w:t>
        </w:r>
      </w:hyperlink>
    </w:p>
  </w:footnote>
  <w:footnote w:id="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http://data.europa.eu/eli/dec/2016/1693/oj</w:t>
        </w:r>
      </w:hyperlink>
    </w:p>
  </w:footnote>
  <w:footnote w:id="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4" w:history="1">
        <w:r w:rsidRPr="00340A62">
          <w:rPr>
            <w:rStyle w:val="Hyperlink"/>
            <w:rFonts w:ascii="Palatino Linotype" w:hAnsi="Palatino Linotype" w:cs="Segoe UI"/>
            <w:sz w:val="18"/>
            <w:szCs w:val="18"/>
            <w:shd w:val="clear" w:color="auto" w:fill="FFFFFF"/>
            <w:lang w:val="nl-NL"/>
          </w:rPr>
          <w:t>http://data.europa.eu/eli/reg/2011/588/oj</w:t>
        </w:r>
      </w:hyperlink>
    </w:p>
  </w:footnote>
  <w:footnote w:id="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5"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http://data.europa.eu/eli/reg/2013/401/oj</w:t>
        </w:r>
      </w:hyperlink>
    </w:p>
  </w:footnote>
  <w:footnote w:id="8">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6"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http://data.europa.eu/eli/dec/2013/798/oj</w:t>
        </w:r>
      </w:hyperlink>
    </w:p>
  </w:footnote>
  <w:footnote w:id="9">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https://www.consilium.europa.eu/media/20589/1989_june_-_madrid__eng_.pdf</w:t>
      </w:r>
    </w:p>
  </w:footnote>
  <w:footnote w:id="10">
    <w:p w:rsidR="00340A62" w:rsidRPr="001A36AE"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7"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http://data.europa.eu/eli/reg/2003/1727/oj</w:t>
        </w:r>
      </w:hyperlink>
    </w:p>
  </w:footnote>
  <w:footnote w:id="1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hyperlink r:id="rId8"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http://data.europa.eu/eli/reg/2003/1727/oj</w:t>
        </w:r>
      </w:hyperlink>
    </w:p>
  </w:footnote>
  <w:footnote w:id="12">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9"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http://data.europa.eu/eli/dec/2010/413/oj</w:t>
        </w:r>
      </w:hyperlink>
    </w:p>
  </w:footnote>
  <w:footnote w:id="1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0"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http://data.europa.eu/eli/dec/2015/882/oj</w:t>
        </w:r>
      </w:hyperlink>
    </w:p>
  </w:footnote>
  <w:footnote w:id="1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http://data.europa.eu/eli/dec/2016/849/oj</w:t>
        </w:r>
      </w:hyperlink>
    </w:p>
  </w:footnote>
  <w:footnote w:id="1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http://data.europa.eu/eli/reg/2017/1509/oj</w:t>
        </w:r>
      </w:hyperlink>
    </w:p>
  </w:footnote>
  <w:footnote w:id="1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http://data.europa.eu/eli/reg/2021/1275/oj</w:t>
        </w:r>
      </w:hyperlink>
    </w:p>
  </w:footnote>
  <w:footnote w:id="1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4"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http://data.europa.eu/eli/reg/2006/1412/oj</w:t>
        </w:r>
      </w:hyperlink>
    </w:p>
  </w:footnote>
  <w:footnote w:id="18">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5"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http://data.europa.eu/eli/reg/2016/44/oj</w:t>
        </w:r>
      </w:hyperlink>
    </w:p>
  </w:footnote>
  <w:footnote w:id="19">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6"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http://data.europa.eu/eli/reg/2016/44/oj</w:t>
        </w:r>
      </w:hyperlink>
    </w:p>
  </w:footnote>
  <w:footnote w:id="20">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r w:rsidRPr="00340A62">
        <w:rPr>
          <w:rFonts w:ascii="Palatino Linotype" w:hAnsi="Palatino Linotype" w:cs="Segoe UI"/>
          <w:color w:val="333333"/>
          <w:sz w:val="18"/>
          <w:szCs w:val="18"/>
          <w:shd w:val="clear" w:color="auto" w:fill="FFFFFF"/>
          <w:lang w:val="nl-NL"/>
        </w:rPr>
        <w:t> </w:t>
      </w:r>
      <w:hyperlink r:id="rId17"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http://data.europa.eu/eli/reg/2014/833/oj</w:t>
        </w:r>
      </w:hyperlink>
    </w:p>
  </w:footnote>
  <w:footnote w:id="21">
    <w:p w:rsidR="00340A62" w:rsidRPr="001A36AE"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8" w:history="1">
        <w:r w:rsidRPr="00340A62">
          <w:rPr>
            <w:rStyle w:val="Hyperlink"/>
            <w:rFonts w:ascii="Palatino Linotype" w:hAnsi="Palatino Linotype" w:cs="Segoe UI"/>
            <w:sz w:val="18"/>
            <w:szCs w:val="18"/>
            <w:shd w:val="clear" w:color="auto" w:fill="FFFFFF"/>
            <w:lang w:val="nl-NL"/>
          </w:rPr>
          <w:t>http://data.europa.eu/eli/dec/2014/512/oj</w:t>
        </w:r>
      </w:hyperlink>
      <w:r w:rsidRPr="001A36AE">
        <w:rPr>
          <w:rFonts w:ascii="Palatino Linotype" w:hAnsi="Palatino Linotype"/>
          <w:lang w:val="nl-NL"/>
        </w:rPr>
        <w:t xml:space="preserve"> </w:t>
      </w:r>
    </w:p>
  </w:footnote>
  <w:footnote w:id="22">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19" w:history="1">
        <w:r w:rsidRPr="00340A62">
          <w:rPr>
            <w:rStyle w:val="Hyperlink"/>
            <w:rFonts w:ascii="Palatino Linotype" w:hAnsi="Palatino Linotype" w:cs="Segoe UI"/>
            <w:sz w:val="18"/>
            <w:szCs w:val="18"/>
            <w:shd w:val="clear" w:color="auto" w:fill="FFFFFF"/>
            <w:lang w:val="nl-NL"/>
          </w:rPr>
          <w:t>http://data.europa.eu/eli/dec/2014/450/oj</w:t>
        </w:r>
      </w:hyperlink>
    </w:p>
  </w:footnote>
  <w:footnote w:id="23">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0"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http://data.europa.eu/eli/reg/2003/147/oj</w:t>
        </w:r>
      </w:hyperlink>
    </w:p>
  </w:footnote>
  <w:footnote w:id="24">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1"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http://data.europa.eu/eli/dec/2010/231/oj</w:t>
        </w:r>
      </w:hyperlink>
    </w:p>
  </w:footnote>
  <w:footnote w:id="25">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2"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http://data.europa.eu/eli/dec/2013/255/oj</w:t>
        </w:r>
      </w:hyperlink>
    </w:p>
  </w:footnote>
  <w:footnote w:id="2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3"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http://data.europa.eu/eli/reg/2012/36/oj</w:t>
        </w:r>
      </w:hyperlink>
    </w:p>
  </w:footnote>
  <w:footnote w:id="2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hyperlink r:id="rId24" w:tooltip="Gives access to this document through its ELI URI." w:history="1">
        <w:r w:rsidRPr="00340A62">
          <w:rPr>
            <w:rFonts w:ascii="Palatino Linotype" w:hAnsi="Palatino Linotype" w:cs="Segoe UI"/>
            <w:color w:val="0E47CB"/>
            <w:sz w:val="18"/>
            <w:szCs w:val="18"/>
            <w:u w:val="single"/>
            <w:shd w:val="clear" w:color="auto" w:fill="FFFFFF"/>
            <w:lang w:val="nl-NL"/>
          </w:rPr>
          <w:t>http://data.europa.eu/eli/dec/2017/2074/2021-02-22</w:t>
        </w:r>
      </w:hyperlink>
    </w:p>
  </w:footnote>
  <w:footnote w:id="28">
    <w:p w:rsidR="00340A62" w:rsidRPr="00340A62" w:rsidRDefault="00340A62" w:rsidP="00340A62">
      <w:pPr>
        <w:pStyle w:val="FootnoteText"/>
        <w:rPr>
          <w:rFonts w:ascii="Palatino Linotype" w:hAnsi="Palatino Linotype"/>
          <w:sz w:val="18"/>
          <w:szCs w:val="18"/>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https://eur-lex.europa.eu/legal-content/NL/TXT/PDF/?uri=CELEX:02011D0101-20240206</w:t>
      </w:r>
    </w:p>
  </w:footnote>
  <w:footnote w:id="29">
    <w:p w:rsidR="00340A62" w:rsidRPr="00340A62" w:rsidRDefault="00340A62" w:rsidP="00340A62">
      <w:pPr>
        <w:pStyle w:val="FootnoteText"/>
        <w:rPr>
          <w:rFonts w:ascii="Palatino Linotype" w:hAnsi="Palatino Linotype"/>
          <w:sz w:val="18"/>
          <w:szCs w:val="18"/>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pap-029"/>
        </w:rPr>
        <w:t xml:space="preserve"> </w:t>
      </w:r>
      <w:hyperlink r:id="rId25" w:tooltip="Gives access to this document through its ELI URI." w:history="1">
        <w:r w:rsidRPr="00340A62">
          <w:rPr>
            <w:rFonts w:ascii="Palatino Linotype" w:hAnsi="Palatino Linotype" w:cs="Segoe UI"/>
            <w:color w:val="0E47CB"/>
            <w:sz w:val="18"/>
            <w:szCs w:val="18"/>
            <w:u w:val="single"/>
            <w:shd w:val="clear" w:color="auto" w:fill="FFFFFF"/>
            <w:lang w:val="pap-029"/>
          </w:rPr>
          <w:t>http://data.europa.eu/eli/reg/2004/314/oj</w:t>
        </w:r>
      </w:hyperlink>
    </w:p>
  </w:footnote>
  <w:footnote w:id="30">
    <w:p w:rsidR="00340A62" w:rsidRPr="009301DF" w:rsidRDefault="00340A62" w:rsidP="00340A62">
      <w:pPr>
        <w:pStyle w:val="FootnoteText"/>
        <w:rPr>
          <w:lang w:val="pap-029"/>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pap-029"/>
        </w:rPr>
        <w:t xml:space="preserve"> </w:t>
      </w:r>
      <w:r w:rsidRPr="00340A62">
        <w:rPr>
          <w:rFonts w:ascii="Palatino Linotype" w:hAnsi="Palatino Linotype" w:cs="Segoe UI"/>
          <w:color w:val="333333"/>
          <w:sz w:val="18"/>
          <w:szCs w:val="18"/>
          <w:shd w:val="clear" w:color="auto" w:fill="FFFFFF"/>
          <w:lang w:val="pap-029"/>
        </w:rPr>
        <w:t> </w:t>
      </w:r>
      <w:hyperlink r:id="rId26" w:tooltip="Gives access to this document through its ELI URI." w:history="1">
        <w:r w:rsidRPr="00340A62">
          <w:rPr>
            <w:rFonts w:ascii="Palatino Linotype" w:hAnsi="Palatino Linotype" w:cs="Segoe UI"/>
            <w:color w:val="0E47CB"/>
            <w:sz w:val="18"/>
            <w:szCs w:val="18"/>
            <w:u w:val="single"/>
            <w:shd w:val="clear" w:color="auto" w:fill="FFFFFF"/>
            <w:lang w:val="pap-029"/>
          </w:rPr>
          <w:t>http://data.europa.eu/eli/reg/2015/735/oj</w:t>
        </w:r>
      </w:hyperlink>
    </w:p>
  </w:footnote>
  <w:footnote w:id="31">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2025, no. 41.</w:t>
      </w:r>
    </w:p>
  </w:footnote>
  <w:footnote w:id="32">
    <w:p w:rsidR="00340A62" w:rsidRPr="00340A62" w:rsidRDefault="00340A62" w:rsidP="00340A62">
      <w:pPr>
        <w:pStyle w:val="FootnoteText"/>
        <w:rPr>
          <w:rFonts w:ascii="Palatino Linotype" w:hAnsi="Palatino Linotype"/>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P.B. 2014, no. 21, zoals laatstelijk gewijzigd bij P.B. 2022, no. 3.</w:t>
      </w:r>
    </w:p>
  </w:footnote>
  <w:footnote w:id="33">
    <w:p w:rsidR="00340A62" w:rsidRPr="00340A62" w:rsidRDefault="00340A62" w:rsidP="00340A62">
      <w:pPr>
        <w:pStyle w:val="NoSpacing"/>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Voor een geldende tekst van die artikelen dient de website van de Europese Unie geraadpleegd te worden, te weten  https://eur-lex.europa.eu/legal-content/EN/TXT/?uri=CELEX%3A02001R2580-20260227</w:t>
      </w:r>
    </w:p>
  </w:footnote>
  <w:footnote w:id="34">
    <w:p w:rsidR="00340A62" w:rsidRPr="00340A62" w:rsidRDefault="00340A62" w:rsidP="00340A62">
      <w:pPr>
        <w:pStyle w:val="FootnoteText"/>
        <w:rPr>
          <w:rFonts w:ascii="Palatino Linotype" w:hAnsi="Palatino Linotype" w:cs="Arial"/>
          <w:sz w:val="18"/>
          <w:szCs w:val="18"/>
          <w:lang w:val="nl-NL"/>
        </w:rPr>
      </w:pPr>
      <w:r w:rsidRPr="00340A62">
        <w:rPr>
          <w:rStyle w:val="FootnoteReference"/>
          <w:rFonts w:ascii="Palatino Linotype" w:hAnsi="Palatino Linotype" w:cs="Arial"/>
          <w:sz w:val="18"/>
          <w:szCs w:val="18"/>
        </w:rPr>
        <w:footnoteRef/>
      </w:r>
      <w:r w:rsidRPr="00340A62">
        <w:rPr>
          <w:rFonts w:ascii="Palatino Linotype" w:hAnsi="Palatino Linotype" w:cs="Arial"/>
          <w:sz w:val="18"/>
          <w:szCs w:val="18"/>
          <w:lang w:val="nl-NL"/>
        </w:rPr>
        <w:t xml:space="preserve"> Verordening (EU) 2025/1472 van de Raad van de Europese Unie van 18 juli 2025 tot wijziging van Verordening (EG) nr. 765/2006 betreffende beperkende maatregelen met het oog op de situatie in Belarus en de betrokkenheid van Belarus bij de Russische agressie tegen Oekraïne (PbEU L 2025/1472).</w:t>
      </w:r>
    </w:p>
  </w:footnote>
  <w:footnote w:id="35">
    <w:p w:rsidR="00340A62" w:rsidRPr="00340A62" w:rsidRDefault="00340A62" w:rsidP="00340A62">
      <w:pPr>
        <w:pStyle w:val="FootnoteText"/>
        <w:rPr>
          <w:rFonts w:ascii="Palatino Linotype" w:hAnsi="Palatino Linotype" w:cs="Arial"/>
          <w:lang w:val="nl-NL"/>
        </w:rPr>
      </w:pPr>
      <w:r w:rsidRPr="00340A62">
        <w:rPr>
          <w:rStyle w:val="FootnoteReference"/>
          <w:rFonts w:ascii="Palatino Linotype" w:hAnsi="Palatino Linotype" w:cs="Arial"/>
          <w:sz w:val="18"/>
          <w:szCs w:val="18"/>
        </w:rPr>
        <w:footnoteRef/>
      </w:r>
      <w:r w:rsidRPr="00340A62">
        <w:rPr>
          <w:rFonts w:ascii="Palatino Linotype" w:hAnsi="Palatino Linotype" w:cs="Arial"/>
          <w:sz w:val="18"/>
          <w:szCs w:val="18"/>
          <w:lang w:val="nl-NL"/>
        </w:rPr>
        <w:t xml:space="preserve"> Besluit (GBVB) 2025/1471 van de Raad van 18 juli 2025 tot wijziging van Besluit 2012/642/GBVB betreffende beperkende maatregelen met het oog op de situatie in Belarus en in het licht van de betrokkenheid van Belarus bij de Russische agressie tegen Oekraïne (PbEU L 2025/1471).</w:t>
      </w:r>
    </w:p>
  </w:footnote>
  <w:footnote w:id="36">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w:t>
      </w:r>
      <w:r w:rsidRPr="00340A62">
        <w:rPr>
          <w:rFonts w:ascii="Palatino Linotype" w:hAnsi="Palatino Linotype" w:cs="Arial"/>
          <w:sz w:val="18"/>
          <w:szCs w:val="18"/>
          <w:lang w:val="nl-NL"/>
        </w:rPr>
        <w:t>Besluit 2011/101/GBVB van de Raad van 15 februari 2011 betreffende beperkende maatregelen in het licht van de situatie in Zimbabwe (Pb EG L 50)</w:t>
      </w:r>
      <w:r w:rsidRPr="00340A62">
        <w:rPr>
          <w:rFonts w:ascii="Palatino Linotype" w:eastAsia="Calibri" w:hAnsi="Palatino Linotype"/>
          <w:sz w:val="18"/>
          <w:szCs w:val="18"/>
          <w:lang w:val="nl-NL"/>
        </w:rPr>
        <w:t>.</w:t>
      </w:r>
    </w:p>
  </w:footnote>
  <w:footnote w:id="37">
    <w:p w:rsidR="00340A62" w:rsidRPr="00340A62" w:rsidRDefault="00340A62" w:rsidP="00340A62">
      <w:pPr>
        <w:pStyle w:val="FootnoteText"/>
        <w:rPr>
          <w:rFonts w:ascii="Palatino Linotype" w:hAnsi="Palatino Linotype"/>
          <w:sz w:val="18"/>
          <w:szCs w:val="18"/>
          <w:lang w:val="nl-NL"/>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nl-NL"/>
        </w:rPr>
        <w:t xml:space="preserve"> https://www.fatf-gafi.org/en/publications/Mutualevaluations/mer-curacao-2025.html.</w:t>
      </w:r>
    </w:p>
  </w:footnote>
  <w:footnote w:id="38">
    <w:p w:rsidR="00340A62" w:rsidRPr="00340A62"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P.B. 2026, no. 1 (GT).</w:t>
      </w:r>
    </w:p>
  </w:footnote>
  <w:footnote w:id="39">
    <w:p w:rsidR="00340A62" w:rsidRPr="00340A62"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https://www.fatf-gafi.org/en/publications/Mutualevaluations/mer-curacao-2025.html</w:t>
      </w:r>
    </w:p>
  </w:footnote>
  <w:footnote w:id="40">
    <w:p w:rsidR="00340A62" w:rsidRPr="00A82FE4" w:rsidRDefault="00340A62" w:rsidP="00340A62">
      <w:pPr>
        <w:pStyle w:val="FootnoteText"/>
        <w:rPr>
          <w:rFonts w:ascii="Palatino Linotype" w:hAnsi="Palatino Linotype"/>
          <w:sz w:val="18"/>
          <w:szCs w:val="18"/>
          <w:lang w:val="es-ES"/>
        </w:rPr>
      </w:pPr>
      <w:r w:rsidRPr="00340A62">
        <w:rPr>
          <w:rStyle w:val="FootnoteReference"/>
          <w:rFonts w:ascii="Palatino Linotype" w:hAnsi="Palatino Linotype"/>
          <w:sz w:val="18"/>
          <w:szCs w:val="18"/>
        </w:rPr>
        <w:footnoteRef/>
      </w:r>
      <w:r w:rsidRPr="00340A62">
        <w:rPr>
          <w:rFonts w:ascii="Palatino Linotype" w:hAnsi="Palatino Linotype"/>
          <w:sz w:val="18"/>
          <w:szCs w:val="18"/>
          <w:lang w:val="es-ES"/>
        </w:rPr>
        <w:t xml:space="preserve"> A.B. 2010, no. 87, bijlage j.</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A62" w:rsidRDefault="00340A62">
    <w:pPr>
      <w:tabs>
        <w:tab w:val="left" w:pos="-720"/>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7216"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2"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40A62" w:rsidRDefault="00340A62">
                          <w:pPr>
                            <w:tabs>
                              <w:tab w:val="center" w:pos="4657"/>
                              <w:tab w:val="right" w:pos="9314"/>
                            </w:tabs>
                            <w:rPr>
                              <w:rFonts w:ascii="Times New Roman" w:hAnsi="Times New Roman"/>
                              <w:spacing w:val="-3"/>
                            </w:rPr>
                          </w:pPr>
                        </w:p>
                        <w:p w:rsidR="00340A62" w:rsidRDefault="00340A62">
                          <w:pPr>
                            <w:tabs>
                              <w:tab w:val="center" w:pos="4657"/>
                              <w:tab w:val="right" w:pos="9314"/>
                            </w:tabs>
                            <w:rPr>
                              <w:rFonts w:ascii="Times New Roman" w:hAnsi="Times New Roman"/>
                              <w:spacing w:val="-3"/>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64.8pt;margin-top:0;width:465.7pt;height: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" o:allowincell="f" filled="f" stroked="f" strokeweight="0">
              <v:textbox inset="0,0,0,0">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2</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p w:rsidR="00340A62" w:rsidRDefault="00340A62">
                    <w:pPr>
                      <w:tabs>
                        <w:tab w:val="center" w:pos="4657"/>
                        <w:tab w:val="right" w:pos="9314"/>
                      </w:tabs>
                      <w:rPr>
                        <w:rFonts w:ascii="Times New Roman" w:hAnsi="Times New Roman"/>
                        <w:spacing w:val="-3"/>
                      </w:rPr>
                    </w:pPr>
                  </w:p>
                  <w:p w:rsidR="00340A62" w:rsidRDefault="00340A62">
                    <w:pPr>
                      <w:tabs>
                        <w:tab w:val="center" w:pos="4657"/>
                        <w:tab w:val="right" w:pos="9314"/>
                      </w:tabs>
                      <w:rPr>
                        <w:rFonts w:ascii="Times New Roman" w:hAnsi="Times New Roman"/>
                        <w:spacing w:val="-3"/>
                      </w:rPr>
                    </w:pPr>
                  </w:p>
                </w:txbxContent>
              </v:textbox>
              <w10:wrap anchorx="page"/>
            </v:rect>
          </w:pict>
        </mc:Fallback>
      </mc:AlternateContent>
    </w:r>
    <w:r w:rsidR="00DE4AE5">
      <w:rPr>
        <w:rFonts w:ascii="Times New Roman" w:hAnsi="Times New Roman"/>
        <w:b/>
        <w:spacing w:val="-4"/>
        <w:sz w:val="36"/>
      </w:rPr>
      <w:t>144</w:t>
    </w:r>
  </w:p>
  <w:p w:rsidR="00340A62" w:rsidRDefault="00340A62">
    <w:pPr>
      <w:tabs>
        <w:tab w:val="left" w:pos="-720"/>
      </w:tabs>
      <w:suppressAutoHyphens/>
      <w:jc w:val="both"/>
      <w:rPr>
        <w:rFonts w:ascii="Times New Roman" w:hAnsi="Times New Roman"/>
        <w:spacing w:val="-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40A62" w:rsidRDefault="00340A62">
    <w:pPr>
      <w:tabs>
        <w:tab w:val="right" w:pos="9313"/>
      </w:tabs>
      <w:suppressAutoHyphens/>
      <w:jc w:val="both"/>
      <w:rPr>
        <w:rFonts w:ascii="Times New Roman" w:hAnsi="Times New Roman"/>
        <w:b/>
        <w:spacing w:val="-4"/>
        <w:sz w:val="36"/>
      </w:rPr>
    </w:pPr>
    <w:r>
      <w:rPr>
        <w:noProof/>
        <w:snapToGrid/>
      </w:rPr>
      <mc:AlternateContent>
        <mc:Choice Requires="wps">
          <w:drawing>
            <wp:anchor distT="0" distB="0" distL="114300" distR="114300" simplePos="0" relativeHeight="251658240" behindDoc="0" locked="0" layoutInCell="0" allowOverlap="1">
              <wp:simplePos x="0" y="0"/>
              <wp:positionH relativeFrom="page">
                <wp:posOffset>822960</wp:posOffset>
              </wp:positionH>
              <wp:positionV relativeFrom="paragraph">
                <wp:posOffset>0</wp:posOffset>
              </wp:positionV>
              <wp:extent cx="5914390" cy="15240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1439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7" style="position:absolute;left:0;text-align:left;margin-left:64.8pt;margin-top:0;width:465.7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" o:allowincell="f" filled="f" stroked="f" strokeweight="0">
              <v:textbox inset="0,0,0,0">
                <w:txbxContent>
                  <w:p w:rsidR="00340A62" w:rsidRDefault="00340A62">
                    <w:pPr>
                      <w:tabs>
                        <w:tab w:val="center" w:pos="4657"/>
                        <w:tab w:val="right" w:pos="9314"/>
                      </w:tabs>
                      <w:rPr>
                        <w:rFonts w:ascii="Times New Roman" w:hAnsi="Times New Roman"/>
                        <w:spacing w:val="-3"/>
                      </w:rPr>
                    </w:pPr>
                    <w:r>
                      <w:tab/>
                    </w:r>
                    <w:r>
                      <w:rPr>
                        <w:rFonts w:ascii="Times New Roman" w:hAnsi="Times New Roman"/>
                        <w:spacing w:val="-3"/>
                      </w:rPr>
                      <w:noBreakHyphen/>
                      <w:t xml:space="preserve"> </w:t>
                    </w:r>
                    <w:r>
                      <w:rPr>
                        <w:rFonts w:ascii="Times New Roman" w:hAnsi="Times New Roman"/>
                        <w:spacing w:val="-3"/>
                      </w:rPr>
                      <w:fldChar w:fldCharType="begin"/>
                    </w:r>
                    <w:r>
                      <w:rPr>
                        <w:rFonts w:ascii="Times New Roman" w:hAnsi="Times New Roman"/>
                        <w:spacing w:val="-3"/>
                      </w:rPr>
                      <w:instrText>page \* arabic</w:instrText>
                    </w:r>
                    <w:r>
                      <w:rPr>
                        <w:rFonts w:ascii="Times New Roman" w:hAnsi="Times New Roman"/>
                        <w:spacing w:val="-3"/>
                      </w:rPr>
                      <w:fldChar w:fldCharType="separate"/>
                    </w:r>
                    <w:r>
                      <w:rPr>
                        <w:rFonts w:ascii="Times New Roman" w:hAnsi="Times New Roman"/>
                        <w:noProof/>
                        <w:spacing w:val="-3"/>
                      </w:rPr>
                      <w:t>3</w:t>
                    </w:r>
                    <w:r>
                      <w:rPr>
                        <w:rFonts w:ascii="Times New Roman" w:hAnsi="Times New Roman"/>
                        <w:spacing w:val="-3"/>
                      </w:rPr>
                      <w:fldChar w:fldCharType="end"/>
                    </w:r>
                    <w:r>
                      <w:rPr>
                        <w:rFonts w:ascii="Times New Roman" w:hAnsi="Times New Roman"/>
                        <w:spacing w:val="-3"/>
                      </w:rPr>
                      <w:t xml:space="preserve"> </w:t>
                    </w:r>
                    <w:r>
                      <w:rPr>
                        <w:rFonts w:ascii="Times New Roman" w:hAnsi="Times New Roman"/>
                        <w:spacing w:val="-3"/>
                      </w:rPr>
                      <w:noBreakHyphen/>
                    </w:r>
                  </w:p>
                </w:txbxContent>
              </v:textbox>
              <w10:wrap anchorx="page"/>
            </v:rect>
          </w:pict>
        </mc:Fallback>
      </mc:AlternateContent>
    </w:r>
    <w:r>
      <w:rPr>
        <w:rFonts w:ascii="Times New Roman" w:hAnsi="Times New Roman"/>
        <w:b/>
        <w:spacing w:val="-4"/>
        <w:sz w:val="36"/>
      </w:rPr>
      <w:tab/>
    </w:r>
    <w:r w:rsidR="00DE4AE5">
      <w:rPr>
        <w:rFonts w:ascii="Times New Roman" w:hAnsi="Times New Roman"/>
        <w:b/>
        <w:spacing w:val="-4"/>
        <w:sz w:val="36"/>
      </w:rPr>
      <w:t>144</w:t>
    </w:r>
  </w:p>
  <w:p w:rsidR="00340A62" w:rsidRDefault="00340A62" w:rsidP="00A85380">
    <w:pPr>
      <w:tabs>
        <w:tab w:val="right" w:pos="9313"/>
      </w:tabs>
      <w:suppressAutoHyphens/>
      <w:spacing w:line="140" w:lineRule="exact"/>
      <w:jc w:val="both"/>
      <w:rPr>
        <w:rFonts w:ascii="Times New Roman" w:hAnsi="Times New Roman"/>
        <w:spacing w:val="-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E71BE"/>
    <w:multiLevelType w:val="hybridMultilevel"/>
    <w:tmpl w:val="BF500C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F719C"/>
    <w:multiLevelType w:val="hybridMultilevel"/>
    <w:tmpl w:val="D452F58A"/>
    <w:lvl w:ilvl="0" w:tplc="01EAB52C">
      <w:start w:val="1"/>
      <w:numFmt w:val="lowerLetter"/>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 w15:restartNumberingAfterBreak="0">
    <w:nsid w:val="1EDC26D8"/>
    <w:multiLevelType w:val="hybridMultilevel"/>
    <w:tmpl w:val="376C9F92"/>
    <w:lvl w:ilvl="0" w:tplc="D5E68770">
      <w:start w:val="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3" w15:restartNumberingAfterBreak="0">
    <w:nsid w:val="20772062"/>
    <w:multiLevelType w:val="hybridMultilevel"/>
    <w:tmpl w:val="049AD73C"/>
    <w:lvl w:ilvl="0" w:tplc="48B00BA4">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1A334DC"/>
    <w:multiLevelType w:val="hybridMultilevel"/>
    <w:tmpl w:val="1E121840"/>
    <w:lvl w:ilvl="0" w:tplc="02A24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742574C"/>
    <w:multiLevelType w:val="hybridMultilevel"/>
    <w:tmpl w:val="4280BB5A"/>
    <w:lvl w:ilvl="0" w:tplc="253832F4">
      <w:start w:val="1"/>
      <w:numFmt w:val="lowerLetter"/>
      <w:lvlText w:val="%1."/>
      <w:lvlJc w:val="left"/>
      <w:pPr>
        <w:ind w:left="720" w:hanging="360"/>
      </w:pPr>
      <w:rPr>
        <w:rFonts w:ascii="Palatino Linotype" w:eastAsia="Palatino Linotype" w:hAnsi="Palatino Linotype" w:cs="Palatino Linotype"/>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6" w15:restartNumberingAfterBreak="0">
    <w:nsid w:val="28730061"/>
    <w:multiLevelType w:val="hybridMultilevel"/>
    <w:tmpl w:val="0298E1EC"/>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7" w15:restartNumberingAfterBreak="0">
    <w:nsid w:val="346E174A"/>
    <w:multiLevelType w:val="hybridMultilevel"/>
    <w:tmpl w:val="C68ED0EE"/>
    <w:lvl w:ilvl="0" w:tplc="04790019">
      <w:start w:val="4"/>
      <w:numFmt w:val="lowerLetter"/>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8" w15:restartNumberingAfterBreak="0">
    <w:nsid w:val="3A371A88"/>
    <w:multiLevelType w:val="hybridMultilevel"/>
    <w:tmpl w:val="B44A095C"/>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9" w15:restartNumberingAfterBreak="0">
    <w:nsid w:val="3B265755"/>
    <w:multiLevelType w:val="hybridMultilevel"/>
    <w:tmpl w:val="642448BE"/>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0" w15:restartNumberingAfterBreak="0">
    <w:nsid w:val="3D511E1A"/>
    <w:multiLevelType w:val="hybridMultilevel"/>
    <w:tmpl w:val="CA8CFB00"/>
    <w:lvl w:ilvl="0" w:tplc="0BBC6DC0">
      <w:start w:val="1"/>
      <w:numFmt w:val="bullet"/>
      <w:lvlText w:val="-"/>
      <w:lvlJc w:val="left"/>
      <w:pPr>
        <w:ind w:left="720" w:hanging="360"/>
      </w:pPr>
      <w:rPr>
        <w:rFonts w:ascii="Palatino Linotype" w:eastAsia="Times New Roman" w:hAnsi="Palatino Linotype" w:cs="Times New Roman" w:hint="default"/>
      </w:rPr>
    </w:lvl>
    <w:lvl w:ilvl="1" w:tplc="04790003" w:tentative="1">
      <w:start w:val="1"/>
      <w:numFmt w:val="bullet"/>
      <w:lvlText w:val="o"/>
      <w:lvlJc w:val="left"/>
      <w:pPr>
        <w:ind w:left="1440" w:hanging="360"/>
      </w:pPr>
      <w:rPr>
        <w:rFonts w:ascii="Courier New" w:hAnsi="Courier New" w:cs="Courier New" w:hint="default"/>
      </w:rPr>
    </w:lvl>
    <w:lvl w:ilvl="2" w:tplc="04790005" w:tentative="1">
      <w:start w:val="1"/>
      <w:numFmt w:val="bullet"/>
      <w:lvlText w:val=""/>
      <w:lvlJc w:val="left"/>
      <w:pPr>
        <w:ind w:left="2160" w:hanging="360"/>
      </w:pPr>
      <w:rPr>
        <w:rFonts w:ascii="Wingdings" w:hAnsi="Wingdings" w:hint="default"/>
      </w:rPr>
    </w:lvl>
    <w:lvl w:ilvl="3" w:tplc="04790001" w:tentative="1">
      <w:start w:val="1"/>
      <w:numFmt w:val="bullet"/>
      <w:lvlText w:val=""/>
      <w:lvlJc w:val="left"/>
      <w:pPr>
        <w:ind w:left="2880" w:hanging="360"/>
      </w:pPr>
      <w:rPr>
        <w:rFonts w:ascii="Symbol" w:hAnsi="Symbol" w:hint="default"/>
      </w:rPr>
    </w:lvl>
    <w:lvl w:ilvl="4" w:tplc="04790003" w:tentative="1">
      <w:start w:val="1"/>
      <w:numFmt w:val="bullet"/>
      <w:lvlText w:val="o"/>
      <w:lvlJc w:val="left"/>
      <w:pPr>
        <w:ind w:left="3600" w:hanging="360"/>
      </w:pPr>
      <w:rPr>
        <w:rFonts w:ascii="Courier New" w:hAnsi="Courier New" w:cs="Courier New" w:hint="default"/>
      </w:rPr>
    </w:lvl>
    <w:lvl w:ilvl="5" w:tplc="04790005" w:tentative="1">
      <w:start w:val="1"/>
      <w:numFmt w:val="bullet"/>
      <w:lvlText w:val=""/>
      <w:lvlJc w:val="left"/>
      <w:pPr>
        <w:ind w:left="4320" w:hanging="360"/>
      </w:pPr>
      <w:rPr>
        <w:rFonts w:ascii="Wingdings" w:hAnsi="Wingdings" w:hint="default"/>
      </w:rPr>
    </w:lvl>
    <w:lvl w:ilvl="6" w:tplc="04790001" w:tentative="1">
      <w:start w:val="1"/>
      <w:numFmt w:val="bullet"/>
      <w:lvlText w:val=""/>
      <w:lvlJc w:val="left"/>
      <w:pPr>
        <w:ind w:left="5040" w:hanging="360"/>
      </w:pPr>
      <w:rPr>
        <w:rFonts w:ascii="Symbol" w:hAnsi="Symbol" w:hint="default"/>
      </w:rPr>
    </w:lvl>
    <w:lvl w:ilvl="7" w:tplc="04790003" w:tentative="1">
      <w:start w:val="1"/>
      <w:numFmt w:val="bullet"/>
      <w:lvlText w:val="o"/>
      <w:lvlJc w:val="left"/>
      <w:pPr>
        <w:ind w:left="5760" w:hanging="360"/>
      </w:pPr>
      <w:rPr>
        <w:rFonts w:ascii="Courier New" w:hAnsi="Courier New" w:cs="Courier New" w:hint="default"/>
      </w:rPr>
    </w:lvl>
    <w:lvl w:ilvl="8" w:tplc="04790005" w:tentative="1">
      <w:start w:val="1"/>
      <w:numFmt w:val="bullet"/>
      <w:lvlText w:val=""/>
      <w:lvlJc w:val="left"/>
      <w:pPr>
        <w:ind w:left="6480" w:hanging="360"/>
      </w:pPr>
      <w:rPr>
        <w:rFonts w:ascii="Wingdings" w:hAnsi="Wingdings" w:hint="default"/>
      </w:rPr>
    </w:lvl>
  </w:abstractNum>
  <w:abstractNum w:abstractNumId="11" w15:restartNumberingAfterBreak="0">
    <w:nsid w:val="56135511"/>
    <w:multiLevelType w:val="hybridMultilevel"/>
    <w:tmpl w:val="A6F8048C"/>
    <w:lvl w:ilvl="0" w:tplc="73E82F8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E8A23E8"/>
    <w:multiLevelType w:val="hybridMultilevel"/>
    <w:tmpl w:val="769A78E4"/>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abstractNum w:abstractNumId="13" w15:restartNumberingAfterBreak="0">
    <w:nsid w:val="6B317EF7"/>
    <w:multiLevelType w:val="hybridMultilevel"/>
    <w:tmpl w:val="B530AA7E"/>
    <w:lvl w:ilvl="0" w:tplc="A0CC256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3EE396A"/>
    <w:multiLevelType w:val="hybridMultilevel"/>
    <w:tmpl w:val="0E5E852E"/>
    <w:lvl w:ilvl="0" w:tplc="549C6660">
      <w:start w:val="6"/>
      <w:numFmt w:val="lowerLetter"/>
      <w:lvlText w:val="%1."/>
      <w:lvlJc w:val="left"/>
      <w:pPr>
        <w:ind w:left="1440" w:hanging="360"/>
      </w:pPr>
      <w:rPr>
        <w:rFonts w:hint="default"/>
        <w:sz w:val="22"/>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70978DA"/>
    <w:multiLevelType w:val="hybridMultilevel"/>
    <w:tmpl w:val="3DDA4642"/>
    <w:lvl w:ilvl="0" w:tplc="0479000F">
      <w:start w:val="1"/>
      <w:numFmt w:val="decimal"/>
      <w:lvlText w:val="%1."/>
      <w:lvlJc w:val="left"/>
      <w:pPr>
        <w:ind w:left="720" w:hanging="360"/>
      </w:pPr>
      <w:rPr>
        <w:rFonts w:hint="default"/>
      </w:rPr>
    </w:lvl>
    <w:lvl w:ilvl="1" w:tplc="04790019" w:tentative="1">
      <w:start w:val="1"/>
      <w:numFmt w:val="lowerLetter"/>
      <w:lvlText w:val="%2."/>
      <w:lvlJc w:val="left"/>
      <w:pPr>
        <w:ind w:left="1440" w:hanging="360"/>
      </w:pPr>
    </w:lvl>
    <w:lvl w:ilvl="2" w:tplc="0479001B" w:tentative="1">
      <w:start w:val="1"/>
      <w:numFmt w:val="lowerRoman"/>
      <w:lvlText w:val="%3."/>
      <w:lvlJc w:val="right"/>
      <w:pPr>
        <w:ind w:left="2160" w:hanging="180"/>
      </w:pPr>
    </w:lvl>
    <w:lvl w:ilvl="3" w:tplc="0479000F" w:tentative="1">
      <w:start w:val="1"/>
      <w:numFmt w:val="decimal"/>
      <w:lvlText w:val="%4."/>
      <w:lvlJc w:val="left"/>
      <w:pPr>
        <w:ind w:left="2880" w:hanging="360"/>
      </w:pPr>
    </w:lvl>
    <w:lvl w:ilvl="4" w:tplc="04790019" w:tentative="1">
      <w:start w:val="1"/>
      <w:numFmt w:val="lowerLetter"/>
      <w:lvlText w:val="%5."/>
      <w:lvlJc w:val="left"/>
      <w:pPr>
        <w:ind w:left="3600" w:hanging="360"/>
      </w:pPr>
    </w:lvl>
    <w:lvl w:ilvl="5" w:tplc="0479001B" w:tentative="1">
      <w:start w:val="1"/>
      <w:numFmt w:val="lowerRoman"/>
      <w:lvlText w:val="%6."/>
      <w:lvlJc w:val="right"/>
      <w:pPr>
        <w:ind w:left="4320" w:hanging="180"/>
      </w:pPr>
    </w:lvl>
    <w:lvl w:ilvl="6" w:tplc="0479000F" w:tentative="1">
      <w:start w:val="1"/>
      <w:numFmt w:val="decimal"/>
      <w:lvlText w:val="%7."/>
      <w:lvlJc w:val="left"/>
      <w:pPr>
        <w:ind w:left="5040" w:hanging="360"/>
      </w:pPr>
    </w:lvl>
    <w:lvl w:ilvl="7" w:tplc="04790019" w:tentative="1">
      <w:start w:val="1"/>
      <w:numFmt w:val="lowerLetter"/>
      <w:lvlText w:val="%8."/>
      <w:lvlJc w:val="left"/>
      <w:pPr>
        <w:ind w:left="5760" w:hanging="360"/>
      </w:pPr>
    </w:lvl>
    <w:lvl w:ilvl="8" w:tplc="0479001B" w:tentative="1">
      <w:start w:val="1"/>
      <w:numFmt w:val="lowerRoman"/>
      <w:lvlText w:val="%9."/>
      <w:lvlJc w:val="right"/>
      <w:pPr>
        <w:ind w:left="6480" w:hanging="180"/>
      </w:pPr>
    </w:lvl>
  </w:abstractNum>
  <w:num w:numId="1">
    <w:abstractNumId w:val="1"/>
  </w:num>
  <w:num w:numId="2">
    <w:abstractNumId w:val="4"/>
  </w:num>
  <w:num w:numId="3">
    <w:abstractNumId w:val="14"/>
  </w:num>
  <w:num w:numId="4">
    <w:abstractNumId w:val="13"/>
  </w:num>
  <w:num w:numId="5">
    <w:abstractNumId w:val="0"/>
  </w:num>
  <w:num w:numId="6">
    <w:abstractNumId w:val="11"/>
  </w:num>
  <w:num w:numId="7">
    <w:abstractNumId w:val="3"/>
  </w:num>
  <w:num w:numId="8">
    <w:abstractNumId w:val="5"/>
  </w:num>
  <w:num w:numId="9">
    <w:abstractNumId w:val="8"/>
  </w:num>
  <w:num w:numId="10">
    <w:abstractNumId w:val="10"/>
  </w:num>
  <w:num w:numId="11">
    <w:abstractNumId w:val="15"/>
  </w:num>
  <w:num w:numId="12">
    <w:abstractNumId w:val="9"/>
  </w:num>
  <w:num w:numId="13">
    <w:abstractNumId w:val="2"/>
  </w:num>
  <w:num w:numId="14">
    <w:abstractNumId w:val="7"/>
  </w:num>
  <w:num w:numId="15">
    <w:abstractNumId w:val="12"/>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45"/>
  <w:doNotHyphenateCaps/>
  <w:evenAndOddHeader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0961"/>
  </w:hdrShapeDefaults>
  <w:footnotePr>
    <w:footnote w:id="-1"/>
    <w:footnote w:id="0"/>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09F"/>
    <w:rsid w:val="000055C2"/>
    <w:rsid w:val="0001282E"/>
    <w:rsid w:val="00022D76"/>
    <w:rsid w:val="00023DB3"/>
    <w:rsid w:val="000254C1"/>
    <w:rsid w:val="00064039"/>
    <w:rsid w:val="000829F9"/>
    <w:rsid w:val="000A0DBD"/>
    <w:rsid w:val="00136386"/>
    <w:rsid w:val="0014186C"/>
    <w:rsid w:val="00163B50"/>
    <w:rsid w:val="00173FBA"/>
    <w:rsid w:val="001A7D22"/>
    <w:rsid w:val="001C27B0"/>
    <w:rsid w:val="001C384D"/>
    <w:rsid w:val="001C4DF2"/>
    <w:rsid w:val="00213227"/>
    <w:rsid w:val="00282C3F"/>
    <w:rsid w:val="002B196C"/>
    <w:rsid w:val="002B27B9"/>
    <w:rsid w:val="002F0CFE"/>
    <w:rsid w:val="00331A7B"/>
    <w:rsid w:val="00334EF0"/>
    <w:rsid w:val="00340A62"/>
    <w:rsid w:val="00390EC1"/>
    <w:rsid w:val="003B694F"/>
    <w:rsid w:val="003C30EB"/>
    <w:rsid w:val="003D1497"/>
    <w:rsid w:val="003D25AC"/>
    <w:rsid w:val="003E6FF3"/>
    <w:rsid w:val="00403464"/>
    <w:rsid w:val="0043209F"/>
    <w:rsid w:val="004E29EE"/>
    <w:rsid w:val="004E2C9C"/>
    <w:rsid w:val="004E799B"/>
    <w:rsid w:val="00505553"/>
    <w:rsid w:val="00573A17"/>
    <w:rsid w:val="00593143"/>
    <w:rsid w:val="005B7EA9"/>
    <w:rsid w:val="005D0989"/>
    <w:rsid w:val="005D39A3"/>
    <w:rsid w:val="005E7D87"/>
    <w:rsid w:val="006147F1"/>
    <w:rsid w:val="006169E6"/>
    <w:rsid w:val="00640985"/>
    <w:rsid w:val="006725E6"/>
    <w:rsid w:val="006C19FE"/>
    <w:rsid w:val="006C6638"/>
    <w:rsid w:val="006F659E"/>
    <w:rsid w:val="00781AD6"/>
    <w:rsid w:val="007A6572"/>
    <w:rsid w:val="007C7D7D"/>
    <w:rsid w:val="007D4D73"/>
    <w:rsid w:val="007F37E8"/>
    <w:rsid w:val="00803F56"/>
    <w:rsid w:val="00831996"/>
    <w:rsid w:val="00853D6F"/>
    <w:rsid w:val="00862E7C"/>
    <w:rsid w:val="00864BBA"/>
    <w:rsid w:val="00870E7E"/>
    <w:rsid w:val="00876FF6"/>
    <w:rsid w:val="008A1329"/>
    <w:rsid w:val="008B0FBF"/>
    <w:rsid w:val="008C60C3"/>
    <w:rsid w:val="008D5E2E"/>
    <w:rsid w:val="008D67E9"/>
    <w:rsid w:val="008F676F"/>
    <w:rsid w:val="00910EBB"/>
    <w:rsid w:val="00957572"/>
    <w:rsid w:val="009E45FD"/>
    <w:rsid w:val="00A0173D"/>
    <w:rsid w:val="00A35415"/>
    <w:rsid w:val="00A85380"/>
    <w:rsid w:val="00AA53B3"/>
    <w:rsid w:val="00AC5F65"/>
    <w:rsid w:val="00B14BB9"/>
    <w:rsid w:val="00B34BEA"/>
    <w:rsid w:val="00B41F4D"/>
    <w:rsid w:val="00B42035"/>
    <w:rsid w:val="00B73573"/>
    <w:rsid w:val="00B747D5"/>
    <w:rsid w:val="00B84E49"/>
    <w:rsid w:val="00B920FE"/>
    <w:rsid w:val="00BE36FD"/>
    <w:rsid w:val="00BF3E97"/>
    <w:rsid w:val="00C00533"/>
    <w:rsid w:val="00C06F82"/>
    <w:rsid w:val="00CC6CA3"/>
    <w:rsid w:val="00CE18CE"/>
    <w:rsid w:val="00CE5C4F"/>
    <w:rsid w:val="00D03575"/>
    <w:rsid w:val="00D03A15"/>
    <w:rsid w:val="00D15CE7"/>
    <w:rsid w:val="00D43A7D"/>
    <w:rsid w:val="00D50DA5"/>
    <w:rsid w:val="00D67282"/>
    <w:rsid w:val="00D95F17"/>
    <w:rsid w:val="00DC4B4C"/>
    <w:rsid w:val="00DE4AE5"/>
    <w:rsid w:val="00E42D6B"/>
    <w:rsid w:val="00E65751"/>
    <w:rsid w:val="00EB1834"/>
    <w:rsid w:val="00ED69A7"/>
    <w:rsid w:val="00EE4FD2"/>
    <w:rsid w:val="00F1716A"/>
    <w:rsid w:val="00F371C3"/>
    <w:rsid w:val="00F81906"/>
    <w:rsid w:val="00F87233"/>
    <w:rsid w:val="00FD2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5:chartTrackingRefBased/>
  <w15:docId w15:val="{837877A3-1503-4758-933B-DB82C6A9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widowControl/>
      <w:jc w:val="center"/>
      <w:outlineLvl w:val="0"/>
    </w:pPr>
    <w:rPr>
      <w:rFonts w:ascii="Arial" w:hAnsi="Arial"/>
      <w:b/>
      <w:snapToGrid/>
      <w:sz w:val="40"/>
      <w:u w:val="single"/>
    </w:rPr>
  </w:style>
  <w:style w:type="paragraph" w:styleId="Heading2">
    <w:name w:val="heading 2"/>
    <w:basedOn w:val="Normal"/>
    <w:next w:val="Normal"/>
    <w:qFormat/>
    <w:pPr>
      <w:keepNext/>
      <w:widowControl/>
      <w:outlineLvl w:val="1"/>
    </w:pPr>
    <w:rPr>
      <w:rFonts w:ascii="Times New Roman" w:hAnsi="Times New Roman"/>
      <w:snapToGrid/>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link w:val="FootnoteTextChar"/>
    <w:uiPriority w:val="99"/>
    <w:semiHidden/>
  </w:style>
  <w:style w:type="character" w:styleId="FootnoteReference">
    <w:name w:val="footnote reference"/>
    <w:semiHidden/>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pPr>
      <w:keepNext/>
      <w:keepLines/>
      <w:widowControl w:val="0"/>
      <w:tabs>
        <w:tab w:val="left" w:pos="-720"/>
      </w:tabs>
      <w:suppressAutoHyphens/>
    </w:pPr>
    <w:rPr>
      <w:rFonts w:ascii="Courier" w:hAnsi="Courier"/>
      <w:snapToGrid w:val="0"/>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Bibliogrphy">
    <w:name w:val="Bibliogrphy"/>
    <w:basedOn w:val="DefaultParagraphFont"/>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widowControl/>
      <w:tabs>
        <w:tab w:val="center" w:pos="4320"/>
        <w:tab w:val="right" w:pos="8640"/>
      </w:tabs>
    </w:pPr>
    <w:rPr>
      <w:rFonts w:ascii="Times New Roman" w:hAnsi="Times New Roman"/>
      <w:snapToGrid/>
      <w:sz w:val="20"/>
    </w:rPr>
  </w:style>
  <w:style w:type="paragraph" w:styleId="Footer">
    <w:name w:val="footer"/>
    <w:basedOn w:val="Normal"/>
    <w:link w:val="FooterChar"/>
    <w:uiPriority w:val="99"/>
    <w:pPr>
      <w:tabs>
        <w:tab w:val="center" w:pos="4320"/>
        <w:tab w:val="right" w:pos="8640"/>
      </w:tabs>
    </w:pPr>
  </w:style>
  <w:style w:type="character" w:styleId="Emphasis">
    <w:name w:val="Emphasis"/>
    <w:qFormat/>
    <w:rsid w:val="002F0CFE"/>
    <w:rPr>
      <w:i/>
      <w:iCs/>
    </w:rPr>
  </w:style>
  <w:style w:type="character" w:styleId="Strong">
    <w:name w:val="Strong"/>
    <w:qFormat/>
    <w:rsid w:val="002F0CFE"/>
    <w:rPr>
      <w:b/>
      <w:bCs/>
    </w:rPr>
  </w:style>
  <w:style w:type="character" w:customStyle="1" w:styleId="lidnr">
    <w:name w:val="lidnr"/>
    <w:basedOn w:val="DefaultParagraphFont"/>
    <w:rsid w:val="002F0CFE"/>
  </w:style>
  <w:style w:type="paragraph" w:customStyle="1" w:styleId="Kop11">
    <w:name w:val="Kop 11"/>
    <w:basedOn w:val="Normal"/>
    <w:rsid w:val="002F0CFE"/>
    <w:pPr>
      <w:widowControl/>
      <w:spacing w:before="100" w:beforeAutospacing="1" w:after="100" w:afterAutospacing="1"/>
      <w:outlineLvl w:val="1"/>
    </w:pPr>
    <w:rPr>
      <w:rFonts w:ascii="Times New Roman" w:hAnsi="Times New Roman"/>
      <w:b/>
      <w:bCs/>
      <w:snapToGrid/>
      <w:kern w:val="36"/>
      <w:sz w:val="48"/>
      <w:szCs w:val="48"/>
      <w:lang w:val="nl-NL" w:eastAsia="nl-NL"/>
    </w:rPr>
  </w:style>
  <w:style w:type="paragraph" w:customStyle="1" w:styleId="Kop21">
    <w:name w:val="Kop 21"/>
    <w:basedOn w:val="Normal"/>
    <w:rsid w:val="002F0CFE"/>
    <w:pPr>
      <w:widowControl/>
      <w:spacing w:before="100" w:beforeAutospacing="1" w:after="100" w:afterAutospacing="1"/>
      <w:outlineLvl w:val="2"/>
    </w:pPr>
    <w:rPr>
      <w:rFonts w:ascii="Times New Roman" w:hAnsi="Times New Roman"/>
      <w:b/>
      <w:bCs/>
      <w:snapToGrid/>
      <w:sz w:val="36"/>
      <w:szCs w:val="36"/>
      <w:lang w:val="nl-NL" w:eastAsia="nl-NL"/>
    </w:rPr>
  </w:style>
  <w:style w:type="paragraph" w:customStyle="1" w:styleId="Kop41">
    <w:name w:val="Kop 41"/>
    <w:basedOn w:val="Normal"/>
    <w:rsid w:val="002F0CFE"/>
    <w:pPr>
      <w:widowControl/>
      <w:spacing w:before="100" w:beforeAutospacing="1" w:after="100" w:afterAutospacing="1"/>
      <w:outlineLvl w:val="4"/>
    </w:pPr>
    <w:rPr>
      <w:rFonts w:ascii="Times New Roman" w:hAnsi="Times New Roman"/>
      <w:b/>
      <w:bCs/>
      <w:snapToGrid/>
      <w:szCs w:val="24"/>
      <w:lang w:val="nl-NL" w:eastAsia="nl-NL"/>
    </w:rPr>
  </w:style>
  <w:style w:type="paragraph" w:customStyle="1" w:styleId="Kop51">
    <w:name w:val="Kop 51"/>
    <w:basedOn w:val="Normal"/>
    <w:rsid w:val="002F0CFE"/>
    <w:pPr>
      <w:widowControl/>
      <w:spacing w:before="100" w:beforeAutospacing="1" w:after="100" w:afterAutospacing="1"/>
      <w:outlineLvl w:val="5"/>
    </w:pPr>
    <w:rPr>
      <w:rFonts w:ascii="Times New Roman" w:hAnsi="Times New Roman"/>
      <w:b/>
      <w:bCs/>
      <w:snapToGrid/>
      <w:sz w:val="20"/>
      <w:lang w:val="nl-NL" w:eastAsia="nl-NL"/>
    </w:rPr>
  </w:style>
  <w:style w:type="paragraph" w:customStyle="1" w:styleId="Normaalweb1">
    <w:name w:val="Normaal (web)1"/>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Nadruk1">
    <w:name w:val="Nadruk1"/>
    <w:rsid w:val="002F0CFE"/>
    <w:rPr>
      <w:i/>
      <w:iCs/>
      <w:u w:val="single"/>
    </w:rPr>
  </w:style>
  <w:style w:type="paragraph" w:customStyle="1" w:styleId="koning1">
    <w:name w:val="koning1"/>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2">
    <w:name w:val="Normaal (web)2"/>
    <w:basedOn w:val="Normal"/>
    <w:rsid w:val="002F0CFE"/>
    <w:pPr>
      <w:widowControl/>
      <w:spacing w:before="100" w:beforeAutospacing="1" w:after="100" w:afterAutospacing="1"/>
      <w:jc w:val="right"/>
    </w:pPr>
    <w:rPr>
      <w:rFonts w:ascii="Times New Roman" w:hAnsi="Times New Roman"/>
      <w:i/>
      <w:iCs/>
      <w:snapToGrid/>
      <w:szCs w:val="24"/>
      <w:lang w:val="nl-NL" w:eastAsia="nl-NL"/>
    </w:rPr>
  </w:style>
  <w:style w:type="paragraph" w:customStyle="1" w:styleId="Normaalweb3">
    <w:name w:val="Normaal (web)3"/>
    <w:basedOn w:val="Normal"/>
    <w:rsid w:val="002F0CFE"/>
    <w:pPr>
      <w:widowControl/>
    </w:pPr>
    <w:rPr>
      <w:rFonts w:ascii="Times New Roman" w:hAnsi="Times New Roman"/>
      <w:snapToGrid/>
      <w:szCs w:val="24"/>
      <w:lang w:val="nl-NL" w:eastAsia="nl-NL"/>
    </w:rPr>
  </w:style>
  <w:style w:type="paragraph" w:customStyle="1" w:styleId="dagtekening1">
    <w:name w:val="dagtekening1"/>
    <w:basedOn w:val="Normal"/>
    <w:rsid w:val="002F0CFE"/>
    <w:pPr>
      <w:widowControl/>
      <w:spacing w:before="240" w:after="240"/>
    </w:pPr>
    <w:rPr>
      <w:rFonts w:ascii="Times New Roman" w:hAnsi="Times New Roman"/>
      <w:i/>
      <w:iCs/>
      <w:snapToGrid/>
      <w:szCs w:val="24"/>
      <w:lang w:val="nl-NL" w:eastAsia="nl-NL"/>
    </w:rPr>
  </w:style>
  <w:style w:type="paragraph" w:customStyle="1" w:styleId="ondertekening2">
    <w:name w:val="ondertekening2"/>
    <w:basedOn w:val="Normal"/>
    <w:rsid w:val="002F0CFE"/>
    <w:pPr>
      <w:widowControl/>
      <w:spacing w:before="240" w:after="240"/>
    </w:pPr>
    <w:rPr>
      <w:rFonts w:ascii="Times New Roman" w:hAnsi="Times New Roman"/>
      <w:i/>
      <w:iCs/>
      <w:snapToGrid/>
      <w:szCs w:val="24"/>
      <w:lang w:val="nl-NL" w:eastAsia="nl-NL"/>
    </w:rPr>
  </w:style>
  <w:style w:type="paragraph" w:customStyle="1" w:styleId="Normaalweb5">
    <w:name w:val="Normaal (web)5"/>
    <w:basedOn w:val="Normal"/>
    <w:rsid w:val="002F0CFE"/>
    <w:pPr>
      <w:widowControl/>
      <w:spacing w:before="100" w:beforeAutospacing="1" w:after="100" w:afterAutospacing="1"/>
    </w:pPr>
    <w:rPr>
      <w:rFonts w:ascii="Times New Roman" w:hAnsi="Times New Roman"/>
      <w:snapToGrid/>
      <w:szCs w:val="24"/>
      <w:lang w:val="nl-NL" w:eastAsia="nl-NL"/>
    </w:rPr>
  </w:style>
  <w:style w:type="character" w:customStyle="1" w:styleId="ol1">
    <w:name w:val="ol1"/>
    <w:basedOn w:val="DefaultParagraphFont"/>
    <w:rsid w:val="002F0CFE"/>
  </w:style>
  <w:style w:type="paragraph" w:customStyle="1" w:styleId="functie1">
    <w:name w:val="functie1"/>
    <w:basedOn w:val="Normal"/>
    <w:rsid w:val="002F0CFE"/>
    <w:pPr>
      <w:widowControl/>
      <w:spacing w:before="240" w:after="240"/>
      <w:jc w:val="right"/>
    </w:pPr>
    <w:rPr>
      <w:rFonts w:ascii="Times New Roman" w:hAnsi="Times New Roman"/>
      <w:i/>
      <w:iCs/>
      <w:snapToGrid/>
      <w:szCs w:val="24"/>
      <w:lang w:val="nl-NL" w:eastAsia="nl-NL"/>
    </w:rPr>
  </w:style>
  <w:style w:type="paragraph" w:customStyle="1" w:styleId="labeled2">
    <w:name w:val="labeled2"/>
    <w:basedOn w:val="Normal"/>
    <w:rsid w:val="002F0CFE"/>
    <w:pPr>
      <w:widowControl/>
      <w:ind w:left="1200"/>
    </w:pPr>
    <w:rPr>
      <w:rFonts w:ascii="Times New Roman" w:hAnsi="Times New Roman"/>
      <w:snapToGrid/>
      <w:szCs w:val="24"/>
      <w:lang w:val="nl-NL" w:eastAsia="nl-NL"/>
    </w:rPr>
  </w:style>
  <w:style w:type="character" w:customStyle="1" w:styleId="FootnoteTextChar">
    <w:name w:val="Footnote Text Char"/>
    <w:basedOn w:val="DefaultParagraphFont"/>
    <w:link w:val="FootnoteText"/>
    <w:uiPriority w:val="99"/>
    <w:semiHidden/>
    <w:rsid w:val="00022D76"/>
    <w:rPr>
      <w:rFonts w:ascii="Courier" w:hAnsi="Courier"/>
      <w:snapToGrid w:val="0"/>
      <w:sz w:val="24"/>
    </w:rPr>
  </w:style>
  <w:style w:type="character" w:customStyle="1" w:styleId="HeaderChar">
    <w:name w:val="Header Char"/>
    <w:basedOn w:val="DefaultParagraphFont"/>
    <w:link w:val="Header"/>
    <w:uiPriority w:val="99"/>
    <w:rsid w:val="00022D76"/>
  </w:style>
  <w:style w:type="character" w:customStyle="1" w:styleId="FooterChar">
    <w:name w:val="Footer Char"/>
    <w:basedOn w:val="DefaultParagraphFont"/>
    <w:link w:val="Footer"/>
    <w:uiPriority w:val="99"/>
    <w:rsid w:val="00022D76"/>
    <w:rPr>
      <w:rFonts w:ascii="Courier" w:hAnsi="Courier"/>
      <w:snapToGrid w:val="0"/>
      <w:sz w:val="24"/>
    </w:rPr>
  </w:style>
  <w:style w:type="paragraph" w:customStyle="1" w:styleId="FootnoteText1">
    <w:name w:val="Footnote Text1"/>
    <w:basedOn w:val="Normal"/>
    <w:next w:val="FootnoteText"/>
    <w:uiPriority w:val="99"/>
    <w:semiHidden/>
    <w:rsid w:val="00022D76"/>
    <w:pPr>
      <w:widowControl/>
    </w:pPr>
    <w:rPr>
      <w:rFonts w:asciiTheme="minorHAnsi" w:eastAsia="SimSun" w:hAnsiTheme="minorHAnsi" w:cstheme="minorBidi"/>
      <w:snapToGrid/>
      <w:sz w:val="20"/>
      <w:lang w:eastAsia="zh-CN"/>
    </w:rPr>
  </w:style>
  <w:style w:type="character" w:customStyle="1" w:styleId="FootnoteTextChar1">
    <w:name w:val="Footnote Text Char1"/>
    <w:basedOn w:val="DefaultParagraphFont"/>
    <w:uiPriority w:val="99"/>
    <w:semiHidden/>
    <w:rsid w:val="00022D76"/>
    <w:rPr>
      <w:sz w:val="20"/>
      <w:szCs w:val="20"/>
    </w:rPr>
  </w:style>
  <w:style w:type="table" w:styleId="TableGrid">
    <w:name w:val="Table Grid"/>
    <w:basedOn w:val="TableNormal"/>
    <w:uiPriority w:val="39"/>
    <w:rsid w:val="00022D76"/>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C4DF2"/>
    <w:pPr>
      <w:widowControl/>
      <w:ind w:left="720"/>
      <w:contextualSpacing/>
    </w:pPr>
    <w:rPr>
      <w:rFonts w:ascii="Times New Roman" w:hAnsi="Times New Roman"/>
      <w:snapToGrid/>
      <w:sz w:val="20"/>
      <w:lang w:val="nl-NL"/>
    </w:rPr>
  </w:style>
  <w:style w:type="character" w:styleId="Hyperlink">
    <w:name w:val="Hyperlink"/>
    <w:basedOn w:val="DefaultParagraphFont"/>
    <w:uiPriority w:val="99"/>
    <w:unhideWhenUsed/>
    <w:rsid w:val="00876FF6"/>
    <w:rPr>
      <w:color w:val="0563C1" w:themeColor="hyperlink"/>
      <w:u w:val="single"/>
    </w:rPr>
  </w:style>
  <w:style w:type="paragraph" w:customStyle="1" w:styleId="Default">
    <w:name w:val="Default"/>
    <w:rsid w:val="00A85380"/>
    <w:pPr>
      <w:autoSpaceDE w:val="0"/>
      <w:autoSpaceDN w:val="0"/>
      <w:adjustRightInd w:val="0"/>
    </w:pPr>
    <w:rPr>
      <w:rFonts w:ascii="Palatino Linotype" w:eastAsiaTheme="minorHAnsi" w:hAnsi="Palatino Linotype" w:cs="Palatino Linotype"/>
      <w:color w:val="000000"/>
      <w:sz w:val="24"/>
      <w:szCs w:val="24"/>
    </w:rPr>
  </w:style>
  <w:style w:type="paragraph" w:styleId="NoSpacing">
    <w:name w:val="No Spacing"/>
    <w:uiPriority w:val="1"/>
    <w:qFormat/>
    <w:rsid w:val="00340A62"/>
    <w:pPr>
      <w:widowControl w:val="0"/>
    </w:pPr>
    <w:rPr>
      <w:rFonts w:ascii="Courier" w:hAnsi="Courier"/>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6329">
      <w:bodyDiv w:val="1"/>
      <w:marLeft w:val="0"/>
      <w:marRight w:val="0"/>
      <w:marTop w:val="0"/>
      <w:marBottom w:val="0"/>
      <w:divBdr>
        <w:top w:val="none" w:sz="0" w:space="0" w:color="auto"/>
        <w:left w:val="none" w:sz="0" w:space="0" w:color="auto"/>
        <w:bottom w:val="none" w:sz="0" w:space="0" w:color="auto"/>
        <w:right w:val="none" w:sz="0" w:space="0" w:color="auto"/>
      </w:divBdr>
    </w:div>
    <w:div w:id="866525918">
      <w:bodyDiv w:val="1"/>
      <w:marLeft w:val="0"/>
      <w:marRight w:val="0"/>
      <w:marTop w:val="0"/>
      <w:marBottom w:val="0"/>
      <w:divBdr>
        <w:top w:val="none" w:sz="0" w:space="0" w:color="auto"/>
        <w:left w:val="none" w:sz="0" w:space="0" w:color="auto"/>
        <w:bottom w:val="none" w:sz="0" w:space="0" w:color="auto"/>
        <w:right w:val="none" w:sz="0" w:space="0" w:color="auto"/>
      </w:divBdr>
    </w:div>
    <w:div w:id="953825703">
      <w:bodyDiv w:val="1"/>
      <w:marLeft w:val="0"/>
      <w:marRight w:val="0"/>
      <w:marTop w:val="0"/>
      <w:marBottom w:val="0"/>
      <w:divBdr>
        <w:top w:val="none" w:sz="0" w:space="0" w:color="auto"/>
        <w:left w:val="none" w:sz="0" w:space="0" w:color="auto"/>
        <w:bottom w:val="none" w:sz="0" w:space="0" w:color="auto"/>
        <w:right w:val="none" w:sz="0" w:space="0" w:color="auto"/>
      </w:divBdr>
    </w:div>
    <w:div w:id="1068990400">
      <w:bodyDiv w:val="1"/>
      <w:marLeft w:val="0"/>
      <w:marRight w:val="0"/>
      <w:marTop w:val="0"/>
      <w:marBottom w:val="0"/>
      <w:divBdr>
        <w:top w:val="none" w:sz="0" w:space="0" w:color="auto"/>
        <w:left w:val="none" w:sz="0" w:space="0" w:color="auto"/>
        <w:bottom w:val="none" w:sz="0" w:space="0" w:color="auto"/>
        <w:right w:val="none" w:sz="0" w:space="0" w:color="auto"/>
      </w:divBdr>
    </w:div>
    <w:div w:id="126060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NL/TXT/?uri=CELEX:32001R2580" TargetMode="External"/><Relationship Id="rId13" Type="http://schemas.openxmlformats.org/officeDocument/2006/relationships/hyperlink" Target="https://eur-lex.europa.eu/legal-content/NL/TXT/?uri=OJ:L_202501975" TargetMode="External"/><Relationship Id="rId18" Type="http://schemas.openxmlformats.org/officeDocument/2006/relationships/hyperlink" Target="https://eur-lex.europa.eu/legal-content/NL/AUTO/?uri=celex:32003R1210"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zoek.officielebekendmakingen.nl/kst-34009-3.html" TargetMode="External"/><Relationship Id="rId17" Type="http://schemas.openxmlformats.org/officeDocument/2006/relationships/hyperlink" Target="https://zoek.officielebekendmakingen.nl/stcrt-2026-8587.html" TargetMode="External"/><Relationship Id="rId2" Type="http://schemas.openxmlformats.org/officeDocument/2006/relationships/styles" Target="styles.xml"/><Relationship Id="rId16" Type="http://schemas.openxmlformats.org/officeDocument/2006/relationships/hyperlink" Target="https://zoek.officielebekendmakingen.nl/stcrt-2026-8587.html" TargetMode="External"/><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ur-lex.europa.eu/legal-content/NL/AUTO/?uri=celex:32003R1210" TargetMode="External"/><Relationship Id="rId5" Type="http://schemas.openxmlformats.org/officeDocument/2006/relationships/footnotes" Target="footnotes.xml"/><Relationship Id="rId15" Type="http://schemas.openxmlformats.org/officeDocument/2006/relationships/hyperlink" Target="https://zoek.officielebekendmakingen.nl/stcrt-2026-8587.html" TargetMode="External"/><Relationship Id="rId23" Type="http://schemas.openxmlformats.org/officeDocument/2006/relationships/theme" Target="theme/theme1.xml"/><Relationship Id="rId10" Type="http://schemas.openxmlformats.org/officeDocument/2006/relationships/hyperlink" Target="https://eur-lex.europa.eu/legal-content/NL/TXT/?uri=CELEX:33429R2023"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eur-lex.europa.eu/legal-content/NL/TXT/?uri=CELEX:32012R0267" TargetMode="External"/><Relationship Id="rId14" Type="http://schemas.openxmlformats.org/officeDocument/2006/relationships/hyperlink" Target="https://zoek.officielebekendmakingen.nl/stcrt-2026-8587.html"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data.europa.eu/eli/reg/2003/1727/oj" TargetMode="External"/><Relationship Id="rId13" Type="http://schemas.openxmlformats.org/officeDocument/2006/relationships/hyperlink" Target="http://data.europa.eu/eli/reg/2021/1275/oj" TargetMode="External"/><Relationship Id="rId18" Type="http://schemas.openxmlformats.org/officeDocument/2006/relationships/hyperlink" Target="http://data.europa.eu/eli/dec/2014/512/oj" TargetMode="External"/><Relationship Id="rId26" Type="http://schemas.openxmlformats.org/officeDocument/2006/relationships/hyperlink" Target="http://data.europa.eu/eli/reg/2015/735/oj" TargetMode="External"/><Relationship Id="rId3" Type="http://schemas.openxmlformats.org/officeDocument/2006/relationships/hyperlink" Target="http://data.europa.eu/eli/dec/2016/1693/oj" TargetMode="External"/><Relationship Id="rId21" Type="http://schemas.openxmlformats.org/officeDocument/2006/relationships/hyperlink" Target="http://data.europa.eu/eli/dec/2010/231/oj" TargetMode="External"/><Relationship Id="rId7" Type="http://schemas.openxmlformats.org/officeDocument/2006/relationships/hyperlink" Target="http://data.europa.eu/eli/reg/2003/1727/oj" TargetMode="External"/><Relationship Id="rId12" Type="http://schemas.openxmlformats.org/officeDocument/2006/relationships/hyperlink" Target="http://data.europa.eu/eli/reg/2017/1509/oj" TargetMode="External"/><Relationship Id="rId17" Type="http://schemas.openxmlformats.org/officeDocument/2006/relationships/hyperlink" Target="http://data.europa.eu/eli/reg/2014/833/oj" TargetMode="External"/><Relationship Id="rId25" Type="http://schemas.openxmlformats.org/officeDocument/2006/relationships/hyperlink" Target="http://data.europa.eu/eli/reg/2004/314/oj" TargetMode="External"/><Relationship Id="rId2" Type="http://schemas.openxmlformats.org/officeDocument/2006/relationships/hyperlink" Target="http://data.europa.eu/eli/reg/2011/753/oj" TargetMode="External"/><Relationship Id="rId16" Type="http://schemas.openxmlformats.org/officeDocument/2006/relationships/hyperlink" Target="http://data.europa.eu/eli/reg/2016/44/oj" TargetMode="External"/><Relationship Id="rId20" Type="http://schemas.openxmlformats.org/officeDocument/2006/relationships/hyperlink" Target="http://data.europa.eu/eli/reg/2003/147/oj" TargetMode="External"/><Relationship Id="rId1" Type="http://schemas.openxmlformats.org/officeDocument/2006/relationships/hyperlink" Target="http://data.europa.eu/eli/dec/2011/486/oj" TargetMode="External"/><Relationship Id="rId6" Type="http://schemas.openxmlformats.org/officeDocument/2006/relationships/hyperlink" Target="http://data.europa.eu/eli/dec/2013/798/oj" TargetMode="External"/><Relationship Id="rId11" Type="http://schemas.openxmlformats.org/officeDocument/2006/relationships/hyperlink" Target="http://data.europa.eu/eli/dec/2016/849/oj" TargetMode="External"/><Relationship Id="rId24" Type="http://schemas.openxmlformats.org/officeDocument/2006/relationships/hyperlink" Target="http://data.europa.eu/eli/dec/2017/2074/2021-02-22" TargetMode="External"/><Relationship Id="rId5" Type="http://schemas.openxmlformats.org/officeDocument/2006/relationships/hyperlink" Target="http://data.europa.eu/eli/reg/2013/401/oj" TargetMode="External"/><Relationship Id="rId15" Type="http://schemas.openxmlformats.org/officeDocument/2006/relationships/hyperlink" Target="http://data.europa.eu/eli/reg/2016/44/oj" TargetMode="External"/><Relationship Id="rId23" Type="http://schemas.openxmlformats.org/officeDocument/2006/relationships/hyperlink" Target="http://data.europa.eu/eli/reg/2012/36/oj" TargetMode="External"/><Relationship Id="rId10" Type="http://schemas.openxmlformats.org/officeDocument/2006/relationships/hyperlink" Target="http://data.europa.eu/eli/dec/2015/882/oj" TargetMode="External"/><Relationship Id="rId19" Type="http://schemas.openxmlformats.org/officeDocument/2006/relationships/hyperlink" Target="http://data.europa.eu/eli/dec/2014/450/oj" TargetMode="External"/><Relationship Id="rId4" Type="http://schemas.openxmlformats.org/officeDocument/2006/relationships/hyperlink" Target="http://data.europa.eu/eli/reg/2011/588/oj" TargetMode="External"/><Relationship Id="rId9" Type="http://schemas.openxmlformats.org/officeDocument/2006/relationships/hyperlink" Target="http://data.europa.eu/eli/dec/2010/413/oj" TargetMode="External"/><Relationship Id="rId14" Type="http://schemas.openxmlformats.org/officeDocument/2006/relationships/hyperlink" Target="http://data.europa.eu/eli/reg/2006/1412/oj" TargetMode="External"/><Relationship Id="rId22" Type="http://schemas.openxmlformats.org/officeDocument/2006/relationships/hyperlink" Target="http://data.europa.eu/eli/dec/2013/25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8767</Words>
  <Characters>50810</Characters>
  <Application>Microsoft Office Word</Application>
  <DocSecurity>0</DocSecurity>
  <Lines>423</Lines>
  <Paragraphs>118</Paragraphs>
  <ScaleCrop>false</ScaleCrop>
  <HeadingPairs>
    <vt:vector size="2" baseType="variant">
      <vt:variant>
        <vt:lpstr>Title</vt:lpstr>
      </vt:variant>
      <vt:variant>
        <vt:i4>1</vt:i4>
      </vt:variant>
    </vt:vector>
  </HeadingPairs>
  <TitlesOfParts>
    <vt:vector size="1" baseType="lpstr">
      <vt:lpstr>pb</vt:lpstr>
    </vt:vector>
  </TitlesOfParts>
  <Company/>
  <LinksUpToDate>false</LinksUpToDate>
  <CharactersWithSpaces>59459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pb</dc:title>
  <dc:subject/>
  <dc:creator>Haidrick Kerindongo</dc:creator>
  <cp:keywords/>
  <cp:lastModifiedBy>WJZ Project 1</cp:lastModifiedBy>
  <cp:revision>2</cp:revision>
  <cp:lastPrinted>2011-07-22T21:19:00Z</cp:lastPrinted>
  <dcterms:created xsi:type="dcterms:W3CDTF">2026-08-04T20:46:00Z</dcterms:created>
  <dcterms:modified xsi:type="dcterms:W3CDTF">2026-08-04T20:46:00Z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
  </property>
</Properties>
</file>