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516FE">
        <w:rPr>
          <w:b/>
          <w:sz w:val="36"/>
          <w:szCs w:val="36"/>
          <w:lang w:val="nl-NL"/>
        </w:rPr>
        <w:t>47</w:t>
      </w:r>
      <w:r w:rsidR="00043562" w:rsidRPr="007516FE">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43562" w:rsidRPr="00043562" w:rsidRDefault="00043562" w:rsidP="00043562">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i/>
          <w:color w:val="FF0000"/>
          <w:sz w:val="22"/>
          <w:szCs w:val="22"/>
          <w:lang w:val="nl-NL"/>
        </w:rPr>
      </w:pPr>
      <w:r w:rsidRPr="00043562">
        <w:rPr>
          <w:rFonts w:ascii="Palatino Linotype" w:hAnsi="Palatino Linotype"/>
          <w:b/>
          <w:sz w:val="22"/>
          <w:szCs w:val="22"/>
          <w:lang w:val="nl-NL"/>
        </w:rPr>
        <w:t>MINISTERIËLE  BESCHIKKING van de 28</w:t>
      </w:r>
      <w:r w:rsidRPr="00043562">
        <w:rPr>
          <w:rFonts w:ascii="Palatino Linotype" w:hAnsi="Palatino Linotype"/>
          <w:b/>
          <w:sz w:val="22"/>
          <w:szCs w:val="22"/>
          <w:vertAlign w:val="superscript"/>
          <w:lang w:val="nl-NL"/>
        </w:rPr>
        <w:t>ste</w:t>
      </w:r>
      <w:r w:rsidRPr="00043562">
        <w:rPr>
          <w:rFonts w:ascii="Palatino Linotype" w:hAnsi="Palatino Linotype"/>
          <w:b/>
          <w:sz w:val="22"/>
          <w:szCs w:val="22"/>
          <w:lang w:val="nl-NL"/>
        </w:rPr>
        <w:t xml:space="preserve"> maart 2025, no. 2024/044756, houdende vaststelling van de geconsolideerde tekst van de Uitvoeringsbeschikking burgerlijke stand</w:t>
      </w:r>
      <w:r w:rsidRPr="00043562">
        <w:rPr>
          <w:rFonts w:ascii="Palatino Linotype" w:hAnsi="Palatino Linotype"/>
          <w:b/>
          <w:sz w:val="22"/>
          <w:szCs w:val="22"/>
          <w:vertAlign w:val="superscript"/>
          <w:lang w:val="nl-NL"/>
        </w:rPr>
        <w:footnoteReference w:id="1"/>
      </w:r>
    </w:p>
    <w:p w:rsidR="00043562" w:rsidRPr="00043562" w:rsidRDefault="00043562" w:rsidP="00043562">
      <w:pPr>
        <w:widowControl/>
        <w:rPr>
          <w:rFonts w:ascii="Palatino Linotype" w:hAnsi="Palatino Linotype"/>
          <w:i/>
          <w:snapToGrid/>
          <w:sz w:val="22"/>
          <w:szCs w:val="22"/>
          <w:lang w:val="nl-NL"/>
        </w:rPr>
      </w:pPr>
    </w:p>
    <w:p w:rsidR="00043562" w:rsidRPr="00043562" w:rsidRDefault="00043562" w:rsidP="00043562">
      <w:pPr>
        <w:widowControl/>
        <w:jc w:val="center"/>
        <w:rPr>
          <w:rFonts w:ascii="Palatino Linotype" w:hAnsi="Palatino Linotype"/>
          <w:snapToGrid/>
          <w:sz w:val="22"/>
          <w:szCs w:val="22"/>
          <w:lang w:val="nl-NL"/>
        </w:rPr>
      </w:pPr>
      <w:r w:rsidRPr="00043562">
        <w:rPr>
          <w:rFonts w:ascii="Palatino Linotype" w:hAnsi="Palatino Linotype"/>
          <w:snapToGrid/>
          <w:sz w:val="22"/>
          <w:szCs w:val="22"/>
          <w:lang w:val="nl-NL"/>
        </w:rPr>
        <w:t>____________</w:t>
      </w:r>
    </w:p>
    <w:p w:rsidR="00043562" w:rsidRPr="00043562" w:rsidRDefault="00043562" w:rsidP="00043562">
      <w:pPr>
        <w:widowControl/>
        <w:jc w:val="center"/>
        <w:rPr>
          <w:rFonts w:ascii="Palatino Linotype" w:hAnsi="Palatino Linotype"/>
          <w:snapToGrid/>
          <w:sz w:val="22"/>
          <w:szCs w:val="22"/>
          <w:lang w:val="nl-NL"/>
        </w:rPr>
      </w:pPr>
    </w:p>
    <w:p w:rsidR="00043562" w:rsidRPr="00043562" w:rsidRDefault="00043562" w:rsidP="00043562">
      <w:pPr>
        <w:widowControl/>
        <w:jc w:val="center"/>
        <w:rPr>
          <w:rFonts w:ascii="Palatino Linotype" w:hAnsi="Palatino Linotype"/>
          <w:snapToGrid/>
          <w:sz w:val="22"/>
          <w:szCs w:val="22"/>
          <w:lang w:val="nl-NL"/>
        </w:rPr>
      </w:pPr>
      <w:r w:rsidRPr="00043562">
        <w:rPr>
          <w:rFonts w:ascii="Palatino Linotype" w:hAnsi="Palatino Linotype"/>
          <w:snapToGrid/>
          <w:sz w:val="22"/>
          <w:szCs w:val="22"/>
          <w:lang w:val="nl-NL"/>
        </w:rPr>
        <w:t>De Minister van Justitie,</w:t>
      </w:r>
    </w:p>
    <w:p w:rsidR="00043562" w:rsidRPr="00043562" w:rsidRDefault="00043562" w:rsidP="00043562">
      <w:pPr>
        <w:widowControl/>
        <w:tabs>
          <w:tab w:val="left" w:pos="3345"/>
        </w:tabs>
        <w:ind w:firstLine="3"/>
        <w:jc w:val="both"/>
        <w:rPr>
          <w:rFonts w:ascii="Palatino Linotype" w:hAnsi="Palatino Linotype"/>
          <w:snapToGrid/>
          <w:spacing w:val="-3"/>
          <w:sz w:val="22"/>
          <w:szCs w:val="22"/>
          <w:lang w:val="nl-NL"/>
        </w:rPr>
      </w:pPr>
      <w:r w:rsidRPr="00043562">
        <w:rPr>
          <w:rFonts w:ascii="Palatino Linotype" w:hAnsi="Palatino Linotype"/>
          <w:snapToGrid/>
          <w:spacing w:val="-3"/>
          <w:sz w:val="22"/>
          <w:szCs w:val="22"/>
          <w:lang w:val="nl-NL"/>
        </w:rPr>
        <w:tab/>
      </w:r>
    </w:p>
    <w:p w:rsidR="00043562" w:rsidRPr="00043562" w:rsidRDefault="00043562" w:rsidP="00043562">
      <w:pPr>
        <w:widowControl/>
        <w:jc w:val="both"/>
        <w:rPr>
          <w:rFonts w:ascii="Palatino Linotype" w:hAnsi="Palatino Linotype"/>
          <w:snapToGrid/>
          <w:spacing w:val="-3"/>
          <w:sz w:val="22"/>
          <w:szCs w:val="22"/>
          <w:lang w:val="nl-NL"/>
        </w:rPr>
      </w:pPr>
      <w:r w:rsidRPr="00043562">
        <w:rPr>
          <w:rFonts w:ascii="Palatino Linotype" w:hAnsi="Palatino Linotype"/>
          <w:snapToGrid/>
          <w:spacing w:val="-3"/>
          <w:sz w:val="22"/>
          <w:szCs w:val="22"/>
          <w:lang w:val="nl-NL"/>
        </w:rPr>
        <w:t>Gelet op:</w:t>
      </w:r>
    </w:p>
    <w:p w:rsidR="00043562" w:rsidRPr="00043562" w:rsidRDefault="00043562" w:rsidP="00043562">
      <w:pPr>
        <w:widowControl/>
        <w:ind w:firstLine="3"/>
        <w:jc w:val="both"/>
        <w:rPr>
          <w:rFonts w:ascii="Palatino Linotype" w:hAnsi="Palatino Linotype"/>
          <w:snapToGrid/>
          <w:spacing w:val="-3"/>
          <w:sz w:val="22"/>
          <w:szCs w:val="22"/>
          <w:lang w:val="nl-NL"/>
        </w:rPr>
      </w:pPr>
    </w:p>
    <w:p w:rsidR="00043562" w:rsidRPr="00043562" w:rsidRDefault="00043562" w:rsidP="00043562">
      <w:pPr>
        <w:widowControl/>
        <w:ind w:firstLine="3"/>
        <w:jc w:val="both"/>
        <w:rPr>
          <w:rFonts w:ascii="Palatino Linotype" w:hAnsi="Palatino Linotype"/>
          <w:snapToGrid/>
          <w:spacing w:val="-3"/>
          <w:sz w:val="22"/>
          <w:szCs w:val="22"/>
          <w:lang w:val="nl-NL"/>
        </w:rPr>
      </w:pPr>
      <w:r w:rsidRPr="00043562">
        <w:rPr>
          <w:rFonts w:ascii="Palatino Linotype" w:hAnsi="Palatino Linotype"/>
          <w:snapToGrid/>
          <w:spacing w:val="-3"/>
          <w:sz w:val="22"/>
          <w:szCs w:val="22"/>
          <w:lang w:val="nl-NL"/>
        </w:rPr>
        <w:t>de Algemene overgangsregeling wetgeving en bestuur Land Curaçao</w:t>
      </w:r>
      <w:r w:rsidRPr="00043562">
        <w:rPr>
          <w:rFonts w:ascii="Palatino Linotype" w:hAnsi="Palatino Linotype"/>
          <w:snapToGrid/>
          <w:spacing w:val="-3"/>
          <w:sz w:val="22"/>
          <w:szCs w:val="22"/>
          <w:vertAlign w:val="superscript"/>
          <w:lang w:val="nl-NL"/>
        </w:rPr>
        <w:footnoteReference w:id="2"/>
      </w:r>
      <w:r w:rsidRPr="00043562">
        <w:rPr>
          <w:rFonts w:ascii="Palatino Linotype" w:hAnsi="Palatino Linotype"/>
          <w:snapToGrid/>
          <w:spacing w:val="-3"/>
          <w:sz w:val="22"/>
          <w:szCs w:val="22"/>
          <w:lang w:val="nl-NL"/>
        </w:rPr>
        <w:t>;</w:t>
      </w:r>
    </w:p>
    <w:p w:rsidR="00043562" w:rsidRPr="00043562" w:rsidRDefault="00043562" w:rsidP="00043562">
      <w:pPr>
        <w:widowControl/>
        <w:ind w:right="-46" w:firstLine="3"/>
        <w:jc w:val="both"/>
        <w:rPr>
          <w:rFonts w:ascii="Palatino Linotype" w:hAnsi="Palatino Linotype"/>
          <w:snapToGrid/>
          <w:spacing w:val="-3"/>
          <w:sz w:val="22"/>
          <w:szCs w:val="22"/>
          <w:lang w:val="nl-NL"/>
        </w:rPr>
      </w:pPr>
    </w:p>
    <w:p w:rsidR="00043562" w:rsidRPr="00043562" w:rsidRDefault="00043562" w:rsidP="00043562">
      <w:pPr>
        <w:widowControl/>
        <w:ind w:right="-46" w:firstLine="3"/>
        <w:jc w:val="center"/>
        <w:rPr>
          <w:rFonts w:ascii="Palatino Linotype" w:hAnsi="Palatino Linotype"/>
          <w:snapToGrid/>
          <w:spacing w:val="-3"/>
          <w:sz w:val="22"/>
          <w:szCs w:val="22"/>
          <w:lang w:val="nl-NL"/>
        </w:rPr>
      </w:pPr>
      <w:r w:rsidRPr="00043562">
        <w:rPr>
          <w:rFonts w:ascii="Palatino Linotype" w:hAnsi="Palatino Linotype"/>
          <w:snapToGrid/>
          <w:spacing w:val="-3"/>
          <w:sz w:val="22"/>
          <w:szCs w:val="22"/>
          <w:lang w:val="nl-NL"/>
        </w:rPr>
        <w:t>Heeft goedgevonden:</w:t>
      </w:r>
    </w:p>
    <w:p w:rsidR="00043562" w:rsidRPr="00043562" w:rsidRDefault="00043562" w:rsidP="00043562">
      <w:pPr>
        <w:rPr>
          <w:rFonts w:ascii="Palatino Linotype" w:hAnsi="Palatino Linotype"/>
          <w:sz w:val="22"/>
          <w:szCs w:val="22"/>
          <w:lang w:val="nl-NL"/>
        </w:rPr>
      </w:pPr>
    </w:p>
    <w:p w:rsidR="00043562" w:rsidRPr="00043562" w:rsidRDefault="00043562" w:rsidP="00043562">
      <w:pPr>
        <w:jc w:val="center"/>
        <w:rPr>
          <w:rFonts w:ascii="Palatino Linotype" w:hAnsi="Palatino Linotype"/>
          <w:sz w:val="22"/>
          <w:szCs w:val="22"/>
          <w:lang w:val="nl-NL"/>
        </w:rPr>
      </w:pPr>
      <w:r w:rsidRPr="00043562">
        <w:rPr>
          <w:rFonts w:ascii="Palatino Linotype" w:hAnsi="Palatino Linotype"/>
          <w:sz w:val="22"/>
          <w:szCs w:val="22"/>
          <w:lang w:val="nl-NL"/>
        </w:rPr>
        <w:t>Artikel 1</w:t>
      </w:r>
    </w:p>
    <w:p w:rsidR="00043562" w:rsidRPr="00043562" w:rsidRDefault="00043562" w:rsidP="00043562">
      <w:pPr>
        <w:jc w:val="center"/>
        <w:rPr>
          <w:rFonts w:ascii="Palatino Linotype" w:hAnsi="Palatino Linotype"/>
          <w:sz w:val="22"/>
          <w:szCs w:val="22"/>
          <w:lang w:val="nl-NL"/>
        </w:rPr>
      </w:pPr>
    </w:p>
    <w:p w:rsidR="00043562" w:rsidRPr="00043562" w:rsidRDefault="00043562" w:rsidP="00043562">
      <w:pPr>
        <w:jc w:val="both"/>
        <w:rPr>
          <w:rFonts w:ascii="Palatino Linotype" w:hAnsi="Palatino Linotype"/>
          <w:sz w:val="22"/>
          <w:szCs w:val="22"/>
          <w:lang w:val="nl-NL"/>
        </w:rPr>
      </w:pPr>
      <w:r w:rsidRPr="00043562">
        <w:rPr>
          <w:rFonts w:ascii="Palatino Linotype" w:hAnsi="Palatino Linotype"/>
          <w:sz w:val="22"/>
          <w:szCs w:val="22"/>
          <w:lang w:val="nl-NL"/>
        </w:rPr>
        <w:t>De geconsolideerde tekst van de</w:t>
      </w:r>
      <w:r w:rsidRPr="00043562">
        <w:rPr>
          <w:lang w:val="nl-NL"/>
        </w:rPr>
        <w:t xml:space="preserve"> </w:t>
      </w:r>
      <w:r w:rsidRPr="00043562">
        <w:rPr>
          <w:rFonts w:ascii="Palatino Linotype" w:hAnsi="Palatino Linotype"/>
          <w:sz w:val="22"/>
          <w:szCs w:val="22"/>
          <w:lang w:val="nl-NL"/>
        </w:rPr>
        <w:t>Uitvoeringsbeschikking burgerlijke stand opgenomen in de bijlage bij deze ministeriële beschikking wordt vastgesteld.</w:t>
      </w:r>
    </w:p>
    <w:p w:rsidR="00043562" w:rsidRPr="00043562" w:rsidRDefault="00043562" w:rsidP="00043562">
      <w:pPr>
        <w:jc w:val="both"/>
        <w:rPr>
          <w:rFonts w:ascii="Palatino Linotype" w:hAnsi="Palatino Linotype"/>
          <w:sz w:val="22"/>
          <w:szCs w:val="22"/>
          <w:lang w:val="nl-NL"/>
        </w:rPr>
      </w:pPr>
    </w:p>
    <w:p w:rsidR="00043562" w:rsidRPr="00043562" w:rsidRDefault="00043562" w:rsidP="00043562">
      <w:pPr>
        <w:jc w:val="center"/>
        <w:rPr>
          <w:rFonts w:ascii="Palatino Linotype" w:hAnsi="Palatino Linotype"/>
          <w:sz w:val="22"/>
          <w:szCs w:val="22"/>
          <w:lang w:val="nl-NL"/>
        </w:rPr>
      </w:pPr>
      <w:r w:rsidRPr="00043562">
        <w:rPr>
          <w:rFonts w:ascii="Palatino Linotype" w:hAnsi="Palatino Linotype"/>
          <w:sz w:val="22"/>
          <w:szCs w:val="22"/>
          <w:lang w:val="nl-NL"/>
        </w:rPr>
        <w:t>Artikel 2</w:t>
      </w:r>
    </w:p>
    <w:p w:rsidR="00043562" w:rsidRPr="00043562" w:rsidRDefault="00043562" w:rsidP="00043562">
      <w:pPr>
        <w:jc w:val="center"/>
        <w:rPr>
          <w:rFonts w:ascii="Palatino Linotype" w:hAnsi="Palatino Linotype"/>
          <w:sz w:val="22"/>
          <w:szCs w:val="22"/>
          <w:lang w:val="nl-NL"/>
        </w:rPr>
      </w:pPr>
    </w:p>
    <w:p w:rsidR="00043562" w:rsidRPr="00043562" w:rsidRDefault="00043562" w:rsidP="00043562">
      <w:pPr>
        <w:jc w:val="both"/>
        <w:rPr>
          <w:rFonts w:ascii="Palatino Linotype" w:hAnsi="Palatino Linotype"/>
          <w:sz w:val="22"/>
          <w:szCs w:val="22"/>
          <w:lang w:val="nl-NL"/>
        </w:rPr>
      </w:pPr>
      <w:r w:rsidRPr="00043562">
        <w:rPr>
          <w:rFonts w:ascii="Palatino Linotype" w:hAnsi="Palatino Linotype"/>
          <w:sz w:val="22"/>
          <w:szCs w:val="22"/>
          <w:lang w:val="nl-NL"/>
        </w:rPr>
        <w:t>Deze ministeriële beschikking met bijbehorende bijlage wordt bekendgemaakt in het Publicatieblad.</w:t>
      </w:r>
    </w:p>
    <w:p w:rsidR="00043562" w:rsidRPr="00043562" w:rsidRDefault="00043562" w:rsidP="00043562">
      <w:pPr>
        <w:rPr>
          <w:rFonts w:ascii="Palatino Linotype" w:hAnsi="Palatino Linotype"/>
          <w:sz w:val="22"/>
          <w:szCs w:val="22"/>
          <w:lang w:val="nl-NL"/>
        </w:rPr>
      </w:pPr>
    </w:p>
    <w:p w:rsidR="00043562" w:rsidRPr="00043562" w:rsidRDefault="00043562" w:rsidP="00043562">
      <w:pPr>
        <w:rPr>
          <w:rFonts w:ascii="Palatino Linotype" w:hAnsi="Palatino Linotype"/>
          <w:sz w:val="22"/>
          <w:szCs w:val="22"/>
          <w:lang w:val="nl-NL"/>
        </w:rPr>
      </w:pPr>
    </w:p>
    <w:p w:rsidR="00043562" w:rsidRPr="00043562" w:rsidRDefault="00043562" w:rsidP="00043562">
      <w:pPr>
        <w:rPr>
          <w:rFonts w:ascii="Palatino Linotype" w:hAnsi="Palatino Linotype"/>
          <w:sz w:val="22"/>
          <w:szCs w:val="22"/>
          <w:lang w:val="nl-NL"/>
        </w:rPr>
      </w:pPr>
    </w:p>
    <w:p w:rsidR="00043562" w:rsidRPr="00043562" w:rsidRDefault="00043562" w:rsidP="00043562">
      <w:pPr>
        <w:ind w:left="4860" w:right="670"/>
        <w:rPr>
          <w:rFonts w:ascii="Palatino Linotype" w:hAnsi="Palatino Linotype"/>
          <w:sz w:val="22"/>
          <w:szCs w:val="22"/>
          <w:lang w:val="nl-NL"/>
        </w:rPr>
      </w:pPr>
      <w:r w:rsidRPr="00043562">
        <w:rPr>
          <w:rFonts w:ascii="Palatino Linotype" w:hAnsi="Palatino Linotype"/>
          <w:sz w:val="22"/>
          <w:szCs w:val="22"/>
          <w:lang w:val="nl-NL"/>
        </w:rPr>
        <w:t xml:space="preserve">Gegeven te Willemstad, </w:t>
      </w:r>
      <w:r>
        <w:rPr>
          <w:rFonts w:ascii="Palatino Linotype" w:hAnsi="Palatino Linotype"/>
          <w:sz w:val="22"/>
          <w:szCs w:val="22"/>
          <w:lang w:val="nl-NL"/>
        </w:rPr>
        <w:t>28 maart 2025</w:t>
      </w:r>
    </w:p>
    <w:p w:rsidR="00043562" w:rsidRDefault="00043562" w:rsidP="00043562">
      <w:pPr>
        <w:ind w:left="4860" w:right="2110"/>
        <w:jc w:val="both"/>
        <w:rPr>
          <w:rFonts w:ascii="Palatino Linotype" w:hAnsi="Palatino Linotype"/>
          <w:sz w:val="22"/>
          <w:szCs w:val="22"/>
          <w:lang w:val="nl-NL"/>
        </w:rPr>
      </w:pPr>
      <w:r w:rsidRPr="00043562">
        <w:rPr>
          <w:rFonts w:ascii="Palatino Linotype" w:hAnsi="Palatino Linotype"/>
          <w:sz w:val="22"/>
          <w:szCs w:val="22"/>
          <w:lang w:val="nl-NL"/>
        </w:rPr>
        <w:t>De Minister van Justitie,</w:t>
      </w:r>
    </w:p>
    <w:p w:rsidR="00043562" w:rsidRPr="00043562" w:rsidRDefault="00043562" w:rsidP="00043562">
      <w:pPr>
        <w:ind w:left="4860" w:right="2110"/>
        <w:jc w:val="center"/>
        <w:rPr>
          <w:rFonts w:ascii="Palatino Linotype" w:hAnsi="Palatino Linotype"/>
          <w:sz w:val="22"/>
          <w:szCs w:val="22"/>
          <w:lang w:val="nl-NL"/>
        </w:rPr>
      </w:pPr>
      <w:r w:rsidRPr="00043562">
        <w:rPr>
          <w:rFonts w:ascii="Palatino Linotype" w:hAnsi="Palatino Linotype"/>
          <w:sz w:val="22"/>
          <w:szCs w:val="22"/>
          <w:lang w:val="nl-NL"/>
        </w:rPr>
        <w:t>S.X.T. HATO</w:t>
      </w:r>
    </w:p>
    <w:p w:rsidR="00043562" w:rsidRPr="00043562" w:rsidRDefault="00043562" w:rsidP="00043562">
      <w:pPr>
        <w:jc w:val="both"/>
        <w:rPr>
          <w:rFonts w:ascii="Palatino Linotype" w:hAnsi="Palatino Linotype"/>
          <w:sz w:val="22"/>
          <w:szCs w:val="22"/>
          <w:lang w:val="nl-NL"/>
        </w:rPr>
      </w:pPr>
    </w:p>
    <w:p w:rsidR="00043562" w:rsidRDefault="00043562" w:rsidP="00043562">
      <w:pPr>
        <w:ind w:right="130"/>
        <w:jc w:val="both"/>
        <w:rPr>
          <w:rFonts w:ascii="Palatino Linotype" w:hAnsi="Palatino Linotype"/>
          <w:sz w:val="22"/>
          <w:szCs w:val="22"/>
          <w:lang w:val="nl-NL"/>
        </w:rPr>
      </w:pPr>
    </w:p>
    <w:p w:rsidR="00043562" w:rsidRPr="00043562" w:rsidRDefault="00043562" w:rsidP="00043562">
      <w:pPr>
        <w:ind w:left="4860" w:right="130"/>
        <w:jc w:val="both"/>
        <w:rPr>
          <w:rFonts w:ascii="Palatino Linotype" w:hAnsi="Palatino Linotype"/>
          <w:sz w:val="22"/>
          <w:szCs w:val="22"/>
          <w:lang w:val="nl-NL"/>
        </w:rPr>
      </w:pPr>
      <w:r w:rsidRPr="00043562">
        <w:rPr>
          <w:rFonts w:ascii="Palatino Linotype" w:hAnsi="Palatino Linotype"/>
          <w:sz w:val="22"/>
          <w:szCs w:val="22"/>
          <w:lang w:val="nl-NL"/>
        </w:rPr>
        <w:t xml:space="preserve">Uitgegeven de </w:t>
      </w:r>
      <w:r w:rsidR="00FC69FC">
        <w:rPr>
          <w:rFonts w:ascii="Palatino Linotype" w:hAnsi="Palatino Linotype"/>
          <w:sz w:val="22"/>
          <w:szCs w:val="22"/>
          <w:lang w:val="nl-NL"/>
        </w:rPr>
        <w:t>13</w:t>
      </w:r>
      <w:bookmarkStart w:id="0" w:name="_GoBack"/>
      <w:bookmarkEnd w:id="0"/>
      <w:r w:rsidRPr="00043562">
        <w:rPr>
          <w:rFonts w:ascii="Palatino Linotype" w:hAnsi="Palatino Linotype"/>
          <w:sz w:val="22"/>
          <w:szCs w:val="22"/>
          <w:vertAlign w:val="superscript"/>
          <w:lang w:val="nl-NL"/>
        </w:rPr>
        <w:t>de</w:t>
      </w:r>
      <w:r>
        <w:rPr>
          <w:rFonts w:ascii="Palatino Linotype" w:hAnsi="Palatino Linotype"/>
          <w:sz w:val="22"/>
          <w:szCs w:val="22"/>
          <w:lang w:val="nl-NL"/>
        </w:rPr>
        <w:t xml:space="preserve"> mei 2025</w:t>
      </w:r>
    </w:p>
    <w:p w:rsidR="00043562" w:rsidRDefault="00043562" w:rsidP="00043562">
      <w:pPr>
        <w:ind w:left="4860" w:right="1120"/>
        <w:jc w:val="both"/>
        <w:rPr>
          <w:rFonts w:ascii="Palatino Linotype" w:hAnsi="Palatino Linotype"/>
          <w:sz w:val="22"/>
          <w:szCs w:val="22"/>
          <w:lang w:val="nl-NL"/>
        </w:rPr>
      </w:pPr>
      <w:r w:rsidRPr="00043562">
        <w:rPr>
          <w:rFonts w:ascii="Palatino Linotype" w:hAnsi="Palatino Linotype"/>
          <w:sz w:val="22"/>
          <w:szCs w:val="22"/>
          <w:lang w:val="nl-NL"/>
        </w:rPr>
        <w:t>De Minister van Algemene Zaken,</w:t>
      </w:r>
    </w:p>
    <w:p w:rsidR="00043562" w:rsidRPr="00043562" w:rsidRDefault="00043562" w:rsidP="00043562">
      <w:pPr>
        <w:ind w:left="4860" w:right="1120"/>
        <w:jc w:val="center"/>
        <w:rPr>
          <w:rFonts w:ascii="Palatino Linotype" w:hAnsi="Palatino Linotype"/>
          <w:sz w:val="22"/>
          <w:szCs w:val="22"/>
          <w:lang w:val="nl-NL"/>
        </w:rPr>
      </w:pPr>
      <w:r w:rsidRPr="00043562">
        <w:rPr>
          <w:rFonts w:ascii="Palatino Linotype" w:hAnsi="Palatino Linotype"/>
          <w:sz w:val="22"/>
          <w:szCs w:val="22"/>
          <w:lang w:val="nl-NL"/>
        </w:rPr>
        <w:t>G.S. PISAS</w:t>
      </w:r>
    </w:p>
    <w:p w:rsidR="00043562" w:rsidRPr="00043562" w:rsidRDefault="00043562" w:rsidP="00043562">
      <w:pPr>
        <w:ind w:left="4860" w:right="1120"/>
        <w:jc w:val="both"/>
        <w:rPr>
          <w:rFonts w:ascii="Palatino Linotype" w:hAnsi="Palatino Linotype"/>
          <w:sz w:val="22"/>
          <w:szCs w:val="22"/>
          <w:lang w:val="nl-NL"/>
        </w:rPr>
      </w:pPr>
    </w:p>
    <w:p w:rsidR="00043562" w:rsidRPr="00043562" w:rsidRDefault="00043562" w:rsidP="00043562">
      <w:pPr>
        <w:ind w:left="4560"/>
        <w:jc w:val="both"/>
        <w:rPr>
          <w:rFonts w:ascii="Palatino Linotype" w:hAnsi="Palatino Linotype"/>
          <w:sz w:val="22"/>
          <w:szCs w:val="22"/>
          <w:lang w:val="nl-NL"/>
        </w:rPr>
      </w:pPr>
    </w:p>
    <w:p w:rsidR="00043562" w:rsidRPr="00043562" w:rsidRDefault="00043562" w:rsidP="00043562">
      <w:pPr>
        <w:pBdr>
          <w:bottom w:val="single" w:sz="6" w:space="1" w:color="auto"/>
        </w:pBdr>
        <w:ind w:right="-29"/>
        <w:jc w:val="both"/>
        <w:rPr>
          <w:rFonts w:ascii="Palatino Linotype" w:hAnsi="Palatino Linotype"/>
          <w:i/>
          <w:color w:val="000000"/>
          <w:sz w:val="22"/>
          <w:szCs w:val="22"/>
          <w:lang w:val="nl-NL"/>
        </w:rPr>
      </w:pPr>
      <w:r w:rsidRPr="00043562">
        <w:rPr>
          <w:rFonts w:ascii="Palatino Linotype" w:hAnsi="Palatino Linotype"/>
          <w:sz w:val="22"/>
          <w:szCs w:val="22"/>
          <w:lang w:val="nl-NL"/>
        </w:rPr>
        <w:br w:type="page"/>
      </w:r>
      <w:r w:rsidRPr="00043562">
        <w:rPr>
          <w:rFonts w:ascii="Palatino Linotype" w:hAnsi="Palatino Linotype"/>
          <w:sz w:val="22"/>
          <w:szCs w:val="22"/>
          <w:lang w:val="nl-NL"/>
        </w:rPr>
        <w:lastRenderedPageBreak/>
        <w:t>BIJLAGE behorende bij de Ministeriële beschikking van de 28</w:t>
      </w:r>
      <w:r w:rsidRPr="00043562">
        <w:rPr>
          <w:rFonts w:ascii="Palatino Linotype" w:hAnsi="Palatino Linotype"/>
          <w:sz w:val="22"/>
          <w:szCs w:val="22"/>
          <w:vertAlign w:val="superscript"/>
          <w:lang w:val="nl-NL"/>
        </w:rPr>
        <w:t>ste</w:t>
      </w:r>
      <w:r w:rsidRPr="00043562">
        <w:rPr>
          <w:rFonts w:ascii="Palatino Linotype" w:hAnsi="Palatino Linotype"/>
          <w:sz w:val="22"/>
          <w:szCs w:val="22"/>
          <w:lang w:val="nl-NL"/>
        </w:rPr>
        <w:t xml:space="preserve"> maart 2025, no.2024/044756, houdende vaststelling van de geconsolideerde tekst van de Uitvoeringsbeschikking burgerlijke stand</w:t>
      </w:r>
      <w:r w:rsidRPr="00043562">
        <w:rPr>
          <w:rFonts w:ascii="Palatino Linotype" w:hAnsi="Palatino Linotype"/>
          <w:sz w:val="22"/>
          <w:szCs w:val="22"/>
          <w:vertAlign w:val="superscript"/>
          <w:lang w:val="nl-NL"/>
        </w:rPr>
        <w:footnoteReference w:id="3"/>
      </w:r>
    </w:p>
    <w:p w:rsidR="00043562" w:rsidRPr="00043562" w:rsidRDefault="00043562" w:rsidP="00043562">
      <w:pPr>
        <w:pBdr>
          <w:bottom w:val="single" w:sz="6" w:space="1" w:color="auto"/>
        </w:pBdr>
        <w:ind w:right="-29"/>
        <w:jc w:val="both"/>
        <w:rPr>
          <w:rFonts w:ascii="Palatino Linotype" w:hAnsi="Palatino Linotype"/>
          <w:b/>
          <w:sz w:val="22"/>
          <w:szCs w:val="22"/>
          <w:lang w:val="nl-NL"/>
        </w:rPr>
      </w:pPr>
    </w:p>
    <w:p w:rsidR="00043562" w:rsidRPr="00043562" w:rsidRDefault="00043562" w:rsidP="00043562">
      <w:pPr>
        <w:ind w:right="-29"/>
        <w:jc w:val="both"/>
        <w:rPr>
          <w:rFonts w:ascii="Palatino Linotype" w:hAnsi="Palatino Linotype"/>
          <w:sz w:val="22"/>
          <w:szCs w:val="22"/>
          <w:lang w:val="nl-NL"/>
        </w:rPr>
      </w:pPr>
    </w:p>
    <w:p w:rsidR="00043562" w:rsidRPr="00043562" w:rsidRDefault="00043562" w:rsidP="00043562">
      <w:pPr>
        <w:ind w:right="-29"/>
        <w:jc w:val="both"/>
        <w:rPr>
          <w:rFonts w:ascii="Palatino Linotype" w:hAnsi="Palatino Linotype"/>
          <w:sz w:val="22"/>
          <w:szCs w:val="22"/>
          <w:lang w:val="nl-NL"/>
        </w:rPr>
      </w:pPr>
      <w:r w:rsidRPr="00043562">
        <w:rPr>
          <w:rFonts w:ascii="Palatino Linotype" w:hAnsi="Palatino Linotype"/>
          <w:sz w:val="22"/>
          <w:szCs w:val="22"/>
          <w:lang w:val="nl-NL"/>
        </w:rPr>
        <w:t>Geconsolideerde tekst van de Uitvoeringsbeschikking burgerlijke stand (P.B. 2001, no. 15</w:t>
      </w:r>
      <w:bookmarkStart w:id="1" w:name="_Hlk134024642"/>
      <w:r w:rsidRPr="00043562">
        <w:rPr>
          <w:rFonts w:ascii="Palatino Linotype" w:hAnsi="Palatino Linotype"/>
          <w:sz w:val="22"/>
          <w:szCs w:val="22"/>
          <w:lang w:val="nl-NL"/>
        </w:rPr>
        <w:t>) zoals deze luidt na in overeenstemming te zijn gebracht met de aanwijzingen van de Algemene overgangsregeling wetgeving en bestuur Land Curaçao (A.B. 2010, no. 87, bijlage a).</w:t>
      </w:r>
    </w:p>
    <w:p w:rsidR="00043562" w:rsidRPr="00043562" w:rsidRDefault="00043562" w:rsidP="00043562">
      <w:pPr>
        <w:jc w:val="both"/>
        <w:rPr>
          <w:rFonts w:ascii="Palatino Linotype" w:hAnsi="Palatino Linotype"/>
          <w:sz w:val="22"/>
          <w:szCs w:val="22"/>
          <w:lang w:val="nl-NL"/>
        </w:rPr>
      </w:pPr>
    </w:p>
    <w:bookmarkEnd w:id="1"/>
    <w:p w:rsidR="00043562" w:rsidRPr="00043562" w:rsidRDefault="00043562" w:rsidP="00043562">
      <w:pPr>
        <w:jc w:val="center"/>
        <w:rPr>
          <w:rFonts w:ascii="Palatino Linotype" w:hAnsi="Palatino Linotype"/>
          <w:sz w:val="22"/>
          <w:szCs w:val="22"/>
          <w:lang w:val="nl-NL"/>
        </w:rPr>
      </w:pPr>
      <w:r w:rsidRPr="00043562">
        <w:rPr>
          <w:rFonts w:ascii="Palatino Linotype" w:hAnsi="Palatino Linotype"/>
          <w:sz w:val="22"/>
          <w:szCs w:val="22"/>
          <w:lang w:val="nl-NL"/>
        </w:rPr>
        <w:t>-----</w:t>
      </w:r>
    </w:p>
    <w:p w:rsidR="00043562" w:rsidRPr="00043562" w:rsidRDefault="00043562" w:rsidP="00043562">
      <w:pPr>
        <w:tabs>
          <w:tab w:val="left" w:pos="-720"/>
        </w:tabs>
        <w:suppressAutoHyphens/>
        <w:ind w:right="40"/>
        <w:jc w:val="center"/>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Hoofdstuk 1</w:t>
      </w: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De voor het opmaken van de akten van de burgerlijke stand</w:t>
      </w: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en de dubbelen of de afschriften te gebruiken middelen</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1</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numPr>
          <w:ilvl w:val="0"/>
          <w:numId w:val="7"/>
        </w:numPr>
        <w:tabs>
          <w:tab w:val="left" w:pos="-720"/>
        </w:tabs>
        <w:suppressAutoHyphens/>
        <w:ind w:left="360" w:right="40"/>
        <w:contextualSpacing/>
        <w:jc w:val="both"/>
        <w:rPr>
          <w:rFonts w:ascii="Palatino Linotype" w:hAnsi="Palatino Linotype"/>
          <w:sz w:val="22"/>
          <w:szCs w:val="22"/>
          <w:lang w:val="nl-NL"/>
        </w:rPr>
      </w:pPr>
      <w:r w:rsidRPr="00043562">
        <w:rPr>
          <w:rFonts w:ascii="Palatino Linotype" w:hAnsi="Palatino Linotype"/>
          <w:sz w:val="22"/>
          <w:szCs w:val="22"/>
          <w:lang w:val="nl-NL"/>
        </w:rPr>
        <w:t>Akten van de burgerlijke stand, met uitzondering van akten van erkenning, van huwelijksaangifte en van toestemming tot het huwelijk, dienen op zodanige wijze met toepassing van de in artikel 2 te noemen middelen vervaardigd te zijn, dat zij gedurende een termijn van ten minste honderd jaren houdbaar en goed leesbaar zijn.</w:t>
      </w:r>
    </w:p>
    <w:p w:rsidR="00043562" w:rsidRPr="00043562" w:rsidRDefault="00043562" w:rsidP="00043562">
      <w:pPr>
        <w:numPr>
          <w:ilvl w:val="0"/>
          <w:numId w:val="7"/>
        </w:numPr>
        <w:tabs>
          <w:tab w:val="left" w:pos="-720"/>
        </w:tabs>
        <w:suppressAutoHyphens/>
        <w:ind w:left="360" w:right="40"/>
        <w:contextualSpacing/>
        <w:jc w:val="both"/>
        <w:rPr>
          <w:rFonts w:ascii="Palatino Linotype" w:hAnsi="Palatino Linotype"/>
          <w:sz w:val="22"/>
          <w:szCs w:val="22"/>
          <w:lang w:val="nl-NL"/>
        </w:rPr>
      </w:pPr>
      <w:r w:rsidRPr="00043562">
        <w:rPr>
          <w:rFonts w:ascii="Palatino Linotype" w:hAnsi="Palatino Linotype"/>
          <w:sz w:val="22"/>
          <w:szCs w:val="22"/>
          <w:lang w:val="nl-NL"/>
        </w:rPr>
        <w:t>Het bepaalde in het eerste lid wat betreft de houdbaarheid en leesbaarheid is eveneens van toepassing op het vervaardigen van dubbelen of afschriften van akten van de burgerlijke stand alsmede van latere vermeldingen, behorend bij akten of dubbelen dan wel afschriften.</w:t>
      </w:r>
    </w:p>
    <w:p w:rsidR="00043562" w:rsidRPr="00043562" w:rsidRDefault="00043562" w:rsidP="00043562">
      <w:pPr>
        <w:numPr>
          <w:ilvl w:val="0"/>
          <w:numId w:val="7"/>
        </w:numPr>
        <w:tabs>
          <w:tab w:val="left" w:pos="-720"/>
        </w:tabs>
        <w:suppressAutoHyphens/>
        <w:ind w:left="360" w:right="40"/>
        <w:contextualSpacing/>
        <w:jc w:val="both"/>
        <w:rPr>
          <w:rFonts w:ascii="Palatino Linotype" w:hAnsi="Palatino Linotype"/>
          <w:sz w:val="22"/>
          <w:szCs w:val="22"/>
          <w:lang w:val="nl-NL"/>
        </w:rPr>
      </w:pPr>
      <w:r w:rsidRPr="00043562">
        <w:rPr>
          <w:rFonts w:ascii="Palatino Linotype" w:hAnsi="Palatino Linotype"/>
          <w:sz w:val="22"/>
          <w:szCs w:val="22"/>
          <w:lang w:val="nl-NL"/>
        </w:rPr>
        <w:t xml:space="preserve">Voor zover de tekst van akten vooraf is gedrukt, moet deze zijn uitgevoerd in ten minste een </w:t>
      </w:r>
      <w:proofErr w:type="spellStart"/>
      <w:r w:rsidRPr="00043562">
        <w:rPr>
          <w:rFonts w:ascii="Palatino Linotype" w:hAnsi="Palatino Linotype"/>
          <w:sz w:val="22"/>
          <w:szCs w:val="22"/>
          <w:lang w:val="nl-NL"/>
        </w:rPr>
        <w:t>tienpuntsletter</w:t>
      </w:r>
      <w:proofErr w:type="spellEnd"/>
      <w:r w:rsidRPr="00043562">
        <w:rPr>
          <w:rFonts w:ascii="Palatino Linotype" w:hAnsi="Palatino Linotype"/>
          <w:sz w:val="22"/>
          <w:szCs w:val="22"/>
          <w:lang w:val="nl-NL"/>
        </w:rPr>
        <w:t>.</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2</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numPr>
          <w:ilvl w:val="1"/>
          <w:numId w:val="8"/>
        </w:numPr>
        <w:suppressAutoHyphens/>
        <w:ind w:left="360" w:right="40"/>
        <w:contextualSpacing/>
        <w:jc w:val="both"/>
        <w:rPr>
          <w:rFonts w:ascii="Palatino Linotype" w:hAnsi="Palatino Linotype"/>
          <w:sz w:val="22"/>
          <w:szCs w:val="22"/>
          <w:lang w:val="nl-NL"/>
        </w:rPr>
      </w:pPr>
      <w:r w:rsidRPr="00043562">
        <w:rPr>
          <w:rFonts w:ascii="Palatino Linotype" w:hAnsi="Palatino Linotype"/>
          <w:sz w:val="22"/>
          <w:szCs w:val="22"/>
          <w:lang w:val="nl-NL"/>
        </w:rPr>
        <w:t>Voor de akten van de burgerlijke stand, met uitzondering van de akten van erkenning, van huwelijksaangifte en van toestemming tot het huwelijk, voor de dubbelen of de afschriften alsmede voor daarbij behorende latere vermeldingen mag uitsluitend wit normaal 1- schrijfpapier van het formaat A4 worden gebruikt.</w:t>
      </w:r>
    </w:p>
    <w:p w:rsidR="00043562" w:rsidRPr="00043562" w:rsidRDefault="00043562" w:rsidP="00043562">
      <w:pPr>
        <w:numPr>
          <w:ilvl w:val="1"/>
          <w:numId w:val="8"/>
        </w:numPr>
        <w:suppressAutoHyphens/>
        <w:ind w:left="360" w:right="40"/>
        <w:contextualSpacing/>
        <w:jc w:val="both"/>
        <w:rPr>
          <w:rFonts w:ascii="Palatino Linotype" w:hAnsi="Palatino Linotype"/>
          <w:sz w:val="22"/>
          <w:szCs w:val="22"/>
          <w:lang w:val="nl-NL"/>
        </w:rPr>
      </w:pPr>
      <w:r w:rsidRPr="00043562">
        <w:rPr>
          <w:rFonts w:ascii="Palatino Linotype" w:hAnsi="Palatino Linotype"/>
          <w:sz w:val="22"/>
          <w:szCs w:val="22"/>
          <w:lang w:val="nl-NL"/>
        </w:rPr>
        <w:t>De akten van de burgerlijke stand en de daarbij behorende latere vermeldingen mogen uitsluitend worden vervaardigd:</w:t>
      </w:r>
    </w:p>
    <w:p w:rsidR="00043562" w:rsidRPr="00043562" w:rsidRDefault="00043562" w:rsidP="00043562">
      <w:pPr>
        <w:numPr>
          <w:ilvl w:val="2"/>
          <w:numId w:val="9"/>
        </w:numPr>
        <w:suppressAutoHyphens/>
        <w:ind w:left="720" w:right="40" w:hanging="360"/>
        <w:contextualSpacing/>
        <w:jc w:val="both"/>
        <w:rPr>
          <w:rFonts w:ascii="Palatino Linotype" w:hAnsi="Palatino Linotype"/>
          <w:sz w:val="22"/>
          <w:szCs w:val="22"/>
          <w:lang w:val="nl-NL"/>
        </w:rPr>
      </w:pPr>
      <w:r w:rsidRPr="00043562">
        <w:rPr>
          <w:rFonts w:ascii="Palatino Linotype" w:hAnsi="Palatino Linotype"/>
          <w:sz w:val="22"/>
          <w:szCs w:val="22"/>
          <w:lang w:val="nl-NL"/>
        </w:rPr>
        <w:t>met een schrijfpen of een ander schrijfmiddel, mits zwarte schrijfinkt wordt gebruikt;</w:t>
      </w:r>
    </w:p>
    <w:p w:rsidR="00043562" w:rsidRPr="00043562" w:rsidRDefault="00043562" w:rsidP="00043562">
      <w:pPr>
        <w:numPr>
          <w:ilvl w:val="2"/>
          <w:numId w:val="9"/>
        </w:numPr>
        <w:suppressAutoHyphens/>
        <w:ind w:left="720" w:right="40" w:hanging="360"/>
        <w:contextualSpacing/>
        <w:jc w:val="both"/>
        <w:rPr>
          <w:rFonts w:ascii="Palatino Linotype" w:hAnsi="Palatino Linotype"/>
          <w:sz w:val="22"/>
          <w:szCs w:val="22"/>
          <w:lang w:val="nl-NL"/>
        </w:rPr>
      </w:pPr>
      <w:r w:rsidRPr="00043562">
        <w:rPr>
          <w:rFonts w:ascii="Palatino Linotype" w:hAnsi="Palatino Linotype"/>
          <w:sz w:val="22"/>
          <w:szCs w:val="22"/>
          <w:lang w:val="nl-NL"/>
        </w:rPr>
        <w:t>met een schrijfmachine, mits deze voorzien is:</w:t>
      </w:r>
    </w:p>
    <w:p w:rsidR="00043562" w:rsidRPr="00043562" w:rsidRDefault="00043562" w:rsidP="00043562">
      <w:pPr>
        <w:numPr>
          <w:ilvl w:val="1"/>
          <w:numId w:val="10"/>
        </w:numPr>
        <w:suppressAutoHyphens/>
        <w:ind w:left="1080" w:right="40"/>
        <w:contextualSpacing/>
        <w:jc w:val="both"/>
        <w:rPr>
          <w:rFonts w:ascii="Palatino Linotype" w:hAnsi="Palatino Linotype"/>
          <w:sz w:val="22"/>
          <w:szCs w:val="22"/>
          <w:lang w:val="nl-NL"/>
        </w:rPr>
      </w:pPr>
      <w:r w:rsidRPr="00043562">
        <w:rPr>
          <w:rFonts w:ascii="Palatino Linotype" w:hAnsi="Palatino Linotype"/>
          <w:sz w:val="22"/>
          <w:szCs w:val="22"/>
          <w:lang w:val="nl-NL"/>
        </w:rPr>
        <w:t>van letter- en cijfertekens van normaal type en normale afmetingen;</w:t>
      </w:r>
    </w:p>
    <w:p w:rsidR="00043562" w:rsidRPr="00043562" w:rsidRDefault="00043562" w:rsidP="00043562">
      <w:pPr>
        <w:numPr>
          <w:ilvl w:val="1"/>
          <w:numId w:val="10"/>
        </w:numPr>
        <w:tabs>
          <w:tab w:val="left" w:pos="-720"/>
        </w:tabs>
        <w:suppressAutoHyphens/>
        <w:ind w:left="1080" w:right="40"/>
        <w:contextualSpacing/>
        <w:jc w:val="both"/>
        <w:rPr>
          <w:rFonts w:ascii="Palatino Linotype" w:hAnsi="Palatino Linotype"/>
          <w:sz w:val="22"/>
          <w:szCs w:val="22"/>
          <w:lang w:val="nl-NL"/>
        </w:rPr>
      </w:pPr>
      <w:r w:rsidRPr="00043562">
        <w:rPr>
          <w:rFonts w:ascii="Palatino Linotype" w:hAnsi="Palatino Linotype"/>
          <w:sz w:val="22"/>
          <w:szCs w:val="22"/>
          <w:lang w:val="nl-NL"/>
        </w:rPr>
        <w:t>van een inktlint, dat zwart van kleur is en koolstof bevat;</w:t>
      </w:r>
    </w:p>
    <w:p w:rsidR="00043562" w:rsidRPr="00043562" w:rsidRDefault="00043562" w:rsidP="00043562">
      <w:pPr>
        <w:numPr>
          <w:ilvl w:val="2"/>
          <w:numId w:val="9"/>
        </w:numPr>
        <w:suppressAutoHyphens/>
        <w:ind w:left="720" w:right="40" w:hanging="360"/>
        <w:contextualSpacing/>
        <w:jc w:val="both"/>
        <w:rPr>
          <w:rFonts w:ascii="Palatino Linotype" w:hAnsi="Palatino Linotype"/>
          <w:sz w:val="22"/>
          <w:szCs w:val="22"/>
          <w:lang w:val="nl-NL"/>
        </w:rPr>
      </w:pPr>
      <w:r w:rsidRPr="00043562">
        <w:rPr>
          <w:rFonts w:ascii="Palatino Linotype" w:hAnsi="Palatino Linotype"/>
          <w:sz w:val="22"/>
          <w:szCs w:val="22"/>
          <w:lang w:val="nl-NL"/>
        </w:rPr>
        <w:t>langs geautomatiseerde weg, mits de tekst in zwarte kleur wordt gedrukt.</w:t>
      </w:r>
    </w:p>
    <w:p w:rsidR="00043562" w:rsidRPr="00043562" w:rsidRDefault="00043562" w:rsidP="00043562">
      <w:pPr>
        <w:numPr>
          <w:ilvl w:val="1"/>
          <w:numId w:val="8"/>
        </w:numPr>
        <w:suppressAutoHyphens/>
        <w:ind w:left="360" w:right="40"/>
        <w:contextualSpacing/>
        <w:jc w:val="both"/>
        <w:rPr>
          <w:rFonts w:ascii="Palatino Linotype" w:hAnsi="Palatino Linotype"/>
          <w:sz w:val="22"/>
          <w:szCs w:val="22"/>
          <w:lang w:val="nl-NL"/>
        </w:rPr>
      </w:pPr>
      <w:r w:rsidRPr="00043562">
        <w:rPr>
          <w:rFonts w:ascii="Palatino Linotype" w:hAnsi="Palatino Linotype"/>
          <w:sz w:val="22"/>
          <w:szCs w:val="22"/>
          <w:lang w:val="nl-NL"/>
        </w:rPr>
        <w:t>Dubbelen of afschriften van akten van de burgerlijke stand en daarbij behorende latere vermeldingen kunnen, behalve op de in het tweede lid genoemde wijzen, ook op andere wijze worden vervaardigd, zulks met inachtneming van de in dat lid voorgeschreven kleur.</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lastRenderedPageBreak/>
        <w:t>Hoofdstuk 2</w:t>
      </w: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De vernietiging van bepaalde bescheiden van de burgerlijke stand</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3</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De in artikel 22, tweede lid, en 23, tweede en derde lid, van het Landsbesluit burgerlijke stand bedoelde bescheiden worden op zodanige wijze stoffelijk vernietigd dat de daarin vervatte gegevens niet meer kunnen worden gereconstrueerd.</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4</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Van een vernietiging als bedoeld in artikel 3 wordt een verklaring opgemaakt die een specificatie inhoudt van de vernietigde bescheiden en die aangeeft op grond van welk artikel van het Landsbesluit burgerlijke stand, op welk tijdstip en op welke wijze de vernietiging is geschied. Deze verklaring wordt bewaard door de ambtenaar van de burgerlijke stand dan wel de beheerder van de archiefbewaarplaats die de bescheiden onder zijn berusting had.</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Hoofdstuk 3</w:t>
      </w: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De vermelding van het nummer in het hoofd van akten van de burgerlijke stand</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5</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In het hoofd van elke akte van geboorte, van huwelijk of van overlijden en van elke akte van inschrijving van een buitenlandse akte of van een rechterlijke uitspraak wordt een aktenummer vermeld. Dat nummer beslaat zes posities.</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6</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De eerste positie van het in artikel 5 bedoelde nummer is bestemd voor de aanduiding van het register waarin de akte wordt opgenomen. De registersoort wordt als volgt aangeduid:</w:t>
      </w: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1 = register van geboorten;</w:t>
      </w: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2 = register van overlijden;</w:t>
      </w: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3 = register van huwelijken;</w:t>
      </w: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4 = register van echtscheidingen, bedoeld in Afdeling 6 van Titel 4 van Boek 1 van het Burgerlijk Wetboek.</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7</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De tweede positie van het in artikel 5 bedoelde nummer is bestemd voor de aanduiding van het registerdeel waarin de akte wordt opgenomen. Het registerdeel wordt aangeduid door een cijfer of een letter. Een consulair register wordt aangeduid met de letter Z.</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8</w:t>
      </w:r>
    </w:p>
    <w:p w:rsidR="00043562" w:rsidRPr="00043562" w:rsidRDefault="00043562" w:rsidP="00043562">
      <w:pPr>
        <w:tabs>
          <w:tab w:val="left" w:pos="-720"/>
        </w:tabs>
        <w:suppressAutoHyphens/>
        <w:spacing w:line="200" w:lineRule="exact"/>
        <w:ind w:right="43"/>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De derde tot en met de zesde positie van het in artikel 5 bedoelde nummer zijn bestemd voor de aanduiding van de plaats van de akte in het register of het registerdeel. Deze plaats wordt aangeduid door vier cijfers, oplopend van 0001 tot en met 9999.</w:t>
      </w: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lastRenderedPageBreak/>
        <w:t>Artikel 9</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In het hoofd van elke akte van erkenning en elke akte van ontkenning van het vaderschap door de moeder wordt een aktenummer vermeld. Dat nummer beslaat vier posities, bestemd voor de aanduiding van de volgorde waarin deze akten zijn opgemaakt. Deze volgorde wordt aangeduid door vier cijfers, oplopend van 0001 tot 9999.</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Hoofdstuk 4</w:t>
      </w: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Slotbepalingen</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10</w:t>
      </w: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(vervallen)</w:t>
      </w:r>
    </w:p>
    <w:p w:rsidR="00043562" w:rsidRPr="00043562" w:rsidRDefault="00043562" w:rsidP="00043562">
      <w:pPr>
        <w:tabs>
          <w:tab w:val="left" w:pos="-720"/>
        </w:tabs>
        <w:suppressAutoHyphens/>
        <w:ind w:right="40"/>
        <w:jc w:val="center"/>
        <w:rPr>
          <w:rFonts w:ascii="Palatino Linotype" w:hAnsi="Palatino Linotype"/>
          <w:sz w:val="22"/>
          <w:szCs w:val="22"/>
          <w:lang w:val="nl-NL"/>
        </w:rPr>
      </w:pPr>
    </w:p>
    <w:p w:rsidR="00043562" w:rsidRPr="00043562" w:rsidRDefault="00043562" w:rsidP="00043562">
      <w:pPr>
        <w:tabs>
          <w:tab w:val="left" w:pos="-720"/>
        </w:tabs>
        <w:suppressAutoHyphens/>
        <w:ind w:right="40"/>
        <w:jc w:val="center"/>
        <w:rPr>
          <w:rFonts w:ascii="Palatino Linotype" w:hAnsi="Palatino Linotype"/>
          <w:sz w:val="22"/>
          <w:szCs w:val="22"/>
          <w:lang w:val="nl-NL"/>
        </w:rPr>
      </w:pPr>
      <w:r w:rsidRPr="00043562">
        <w:rPr>
          <w:rFonts w:ascii="Palatino Linotype" w:hAnsi="Palatino Linotype"/>
          <w:sz w:val="22"/>
          <w:szCs w:val="22"/>
          <w:lang w:val="nl-NL"/>
        </w:rPr>
        <w:t>Artikel 11</w:t>
      </w:r>
    </w:p>
    <w:p w:rsidR="00043562" w:rsidRPr="00043562" w:rsidRDefault="00043562" w:rsidP="00043562">
      <w:pPr>
        <w:tabs>
          <w:tab w:val="left" w:pos="-720"/>
        </w:tabs>
        <w:suppressAutoHyphens/>
        <w:ind w:right="40"/>
        <w:jc w:val="both"/>
        <w:rPr>
          <w:rFonts w:ascii="Palatino Linotype" w:hAnsi="Palatino Linotype"/>
          <w:sz w:val="22"/>
          <w:szCs w:val="22"/>
          <w:lang w:val="nl-NL"/>
        </w:rPr>
      </w:pPr>
    </w:p>
    <w:p w:rsidR="00043562" w:rsidRPr="00043562" w:rsidRDefault="00043562" w:rsidP="00043562">
      <w:pPr>
        <w:tabs>
          <w:tab w:val="left" w:pos="-720"/>
        </w:tabs>
        <w:suppressAutoHyphens/>
        <w:ind w:right="40"/>
        <w:jc w:val="both"/>
        <w:rPr>
          <w:rFonts w:ascii="Palatino Linotype" w:hAnsi="Palatino Linotype"/>
          <w:sz w:val="22"/>
          <w:szCs w:val="22"/>
          <w:lang w:val="nl-NL"/>
        </w:rPr>
      </w:pPr>
      <w:r w:rsidRPr="00043562">
        <w:rPr>
          <w:rFonts w:ascii="Palatino Linotype" w:hAnsi="Palatino Linotype"/>
          <w:sz w:val="22"/>
          <w:szCs w:val="22"/>
          <w:lang w:val="nl-NL"/>
        </w:rPr>
        <w:t>Deze ministeriële regeling met algemene werking wordt aangehaald als: Uitvoeringsregeling burgerlijke stand.</w:t>
      </w:r>
    </w:p>
    <w:p w:rsidR="00043562" w:rsidRPr="00043562" w:rsidRDefault="00043562" w:rsidP="00043562">
      <w:pPr>
        <w:widowControl/>
        <w:tabs>
          <w:tab w:val="left" w:pos="360"/>
        </w:tabs>
        <w:spacing w:after="120"/>
        <w:jc w:val="both"/>
        <w:rPr>
          <w:rFonts w:ascii="Palatino Linotype" w:hAnsi="Palatino Linotype"/>
          <w:snapToGrid/>
          <w:sz w:val="22"/>
          <w:szCs w:val="22"/>
          <w:lang w:val="nl-NL" w:eastAsia="nl-NL"/>
        </w:rPr>
      </w:pPr>
    </w:p>
    <w:p w:rsidR="00043562" w:rsidRPr="00043562" w:rsidRDefault="00043562" w:rsidP="00043562">
      <w:pPr>
        <w:widowControl/>
        <w:tabs>
          <w:tab w:val="left" w:pos="360"/>
        </w:tabs>
        <w:spacing w:after="120"/>
        <w:jc w:val="center"/>
        <w:rPr>
          <w:rFonts w:ascii="Palatino Linotype" w:hAnsi="Palatino Linotype"/>
          <w:snapToGrid/>
          <w:sz w:val="22"/>
          <w:szCs w:val="22"/>
          <w:lang w:val="nl-NL" w:eastAsia="nl-NL"/>
        </w:rPr>
      </w:pPr>
      <w:r w:rsidRPr="00043562">
        <w:rPr>
          <w:rFonts w:ascii="Palatino Linotype" w:hAnsi="Palatino Linotype"/>
          <w:snapToGrid/>
          <w:sz w:val="22"/>
          <w:szCs w:val="22"/>
          <w:lang w:val="nl-NL" w:eastAsia="nl-NL"/>
        </w:rPr>
        <w:t>***</w:t>
      </w:r>
    </w:p>
    <w:p w:rsidR="00043562" w:rsidRPr="00043562" w:rsidRDefault="00043562" w:rsidP="00043562">
      <w:pPr>
        <w:tabs>
          <w:tab w:val="left" w:pos="-720"/>
        </w:tabs>
        <w:suppressAutoHyphens/>
        <w:jc w:val="both"/>
        <w:rPr>
          <w:rFonts w:ascii="Palatino Linotype" w:hAnsi="Palatino Linotype"/>
          <w:bCs/>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043562" w:rsidRPr="00E5400A" w:rsidRDefault="00043562" w:rsidP="00043562">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043562" w:rsidRPr="004B7B9D" w:rsidRDefault="00043562" w:rsidP="00043562">
      <w:pPr>
        <w:pStyle w:val="FootnoteText"/>
        <w:tabs>
          <w:tab w:val="left" w:pos="142"/>
        </w:tabs>
        <w:ind w:left="142" w:hanging="142"/>
        <w:jc w:val="both"/>
        <w:rPr>
          <w:rFonts w:ascii="Palatino Linotype" w:hAnsi="Palatino Linotype"/>
          <w:sz w:val="18"/>
          <w:szCs w:val="18"/>
        </w:rPr>
      </w:pPr>
      <w:r w:rsidRPr="00E5400A">
        <w:rPr>
          <w:rStyle w:val="FootnoteReference"/>
          <w:rFonts w:ascii="Palatino Linotype" w:hAnsi="Palatino Linotype"/>
          <w:sz w:val="18"/>
          <w:szCs w:val="18"/>
        </w:rPr>
        <w:footnoteRef/>
      </w:r>
      <w:r w:rsidRPr="004B7B9D">
        <w:rPr>
          <w:rFonts w:ascii="Palatino Linotype" w:hAnsi="Palatino Linotype"/>
          <w:sz w:val="18"/>
          <w:szCs w:val="18"/>
        </w:rPr>
        <w:t xml:space="preserve"> A.B. 2010, no. 87, </w:t>
      </w:r>
      <w:proofErr w:type="spellStart"/>
      <w:r w:rsidRPr="004B7B9D">
        <w:rPr>
          <w:rFonts w:ascii="Palatino Linotype" w:hAnsi="Palatino Linotype"/>
          <w:sz w:val="18"/>
          <w:szCs w:val="18"/>
        </w:rPr>
        <w:t>bijlage</w:t>
      </w:r>
      <w:proofErr w:type="spellEnd"/>
      <w:r w:rsidRPr="004B7B9D">
        <w:rPr>
          <w:rFonts w:ascii="Palatino Linotype" w:hAnsi="Palatino Linotype"/>
          <w:sz w:val="18"/>
          <w:szCs w:val="18"/>
        </w:rPr>
        <w:t xml:space="preserve"> a.</w:t>
      </w:r>
    </w:p>
  </w:footnote>
  <w:footnote w:id="3">
    <w:p w:rsidR="00043562" w:rsidRPr="00F83265" w:rsidRDefault="00043562" w:rsidP="00043562">
      <w:pPr>
        <w:pStyle w:val="FootnoteText"/>
        <w:rPr>
          <w:rFonts w:ascii="Palatino Linotype" w:hAnsi="Palatino Linotype"/>
          <w:sz w:val="18"/>
          <w:szCs w:val="18"/>
          <w:lang w:val="nl-NL"/>
        </w:rPr>
      </w:pPr>
      <w:r w:rsidRPr="00F83265">
        <w:rPr>
          <w:rStyle w:val="FootnoteReference"/>
          <w:rFonts w:ascii="Palatino Linotype" w:hAnsi="Palatino Linotype"/>
          <w:sz w:val="18"/>
          <w:szCs w:val="18"/>
        </w:rPr>
        <w:footnoteRef/>
      </w:r>
      <w:r w:rsidRPr="00F83265">
        <w:rPr>
          <w:rFonts w:ascii="Palatino Linotype" w:hAnsi="Palatino Linotype"/>
          <w:sz w:val="18"/>
          <w:szCs w:val="18"/>
          <w:lang w:val="nl-NL"/>
        </w:rPr>
        <w:t xml:space="preserve"> P.B. 2001, no.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516FE">
      <w:rPr>
        <w:rFonts w:ascii="Times New Roman" w:hAnsi="Times New Roman"/>
        <w:b/>
        <w:spacing w:val="-4"/>
        <w:sz w:val="36"/>
      </w:rPr>
      <w:t>47</w:t>
    </w:r>
    <w:r w:rsidR="00043562">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516FE">
      <w:rPr>
        <w:rFonts w:ascii="Times New Roman" w:hAnsi="Times New Roman"/>
        <w:b/>
        <w:spacing w:val="-4"/>
        <w:sz w:val="36"/>
      </w:rPr>
      <w:t>47</w:t>
    </w:r>
    <w:r w:rsidR="00043562">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D4E6011"/>
    <w:multiLevelType w:val="hybridMultilevel"/>
    <w:tmpl w:val="33A8359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79F0650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E465E"/>
    <w:multiLevelType w:val="hybridMultilevel"/>
    <w:tmpl w:val="C8CCB46C"/>
    <w:lvl w:ilvl="0" w:tplc="F530D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F530DE0E">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66F7E"/>
    <w:multiLevelType w:val="hybridMultilevel"/>
    <w:tmpl w:val="1182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08520A"/>
    <w:multiLevelType w:val="hybridMultilevel"/>
    <w:tmpl w:val="28720A0C"/>
    <w:lvl w:ilvl="0" w:tplc="4124589A">
      <w:start w:val="1"/>
      <w:numFmt w:val="decimal"/>
      <w:lvlText w:val="%1°."/>
      <w:lvlJc w:val="left"/>
      <w:pPr>
        <w:ind w:left="720" w:hanging="360"/>
      </w:pPr>
      <w:rPr>
        <w:rFonts w:hint="default"/>
      </w:rPr>
    </w:lvl>
    <w:lvl w:ilvl="1" w:tplc="412458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9"/>
  </w:num>
  <w:num w:numId="4">
    <w:abstractNumId w:val="7"/>
  </w:num>
  <w:num w:numId="5">
    <w:abstractNumId w:val="0"/>
  </w:num>
  <w:num w:numId="6">
    <w:abstractNumId w:val="4"/>
  </w:num>
  <w:num w:numId="7">
    <w:abstractNumId w:val="6"/>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43562"/>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516F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C69FC"/>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B3D2ED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2025-05-09T19:26:00Z</dcterms:created>
  <dcterms:modified xsi:type="dcterms:W3CDTF">2025-05-13T18:31:00Z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