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3654A">
        <w:rPr>
          <w:b/>
          <w:sz w:val="36"/>
          <w:szCs w:val="36"/>
        </w:rPr>
        <w:fldChar w:fldCharType="begin">
          <w:ffData>
            <w:name w:val="Text2"/>
            <w:enabled/>
            <w:calcOnExit w:val="0"/>
            <w:textInput>
              <w:default w:val="52"/>
            </w:textInput>
          </w:ffData>
        </w:fldChar>
      </w:r>
      <w:bookmarkStart w:id="0" w:name="Text2"/>
      <w:r w:rsidR="0053654A" w:rsidRPr="007A1CB6">
        <w:rPr>
          <w:b/>
          <w:sz w:val="36"/>
          <w:szCs w:val="36"/>
          <w:lang w:val="nl-NL"/>
        </w:rPr>
        <w:instrText xml:space="preserve"> FORMTEXT </w:instrText>
      </w:r>
      <w:r w:rsidR="0053654A">
        <w:rPr>
          <w:b/>
          <w:sz w:val="36"/>
          <w:szCs w:val="36"/>
        </w:rPr>
      </w:r>
      <w:r w:rsidR="0053654A">
        <w:rPr>
          <w:b/>
          <w:sz w:val="36"/>
          <w:szCs w:val="36"/>
        </w:rPr>
        <w:fldChar w:fldCharType="separate"/>
      </w:r>
      <w:r w:rsidR="0053654A" w:rsidRPr="007A1CB6">
        <w:rPr>
          <w:b/>
          <w:noProof/>
          <w:sz w:val="36"/>
          <w:szCs w:val="36"/>
          <w:lang w:val="nl-NL"/>
        </w:rPr>
        <w:t>52</w:t>
      </w:r>
      <w:r w:rsidR="0053654A">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3654A" w:rsidRPr="0053654A" w:rsidRDefault="0053654A" w:rsidP="0053654A">
      <w:pPr>
        <w:widowControl/>
        <w:spacing w:after="240"/>
        <w:contextualSpacing/>
        <w:jc w:val="both"/>
        <w:rPr>
          <w:rFonts w:ascii="Palatino Linotype" w:eastAsia="Palatino Linotype" w:hAnsi="Palatino Linotype" w:cs="Palatino Linotype"/>
          <w:b/>
          <w:snapToGrid/>
          <w:sz w:val="22"/>
          <w:szCs w:val="22"/>
          <w:lang w:val="nl-NL"/>
        </w:rPr>
      </w:pPr>
      <w:bookmarkStart w:id="1" w:name="_Hlk198751315"/>
      <w:r w:rsidRPr="0053654A">
        <w:rPr>
          <w:rFonts w:ascii="Palatino Linotype" w:eastAsia="Palatino Linotype" w:hAnsi="Palatino Linotype" w:cs="Palatino Linotype"/>
          <w:b/>
          <w:snapToGrid/>
          <w:sz w:val="22"/>
          <w:szCs w:val="22"/>
          <w:lang w:val="nl-NL"/>
        </w:rPr>
        <w:t>LANDSBESLUIT, HOUDENDE ALGEMENE MAATREGELEN, van de 20</w:t>
      </w:r>
      <w:r w:rsidRPr="0053654A">
        <w:rPr>
          <w:rFonts w:ascii="Palatino Linotype" w:eastAsia="Palatino Linotype" w:hAnsi="Palatino Linotype" w:cs="Palatino Linotype"/>
          <w:b/>
          <w:snapToGrid/>
          <w:sz w:val="22"/>
          <w:szCs w:val="22"/>
          <w:vertAlign w:val="superscript"/>
          <w:lang w:val="nl-NL"/>
        </w:rPr>
        <w:t>ste</w:t>
      </w:r>
      <w:r w:rsidRPr="0053654A">
        <w:rPr>
          <w:rFonts w:ascii="Palatino Linotype" w:eastAsia="Palatino Linotype" w:hAnsi="Palatino Linotype" w:cs="Palatino Linotype"/>
          <w:b/>
          <w:snapToGrid/>
          <w:sz w:val="22"/>
          <w:szCs w:val="22"/>
          <w:lang w:val="nl-NL"/>
        </w:rPr>
        <w:t xml:space="preserve"> mei 2025 ter uitvoering van artikel 2 van de Rijkssanctiewet</w:t>
      </w:r>
      <w:r w:rsidRPr="0053654A">
        <w:rPr>
          <w:rFonts w:ascii="Palatino Linotype" w:eastAsia="Palatino Linotype" w:hAnsi="Palatino Linotype" w:cs="Palatino Linotype"/>
          <w:b/>
          <w:snapToGrid/>
          <w:sz w:val="22"/>
          <w:szCs w:val="22"/>
          <w:vertAlign w:val="superscript"/>
          <w:lang w:val="nl-NL"/>
        </w:rPr>
        <w:footnoteReference w:id="1"/>
      </w:r>
      <w:r w:rsidRPr="0053654A">
        <w:rPr>
          <w:rFonts w:ascii="Palatino Linotype" w:eastAsia="Palatino Linotype" w:hAnsi="Palatino Linotype" w:cs="Palatino Linotype"/>
          <w:b/>
          <w:snapToGrid/>
          <w:sz w:val="22"/>
          <w:szCs w:val="22"/>
          <w:lang w:val="nl-NL"/>
        </w:rPr>
        <w:t xml:space="preserve"> en de artikelen 2 en 5 van de Sanctielandsverordening</w:t>
      </w:r>
      <w:r w:rsidRPr="0053654A">
        <w:rPr>
          <w:rFonts w:ascii="Palatino Linotype" w:eastAsia="Palatino Linotype" w:hAnsi="Palatino Linotype" w:cs="Palatino Linotype"/>
          <w:b/>
          <w:snapToGrid/>
          <w:sz w:val="22"/>
          <w:szCs w:val="22"/>
          <w:vertAlign w:val="superscript"/>
          <w:lang w:val="nl-NL"/>
        </w:rPr>
        <w:footnoteReference w:id="2"/>
      </w:r>
      <w:r w:rsidRPr="0053654A">
        <w:rPr>
          <w:rFonts w:ascii="Palatino Linotype" w:eastAsia="Palatino Linotype" w:hAnsi="Palatino Linotype" w:cs="Palatino Linotype"/>
          <w:b/>
          <w:snapToGrid/>
          <w:sz w:val="22"/>
          <w:szCs w:val="22"/>
          <w:lang w:val="nl-NL"/>
        </w:rPr>
        <w:t xml:space="preserve"> (Omnibus-Sanctiebesluit Curaçao)</w:t>
      </w:r>
    </w:p>
    <w:p w:rsidR="0053654A" w:rsidRPr="0053654A" w:rsidRDefault="0053654A" w:rsidP="0053654A">
      <w:pPr>
        <w:widowControl/>
        <w:spacing w:after="240"/>
        <w:contextualSpacing/>
        <w:jc w:val="both"/>
        <w:rPr>
          <w:rFonts w:ascii="Palatino Linotype" w:eastAsia="Palatino Linotype" w:hAnsi="Palatino Linotype" w:cs="Palatino Linotype"/>
          <w:b/>
          <w:snapToGrid/>
          <w:sz w:val="22"/>
          <w:szCs w:val="22"/>
          <w:lang w:val="nl-NL"/>
        </w:rPr>
      </w:pPr>
    </w:p>
    <w:bookmarkEnd w:id="1"/>
    <w:p w:rsidR="0053654A" w:rsidRPr="0053654A" w:rsidRDefault="0053654A" w:rsidP="0053654A">
      <w:pPr>
        <w:widowControl/>
        <w:spacing w:line="240" w:lineRule="exact"/>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____________</w:t>
      </w:r>
    </w:p>
    <w:p w:rsidR="0053654A" w:rsidRPr="0053654A" w:rsidRDefault="0053654A" w:rsidP="0053654A">
      <w:pPr>
        <w:widowControl/>
        <w:spacing w:line="240" w:lineRule="atLeast"/>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In  naam  van de  Koning!</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______</w:t>
      </w:r>
    </w:p>
    <w:p w:rsidR="0053654A" w:rsidRPr="0053654A" w:rsidRDefault="0053654A" w:rsidP="0053654A">
      <w:pPr>
        <w:widowControl/>
        <w:spacing w:line="200" w:lineRule="exact"/>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Gouverneur  van  Curaçao,</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567"/>
        </w:tabs>
        <w:ind w:left="567" w:hanging="567"/>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In overweging genomen hebbende: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dat ingevolge artikel 1 van de Rijkssanctiewet bepalingen van bindende EU-rechtshandelingen, op de voet van artikel 215, eerste en tweede lid, van het Verdrag betreffende de werking van de Europese Unie vastgesteld in het kader van het Gemeenschappelijk Buitenlands- en Veiligheidsbeleid van de Europese Unie, op Curaçao op overeenkomstige wijze als in de lidstaten van de Europese Unie van toepassing zijn;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dat de Europese Unie tot nu toe alle sancties van de Veiligheidsraad van de Verenigde Naties heeft overgenomen;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dat dit landbesluit,</w:t>
      </w:r>
      <w:r w:rsidRPr="0053654A">
        <w:rPr>
          <w:rFonts w:ascii="Times New Roman" w:hAnsi="Times New Roman"/>
          <w:snapToGrid/>
          <w:sz w:val="20"/>
          <w:lang w:val="nl-NL"/>
        </w:rPr>
        <w:t xml:space="preserve"> </w:t>
      </w:r>
      <w:r w:rsidRPr="0053654A">
        <w:rPr>
          <w:rFonts w:ascii="Palatino Linotype" w:eastAsia="Palatino Linotype" w:hAnsi="Palatino Linotype" w:cs="Palatino Linotype"/>
          <w:snapToGrid/>
          <w:sz w:val="22"/>
          <w:szCs w:val="22"/>
          <w:lang w:val="nl-NL"/>
        </w:rPr>
        <w:t>houdende algemene maatregelen, strekt tot het vaststellen van de noodzakelijke verbodsbepalingen van de internationale sancties van de Europese Unie en daarmee ook van de Verenigde Naties, zomede tot het vaststellen van regels van toezicht en handhaving;</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dat dit landsbesluit strekt ter uitvoering van de artikelen 1 en 2 van de Rijkssanctiewet en de artikelen 2 en 5  van de Sanctielandsverordening;</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567"/>
        </w:tabs>
        <w:ind w:left="567" w:hanging="567"/>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567"/>
        </w:tabs>
        <w:ind w:left="567" w:hanging="567"/>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Heeft, de Raad van Advies gehoord, besloten: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Hoofdstuk I. Verbodsbepalingen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 Chemische wapens</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7, eerste</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Lid, en artikel 8 van Verordening (EU) nr. 2018/1542 van de Raad van de Europese Unie</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van 15 oktober 2018 betreffende beperkende maatregelen tegen de proliferatie en het</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gebruik van chemische wapens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2018, L 259).</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 Conflictdiamanten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3, artikel 11, en artikel 24, tweede lid, van Verordening (EG) nr. 2368/2002 van de Raad van de Europese Unie van 20 december 2002 tot uitvoering van de Kimberleyprocescertificering voor de internationale handel in ruwe diamant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2002, L 358).</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 Cyberaanvallen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bookmarkStart w:id="2" w:name="_gjdgxs" w:colFirst="0" w:colLast="0"/>
      <w:bookmarkEnd w:id="2"/>
      <w:r w:rsidRPr="0053654A">
        <w:rPr>
          <w:rFonts w:ascii="Palatino Linotype" w:eastAsia="Palatino Linotype" w:hAnsi="Palatino Linotype" w:cs="Palatino Linotype"/>
          <w:snapToGrid/>
          <w:sz w:val="22"/>
          <w:szCs w:val="22"/>
          <w:lang w:val="nl-NL"/>
        </w:rPr>
        <w:t>Het is verboden te handelen in strijd met artikel 3, eerste en tweede lid, artikel 8, eerste lid, en artikel 9 van Verordening (EU) nr. 2019/796 van de Raad van de Europese Unie van 17 mei 2019 betreffende beperkende maatregelen tegen cyberaanvallen die de Unie of haar lidstaten bedreigen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2019, LI 129).</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1.4 Mensenrechtenschendingen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3, eerste en tweede lid, artikel 9, eerste lid, en artikel 10 van Verordening (EU) nr. 2020/1998 van de Raad van de Europese Unie van 7 december 2020 betreffende beperkende maatregelen tegen ernstige schendingen van de mensenrechten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2020, LI 410).</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1.5 Afghanistan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3, eerste, tweede en derde lid, en artikel 8 van Verordening (EU) nr. 753/2011 van de Raad van de Europese Unie van 1 augustus 2011 betreffende beperkende maatregelen tegen bepaalde personen, groepen, ondernemingen en entiteiten in verband met de situatie in Afghanistan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2011, L 199).</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1.6 ISIS en Al Qaida</w:t>
      </w:r>
      <w:r w:rsidRPr="0053654A">
        <w:rPr>
          <w:rFonts w:ascii="Times New Roman" w:hAnsi="Times New Roman"/>
          <w:snapToGrid/>
          <w:sz w:val="20"/>
          <w:lang w:val="nl-NL"/>
        </w:rPr>
        <w:t xml:space="preserv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15"/>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Het is verboden te handelen in strijd met de artikelen 2, eerste lid en tweede lid, en tweede lid  bis, artikel 3, artikel 4 en artikel 5, eerste en tweede lid, van </w:t>
      </w:r>
      <w:hyperlink r:id="rId8">
        <w:r w:rsidRPr="0053654A">
          <w:rPr>
            <w:rFonts w:ascii="Palatino Linotype" w:eastAsia="Palatino Linotype" w:hAnsi="Palatino Linotype" w:cs="Palatino Linotype"/>
            <w:snapToGrid/>
            <w:color w:val="000000"/>
            <w:sz w:val="22"/>
            <w:szCs w:val="22"/>
            <w:lang w:val="nl-NL"/>
          </w:rPr>
          <w:t>Verordening (EG) nr. 881/2002</w:t>
        </w:r>
      </w:hyperlink>
      <w:r w:rsidRPr="0053654A">
        <w:rPr>
          <w:rFonts w:ascii="Palatino Linotype" w:eastAsia="Palatino Linotype" w:hAnsi="Palatino Linotype" w:cs="Palatino Linotype"/>
          <w:snapToGrid/>
          <w:color w:val="000000"/>
          <w:sz w:val="22"/>
          <w:szCs w:val="22"/>
          <w:lang w:val="nl-NL"/>
        </w:rPr>
        <w:t> van de Raad van de Europese Unie van 27 mei 2002 tot vaststelling van beperkende maatregelen tegen sommige personen en entiteiten die banden hebben met het Al-Qaida-netwerk (</w:t>
      </w:r>
      <w:proofErr w:type="spellStart"/>
      <w:r w:rsidRPr="0053654A">
        <w:rPr>
          <w:rFonts w:ascii="Palatino Linotype" w:eastAsia="Palatino Linotype" w:hAnsi="Palatino Linotype" w:cs="Palatino Linotype"/>
          <w:snapToGrid/>
          <w:color w:val="000000"/>
          <w:sz w:val="22"/>
          <w:szCs w:val="22"/>
          <w:lang w:val="nl-NL"/>
        </w:rPr>
        <w:t>PbEG</w:t>
      </w:r>
      <w:proofErr w:type="spellEnd"/>
      <w:r w:rsidRPr="0053654A">
        <w:rPr>
          <w:rFonts w:ascii="Palatino Linotype" w:eastAsia="Palatino Linotype" w:hAnsi="Palatino Linotype" w:cs="Palatino Linotype"/>
          <w:snapToGrid/>
          <w:color w:val="000000"/>
          <w:sz w:val="22"/>
          <w:szCs w:val="22"/>
          <w:lang w:val="nl-NL"/>
        </w:rPr>
        <w:t xml:space="preserve"> 2002, L 139). </w:t>
      </w:r>
    </w:p>
    <w:p w:rsidR="0053654A" w:rsidRPr="0053654A" w:rsidRDefault="0053654A" w:rsidP="0053654A">
      <w:pPr>
        <w:widowControl/>
        <w:numPr>
          <w:ilvl w:val="0"/>
          <w:numId w:val="15"/>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Het is verboden te handelen in strijd met de artikelen 2, eerste en tweede lid, artikel 9, artikel 10, eerste lid, en artikel 11 van </w:t>
      </w:r>
      <w:hyperlink r:id="rId9">
        <w:r w:rsidRPr="0053654A">
          <w:rPr>
            <w:rFonts w:ascii="Palatino Linotype" w:eastAsia="Palatino Linotype" w:hAnsi="Palatino Linotype" w:cs="Palatino Linotype"/>
            <w:snapToGrid/>
            <w:color w:val="000000"/>
            <w:sz w:val="22"/>
            <w:szCs w:val="22"/>
            <w:lang w:val="nl-NL"/>
          </w:rPr>
          <w:t>Verordening (EU) nr. 2016/1686</w:t>
        </w:r>
      </w:hyperlink>
      <w:r w:rsidRPr="0053654A">
        <w:rPr>
          <w:rFonts w:ascii="Palatino Linotype" w:eastAsia="Palatino Linotype" w:hAnsi="Palatino Linotype" w:cs="Palatino Linotype"/>
          <w:snapToGrid/>
          <w:color w:val="000000"/>
          <w:sz w:val="22"/>
          <w:szCs w:val="22"/>
          <w:lang w:val="nl-NL"/>
        </w:rPr>
        <w:t xml:space="preserve"> van de Raad van de Europese </w:t>
      </w:r>
      <w:r w:rsidRPr="0053654A">
        <w:rPr>
          <w:rFonts w:ascii="Palatino Linotype" w:eastAsia="Palatino Linotype" w:hAnsi="Palatino Linotype" w:cs="Palatino Linotype"/>
          <w:snapToGrid/>
          <w:color w:val="000000"/>
          <w:sz w:val="22"/>
          <w:szCs w:val="22"/>
          <w:lang w:val="nl-NL"/>
        </w:rPr>
        <w:lastRenderedPageBreak/>
        <w:t>Unie van 20 september 2016 tot vaststelling van bijkomende beperkende maatregelen tegen ISIS (</w:t>
      </w:r>
      <w:proofErr w:type="spellStart"/>
      <w:r w:rsidRPr="0053654A">
        <w:rPr>
          <w:rFonts w:ascii="Palatino Linotype" w:eastAsia="Palatino Linotype" w:hAnsi="Palatino Linotype" w:cs="Palatino Linotype"/>
          <w:snapToGrid/>
          <w:color w:val="000000"/>
          <w:sz w:val="22"/>
          <w:szCs w:val="22"/>
          <w:lang w:val="nl-NL"/>
        </w:rPr>
        <w:t>Da’esh</w:t>
      </w:r>
      <w:proofErr w:type="spellEnd"/>
      <w:r w:rsidRPr="0053654A">
        <w:rPr>
          <w:rFonts w:ascii="Palatino Linotype" w:eastAsia="Palatino Linotype" w:hAnsi="Palatino Linotype" w:cs="Palatino Linotype"/>
          <w:snapToGrid/>
          <w:color w:val="000000"/>
          <w:sz w:val="22"/>
          <w:szCs w:val="22"/>
          <w:lang w:val="nl-NL"/>
        </w:rPr>
        <w:t>) en Al Qaida en daarmee verbonden natuurlijke en rechtspersonen, entiteiten of lichamen (</w:t>
      </w:r>
      <w:proofErr w:type="spellStart"/>
      <w:r w:rsidRPr="0053654A">
        <w:rPr>
          <w:rFonts w:ascii="Palatino Linotype" w:eastAsia="Palatino Linotype" w:hAnsi="Palatino Linotype" w:cs="Palatino Linotype"/>
          <w:snapToGrid/>
          <w:color w:val="000000"/>
          <w:sz w:val="22"/>
          <w:szCs w:val="22"/>
          <w:lang w:val="nl-NL"/>
        </w:rPr>
        <w:t>PbEU</w:t>
      </w:r>
      <w:proofErr w:type="spellEnd"/>
      <w:r w:rsidRPr="0053654A">
        <w:rPr>
          <w:rFonts w:ascii="Palatino Linotype" w:eastAsia="Palatino Linotype" w:hAnsi="Palatino Linotype" w:cs="Palatino Linotype"/>
          <w:snapToGrid/>
          <w:color w:val="000000"/>
          <w:sz w:val="22"/>
          <w:szCs w:val="22"/>
          <w:lang w:val="nl-NL"/>
        </w:rPr>
        <w:t xml:space="preserve"> 2016, L 255).</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1.7 Belarus</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de artikelen 1 bis, eerste lid, artikel 1 ter, eerste lid, artikel 1 ter bis, artikel 1 ter </w:t>
      </w:r>
      <w:proofErr w:type="spellStart"/>
      <w:r w:rsidRPr="0053654A">
        <w:rPr>
          <w:rFonts w:ascii="Palatino Linotype" w:eastAsia="Palatino Linotype" w:hAnsi="Palatino Linotype" w:cs="Palatino Linotype"/>
          <w:snapToGrid/>
          <w:sz w:val="22"/>
          <w:szCs w:val="22"/>
          <w:lang w:val="nl-NL"/>
        </w:rPr>
        <w:t>ter</w:t>
      </w:r>
      <w:proofErr w:type="spellEnd"/>
      <w:r w:rsidRPr="0053654A">
        <w:rPr>
          <w:rFonts w:ascii="Palatino Linotype" w:eastAsia="Palatino Linotype" w:hAnsi="Palatino Linotype" w:cs="Palatino Linotype"/>
          <w:snapToGrid/>
          <w:sz w:val="22"/>
          <w:szCs w:val="22"/>
          <w:lang w:val="nl-NL"/>
        </w:rPr>
        <w:t xml:space="preserve">, eerste, tweede en derde lid, artikel 1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eerste lid, lid 1bis en tweede lid, artikel 1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eerste lid, lid 1bis en tweede lid, artikel 1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eerste en tweede lid, artikel 1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eerste lid, en lid 1 bis, artikel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bis, eerste, tweede en derde lid, artikel 1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ter, eerste lid, artikel 1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en tweede lid, artikel 1 </w:t>
      </w:r>
      <w:proofErr w:type="spellStart"/>
      <w:r w:rsidRPr="0053654A">
        <w:rPr>
          <w:rFonts w:ascii="Palatino Linotype" w:eastAsia="Palatino Linotype" w:hAnsi="Palatino Linotype" w:cs="Palatino Linotype"/>
          <w:snapToGrid/>
          <w:sz w:val="22"/>
          <w:szCs w:val="22"/>
          <w:lang w:val="nl-NL"/>
        </w:rPr>
        <w:t>nonies</w:t>
      </w:r>
      <w:proofErr w:type="spellEnd"/>
      <w:r w:rsidRPr="0053654A">
        <w:rPr>
          <w:rFonts w:ascii="Palatino Linotype" w:eastAsia="Palatino Linotype" w:hAnsi="Palatino Linotype" w:cs="Palatino Linotype"/>
          <w:snapToGrid/>
          <w:sz w:val="22"/>
          <w:szCs w:val="22"/>
          <w:lang w:val="nl-NL"/>
        </w:rPr>
        <w:t xml:space="preserve">, eerste en  tweede en vijfde lid, artikel 1 </w:t>
      </w:r>
      <w:proofErr w:type="spellStart"/>
      <w:r w:rsidRPr="0053654A">
        <w:rPr>
          <w:rFonts w:ascii="Palatino Linotype" w:eastAsia="Palatino Linotype" w:hAnsi="Palatino Linotype" w:cs="Palatino Linotype"/>
          <w:snapToGrid/>
          <w:sz w:val="22"/>
          <w:szCs w:val="22"/>
          <w:lang w:val="nl-NL"/>
        </w:rPr>
        <w:t>decies</w:t>
      </w:r>
      <w:proofErr w:type="spellEnd"/>
      <w:r w:rsidRPr="0053654A">
        <w:rPr>
          <w:rFonts w:ascii="Palatino Linotype" w:eastAsia="Palatino Linotype" w:hAnsi="Palatino Linotype" w:cs="Palatino Linotype"/>
          <w:snapToGrid/>
          <w:sz w:val="22"/>
          <w:szCs w:val="22"/>
          <w:lang w:val="nl-NL"/>
        </w:rPr>
        <w:t xml:space="preserve">, eerste lid, en lid 1 bis, artikel 1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artikel 1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bis, eerste lid, artikel 1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ter, artikel 1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tot en met vijfde lid, artikel 1 </w:t>
      </w:r>
      <w:proofErr w:type="spellStart"/>
      <w:r w:rsidRPr="0053654A">
        <w:rPr>
          <w:rFonts w:ascii="Palatino Linotype" w:eastAsia="Palatino Linotype" w:hAnsi="Palatino Linotype" w:cs="Palatino Linotype"/>
          <w:snapToGrid/>
          <w:sz w:val="22"/>
          <w:szCs w:val="22"/>
          <w:lang w:val="nl-NL"/>
        </w:rPr>
        <w:t>duodecies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terdecies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quaterdecies</w:t>
      </w:r>
      <w:proofErr w:type="spellEnd"/>
      <w:r w:rsidRPr="0053654A">
        <w:rPr>
          <w:rFonts w:ascii="Palatino Linotype" w:eastAsia="Palatino Linotype" w:hAnsi="Palatino Linotype" w:cs="Palatino Linotype"/>
          <w:snapToGrid/>
          <w:sz w:val="22"/>
          <w:szCs w:val="22"/>
          <w:lang w:val="nl-NL"/>
        </w:rPr>
        <w:t xml:space="preserve">, artikel 1 </w:t>
      </w:r>
      <w:proofErr w:type="spellStart"/>
      <w:r w:rsidRPr="0053654A">
        <w:rPr>
          <w:rFonts w:ascii="Palatino Linotype" w:eastAsia="Palatino Linotype" w:hAnsi="Palatino Linotype" w:cs="Palatino Linotype"/>
          <w:snapToGrid/>
          <w:sz w:val="22"/>
          <w:szCs w:val="22"/>
          <w:lang w:val="nl-NL"/>
        </w:rPr>
        <w:t>sexdecies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septiesdecies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octiesdecies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noviesdecies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noviesdecies</w:t>
      </w:r>
      <w:proofErr w:type="spellEnd"/>
      <w:r w:rsidRPr="0053654A">
        <w:rPr>
          <w:rFonts w:ascii="Palatino Linotype" w:eastAsia="Palatino Linotype" w:hAnsi="Palatino Linotype" w:cs="Palatino Linotype"/>
          <w:snapToGrid/>
          <w:sz w:val="22"/>
          <w:szCs w:val="22"/>
          <w:lang w:val="nl-NL"/>
        </w:rPr>
        <w:t xml:space="preserve"> bis, eerste en tweede lid, artikel 1 </w:t>
      </w:r>
      <w:proofErr w:type="spellStart"/>
      <w:r w:rsidRPr="0053654A">
        <w:rPr>
          <w:rFonts w:ascii="Palatino Linotype" w:eastAsia="Palatino Linotype" w:hAnsi="Palatino Linotype" w:cs="Palatino Linotype"/>
          <w:snapToGrid/>
          <w:sz w:val="22"/>
          <w:szCs w:val="22"/>
          <w:lang w:val="nl-NL"/>
        </w:rPr>
        <w:t>noviesdecies</w:t>
      </w:r>
      <w:proofErr w:type="spellEnd"/>
      <w:r w:rsidRPr="0053654A">
        <w:rPr>
          <w:rFonts w:ascii="Palatino Linotype" w:eastAsia="Palatino Linotype" w:hAnsi="Palatino Linotype" w:cs="Palatino Linotype"/>
          <w:snapToGrid/>
          <w:sz w:val="22"/>
          <w:szCs w:val="22"/>
          <w:lang w:val="nl-NL"/>
        </w:rPr>
        <w:t xml:space="preserve"> ter, eerste tot en met vierde lid, artikel 1 </w:t>
      </w:r>
      <w:proofErr w:type="spellStart"/>
      <w:r w:rsidRPr="0053654A">
        <w:rPr>
          <w:rFonts w:ascii="Palatino Linotype" w:eastAsia="Palatino Linotype" w:hAnsi="Palatino Linotype" w:cs="Palatino Linotype"/>
          <w:snapToGrid/>
          <w:sz w:val="22"/>
          <w:szCs w:val="22"/>
          <w:lang w:val="nl-NL"/>
        </w:rPr>
        <w:t>noviesdecies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tot en met derde lid, artikel 1 </w:t>
      </w:r>
      <w:proofErr w:type="spellStart"/>
      <w:r w:rsidRPr="0053654A">
        <w:rPr>
          <w:rFonts w:ascii="Palatino Linotype" w:eastAsia="Palatino Linotype" w:hAnsi="Palatino Linotype" w:cs="Palatino Linotype"/>
          <w:snapToGrid/>
          <w:sz w:val="22"/>
          <w:szCs w:val="22"/>
          <w:lang w:val="nl-NL"/>
        </w:rPr>
        <w:t>vicies</w:t>
      </w:r>
      <w:proofErr w:type="spellEnd"/>
      <w:r w:rsidRPr="0053654A">
        <w:rPr>
          <w:rFonts w:ascii="Palatino Linotype" w:eastAsia="Palatino Linotype" w:hAnsi="Palatino Linotype" w:cs="Palatino Linotype"/>
          <w:snapToGrid/>
          <w:sz w:val="22"/>
          <w:szCs w:val="22"/>
          <w:lang w:val="nl-NL"/>
        </w:rPr>
        <w:t xml:space="preserve">, eerste lid, en lid 1 bis, artikel 1 </w:t>
      </w:r>
      <w:proofErr w:type="spellStart"/>
      <w:r w:rsidRPr="0053654A">
        <w:rPr>
          <w:rFonts w:ascii="Palatino Linotype" w:eastAsia="Palatino Linotype" w:hAnsi="Palatino Linotype" w:cs="Palatino Linotype"/>
          <w:snapToGrid/>
          <w:sz w:val="22"/>
          <w:szCs w:val="22"/>
          <w:lang w:val="nl-NL"/>
        </w:rPr>
        <w:t>vicies</w:t>
      </w:r>
      <w:proofErr w:type="spellEnd"/>
      <w:r w:rsidRPr="0053654A">
        <w:rPr>
          <w:rFonts w:ascii="Palatino Linotype" w:eastAsia="Palatino Linotype" w:hAnsi="Palatino Linotype" w:cs="Palatino Linotype"/>
          <w:snapToGrid/>
          <w:sz w:val="22"/>
          <w:szCs w:val="22"/>
          <w:lang w:val="nl-NL"/>
        </w:rPr>
        <w:t xml:space="preserve"> bis, eerste lid, lid 1 bis, tweede tot en met vierde lid, artikel 1 </w:t>
      </w:r>
      <w:proofErr w:type="spellStart"/>
      <w:r w:rsidRPr="0053654A">
        <w:rPr>
          <w:rFonts w:ascii="Palatino Linotype" w:eastAsia="Palatino Linotype" w:hAnsi="Palatino Linotype" w:cs="Palatino Linotype"/>
          <w:snapToGrid/>
          <w:sz w:val="22"/>
          <w:szCs w:val="22"/>
          <w:lang w:val="nl-NL"/>
        </w:rPr>
        <w:t>unvicies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duovicies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quinvicies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sexvicies</w:t>
      </w:r>
      <w:proofErr w:type="spellEnd"/>
      <w:r w:rsidRPr="0053654A">
        <w:rPr>
          <w:rFonts w:ascii="Palatino Linotype" w:eastAsia="Palatino Linotype" w:hAnsi="Palatino Linotype" w:cs="Palatino Linotype"/>
          <w:snapToGrid/>
          <w:sz w:val="22"/>
          <w:szCs w:val="22"/>
          <w:lang w:val="nl-NL"/>
        </w:rPr>
        <w:t xml:space="preserve">, eerste lid, artikel 1 </w:t>
      </w:r>
      <w:proofErr w:type="spellStart"/>
      <w:r w:rsidRPr="0053654A">
        <w:rPr>
          <w:rFonts w:ascii="Palatino Linotype" w:eastAsia="Palatino Linotype" w:hAnsi="Palatino Linotype" w:cs="Palatino Linotype"/>
          <w:snapToGrid/>
          <w:sz w:val="22"/>
          <w:szCs w:val="22"/>
          <w:lang w:val="nl-NL"/>
        </w:rPr>
        <w:t>septvicies</w:t>
      </w:r>
      <w:proofErr w:type="spellEnd"/>
      <w:r w:rsidRPr="0053654A">
        <w:rPr>
          <w:rFonts w:ascii="Palatino Linotype" w:eastAsia="Palatino Linotype" w:hAnsi="Palatino Linotype" w:cs="Palatino Linotype"/>
          <w:snapToGrid/>
          <w:sz w:val="22"/>
          <w:szCs w:val="22"/>
          <w:lang w:val="nl-NL"/>
        </w:rPr>
        <w:t xml:space="preserve">, artikel 1 </w:t>
      </w:r>
      <w:proofErr w:type="spellStart"/>
      <w:r w:rsidRPr="0053654A">
        <w:rPr>
          <w:rFonts w:ascii="Palatino Linotype" w:eastAsia="Palatino Linotype" w:hAnsi="Palatino Linotype" w:cs="Palatino Linotype"/>
          <w:snapToGrid/>
          <w:sz w:val="22"/>
          <w:szCs w:val="22"/>
          <w:lang w:val="nl-NL"/>
        </w:rPr>
        <w:t>septvicies</w:t>
      </w:r>
      <w:proofErr w:type="spellEnd"/>
      <w:r w:rsidRPr="0053654A">
        <w:rPr>
          <w:rFonts w:ascii="Palatino Linotype" w:eastAsia="Palatino Linotype" w:hAnsi="Palatino Linotype" w:cs="Palatino Linotype"/>
          <w:snapToGrid/>
          <w:sz w:val="22"/>
          <w:szCs w:val="22"/>
          <w:lang w:val="nl-NL"/>
        </w:rPr>
        <w:t xml:space="preserve"> bis, eerste lid, artikel 1 </w:t>
      </w:r>
      <w:proofErr w:type="spellStart"/>
      <w:r w:rsidRPr="0053654A">
        <w:rPr>
          <w:rFonts w:ascii="Palatino Linotype" w:eastAsia="Palatino Linotype" w:hAnsi="Palatino Linotype" w:cs="Palatino Linotype"/>
          <w:snapToGrid/>
          <w:sz w:val="22"/>
          <w:szCs w:val="22"/>
          <w:lang w:val="nl-NL"/>
        </w:rPr>
        <w:t>septvicies</w:t>
      </w:r>
      <w:proofErr w:type="spellEnd"/>
      <w:r w:rsidRPr="0053654A">
        <w:rPr>
          <w:rFonts w:ascii="Palatino Linotype" w:eastAsia="Palatino Linotype" w:hAnsi="Palatino Linotype" w:cs="Palatino Linotype"/>
          <w:snapToGrid/>
          <w:sz w:val="22"/>
          <w:szCs w:val="22"/>
          <w:lang w:val="nl-NL"/>
        </w:rPr>
        <w:t xml:space="preserve"> ter, artikel 1 </w:t>
      </w:r>
      <w:proofErr w:type="spellStart"/>
      <w:r w:rsidRPr="0053654A">
        <w:rPr>
          <w:rFonts w:ascii="Palatino Linotype" w:eastAsia="Palatino Linotype" w:hAnsi="Palatino Linotype" w:cs="Palatino Linotype"/>
          <w:snapToGrid/>
          <w:sz w:val="22"/>
          <w:szCs w:val="22"/>
          <w:lang w:val="nl-NL"/>
        </w:rPr>
        <w:t>septvicies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lid, lid 1 bis, lid 1 ter, lid 1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en lid 1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artikel 2, eerste, tweede en derde lid, artikel 5, artikel 8 ter, eerste lid, artikel 8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eerste lid, artikel 8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eerste lid, vierde lid tot en met zesde lid, artikel 8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bis, eerste en derde lid, artikel 8 </w:t>
      </w:r>
      <w:proofErr w:type="spellStart"/>
      <w:r w:rsidRPr="0053654A">
        <w:rPr>
          <w:rFonts w:ascii="Palatino Linotype" w:eastAsia="Palatino Linotype" w:hAnsi="Palatino Linotype" w:cs="Palatino Linotype"/>
          <w:snapToGrid/>
          <w:sz w:val="22"/>
          <w:szCs w:val="22"/>
          <w:lang w:val="nl-NL"/>
        </w:rPr>
        <w:t>decies</w:t>
      </w:r>
      <w:proofErr w:type="spellEnd"/>
      <w:r w:rsidRPr="0053654A">
        <w:rPr>
          <w:rFonts w:ascii="Palatino Linotype" w:eastAsia="Palatino Linotype" w:hAnsi="Palatino Linotype" w:cs="Palatino Linotype"/>
          <w:snapToGrid/>
          <w:sz w:val="22"/>
          <w:szCs w:val="22"/>
          <w:lang w:val="nl-NL"/>
        </w:rPr>
        <w:t xml:space="preserve"> en artikel 8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eerste lid, van Verordening (EG) nr. 765/2006 van de Raad van de Europese Unie van 18 mei 2006 betreffende beperkende maatregelen met het oog op de situatie in Belarus en de betrokkenheid van Belarus bij de Russische agressie tegen Oekraïne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2006, L 134).</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1.8 Birma/Myanmar</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lid, artikel 3, eerste en tweede lid, artikel 3 bis, eerste, derde en vierde lid, artikel 3 ter, eerste lid, artikel 3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eerste lid, artikel 4 bis, eerste en tweede lid, artikel 4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eerste lid en artikel 4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van Verordening (EU) nr. 401/2013 van de Raad van de Europese Unie van 2 mei 2013 betreffende beperkende maatregelen tegen Myanmar/Birma en tot intrekking van Verordening (EG) nr. 194/2008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2013, L 121).</w:t>
      </w:r>
    </w:p>
    <w:p w:rsidR="0053654A" w:rsidRPr="0053654A" w:rsidRDefault="0053654A" w:rsidP="0053654A">
      <w:pPr>
        <w:widowControl/>
        <w:tabs>
          <w:tab w:val="left" w:pos="360"/>
        </w:tabs>
        <w:ind w:left="360" w:hanging="36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1.9 Burundi</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7, eerste lid, en artikel 8 van </w:t>
      </w:r>
      <w:hyperlink r:id="rId10">
        <w:r w:rsidRPr="0053654A">
          <w:rPr>
            <w:rFonts w:ascii="Palatino Linotype" w:eastAsia="Palatino Linotype" w:hAnsi="Palatino Linotype" w:cs="Palatino Linotype"/>
            <w:snapToGrid/>
            <w:sz w:val="22"/>
            <w:szCs w:val="22"/>
            <w:lang w:val="nl-NL"/>
          </w:rPr>
          <w:t>Verordening 2015/1755</w:t>
        </w:r>
      </w:hyperlink>
      <w:r w:rsidRPr="0053654A">
        <w:rPr>
          <w:rFonts w:ascii="Palatino Linotype" w:eastAsia="Palatino Linotype" w:hAnsi="Palatino Linotype" w:cs="Palatino Linotype"/>
          <w:snapToGrid/>
          <w:sz w:val="22"/>
          <w:szCs w:val="22"/>
          <w:lang w:val="nl-NL"/>
        </w:rPr>
        <w:t> van de Raad van de Europese Unie van 1 oktober 2015 betreffende beperkende maatregelen in het licht van de situatie in Burundi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2015, L 257).</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ind w:left="1440" w:firstLine="72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1.10 Centraal - Afrikaanse Republiek</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5, eerste en tweede lid, artikel 11, eerste lid, en artikel 12 van </w:t>
      </w:r>
      <w:hyperlink r:id="rId11">
        <w:r w:rsidRPr="0053654A">
          <w:rPr>
            <w:rFonts w:ascii="Palatino Linotype" w:eastAsia="Palatino Linotype" w:hAnsi="Palatino Linotype" w:cs="Palatino Linotype"/>
            <w:snapToGrid/>
            <w:sz w:val="22"/>
            <w:szCs w:val="22"/>
            <w:lang w:val="nl-NL"/>
          </w:rPr>
          <w:t>Verordening 224/2014</w:t>
        </w:r>
      </w:hyperlink>
      <w:r w:rsidRPr="0053654A">
        <w:rPr>
          <w:rFonts w:ascii="Palatino Linotype" w:eastAsia="Palatino Linotype" w:hAnsi="Palatino Linotype" w:cs="Palatino Linotype"/>
          <w:snapToGrid/>
          <w:sz w:val="22"/>
          <w:szCs w:val="22"/>
          <w:lang w:val="nl-NL"/>
        </w:rPr>
        <w:t> van de Raad van de Europese Unie van 10 maart 2014 betreffende beperkende maatregelen ten aanzien van de Centraal-Afrikaanse Republiek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L70).</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1.11 Congo</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1 bis, artikel 2, eerste en tweede lid, artikel 6, eerste lid, en artikel 7 ter van </w:t>
      </w:r>
      <w:hyperlink r:id="rId12">
        <w:r w:rsidRPr="0053654A">
          <w:rPr>
            <w:rFonts w:ascii="Palatino Linotype" w:eastAsia="Palatino Linotype" w:hAnsi="Palatino Linotype" w:cs="Palatino Linotype"/>
            <w:snapToGrid/>
            <w:sz w:val="22"/>
            <w:szCs w:val="22"/>
            <w:lang w:val="nl-NL"/>
          </w:rPr>
          <w:t>Verordening (EG) nr. 1183/2005</w:t>
        </w:r>
      </w:hyperlink>
      <w:r w:rsidRPr="0053654A">
        <w:rPr>
          <w:rFonts w:ascii="Palatino Linotype" w:eastAsia="Palatino Linotype" w:hAnsi="Palatino Linotype" w:cs="Palatino Linotype"/>
          <w:snapToGrid/>
          <w:sz w:val="22"/>
          <w:szCs w:val="22"/>
          <w:lang w:val="nl-NL"/>
        </w:rPr>
        <w:t> van de Raad van de Europese Unie van 18 juli 2005 tot vaststelling van bepaalde specifieke beperkende maatregelen tegen bepaalde personen die handelen in strijd met het wapenembargo tegen de Democratische Republiek Congo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2005, L193).</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1.12 Guatemala</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 2, eerste en tweede lid, artikel 8, eerste lid, en artikel 9, eerste en tweede lid, van Verordening (EU) 2024/287 van de Raad van de Europese Unie van 12 januari 2024 betreffende beperkende maatregelen in het licht van de situatie in Guatemala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2024, L00287).</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1.13 Guinee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6 en artikel 12, eerste lid, van Verordening (EU) nr. 1284/2009 van de Raad van de Europese Unie van 22 december 2009 tot vaststelling van bepaalde specifieke beperkende maatregelen ten aanzien van de Republiek Guinee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2009, L 346).</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1.14 Guinee Bissau</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tweede en derde lid, en artikel 8 van Verordening (EU) nr. 377/2012 van de Raad van de Europese Unie van 3 mei 2012 betreffende beperkende maatregelen ten aanzien van bepaalde personen, entiteiten en lichamen die de vrede, de veiligheid of de stabiliteit van de Republiek Guinee-Bissau bedreigen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2012, L 119).</w:t>
      </w:r>
      <w:r w:rsidRPr="0053654A">
        <w:rPr>
          <w:rFonts w:ascii="Times New Roman" w:hAnsi="Times New Roman"/>
          <w:snapToGrid/>
          <w:sz w:val="20"/>
          <w:lang w:val="nl-NL"/>
        </w:rPr>
        <w:t xml:space="preserve"> </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1.15 Haïti</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3, artikel 10, eerste lid en artikel 11, eerste en tweede lid, van Verordening (EU) 2022/2309 van de Raad van de Europese Unie van 25 november 2022 betreffende beperkende maatregelen in het licht van de situatie in Haïti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2022, L 307).</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1.16 Hamas en PIJ</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artikelen 2, eerste en tweede lid, 8, eerste lid, en 9, eerste lid, van Verordening (EU) 2024/386 van de Raad van de Europese Unie van 19 januari 2024 tot vaststelling van beperkende maatregelen tegen degenen die gewelddadige acties door Hamas en de Palestijnse Islamitische Jihad steunen, faciliteren of mogelijk maken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2024, L 386).</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1.17 Irak</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3, eerste lid, artikel 4, eerste, tweede en derde lid, artikel 7 en artikel 8, eerste lid, van Verordening (EG) nr. 1210/2003 van de Raad van de Europese Unie van 7 juli 2003 betreffende bepaalde specifieke restricties op de economische en financiële betrekkingen met Irak en tot intrekking van Verordening (EG) nr. 2465/96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2003, L 169).</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1.18 Iran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17"/>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 bis,  eerste lid, artikel 2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derde lid, artikel 3 bis, eerste en derde lid, artikel 4 bis, eerste lid, artikel 4 ter, artikel 4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artikel 5, artikel 10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eerste lid, artikel 15 bis, eerste lid, artikel 23, eerste tot en met vierde lid, artikel 23 bis, eerste tot en met vierde lid, artikel 29, eerste lid, tweede volzin, artikel 36, artikel 37, eerste en tweede lid, artikel 40, eerste lid, en artikel 41 van Verordening (EU) nr. 267/2012 betreffende beperkende maatregelen ten aanzien van Iran en tot intrekking van Verordening (EU) nr. 961/2010 van de Raad van de Europese Unie van 23 maart 2012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2012, L 88).</w:t>
      </w:r>
    </w:p>
    <w:p w:rsidR="0053654A" w:rsidRPr="0053654A" w:rsidRDefault="0053654A" w:rsidP="0053654A">
      <w:pPr>
        <w:widowControl/>
        <w:numPr>
          <w:ilvl w:val="0"/>
          <w:numId w:val="17"/>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1 bis, artikel 1 ter, eerste lid, artikel 1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eerste lid, artikel 2 en artikel 9, eerste lid, van Verordening (EU) nr. 359/2011 van de Raad van de Europese Unie van 12 april 2011 betreffende beperkende maatregelen tegen bepaalde personen, entiteiten en lichamen, in verband met de situatie in Iran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2011, L 100).</w:t>
      </w:r>
    </w:p>
    <w:p w:rsidR="0053654A" w:rsidRPr="0053654A" w:rsidRDefault="0053654A" w:rsidP="0053654A">
      <w:pPr>
        <w:widowControl/>
        <w:numPr>
          <w:ilvl w:val="0"/>
          <w:numId w:val="17"/>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3, artikel 5, eerste lid, en artikel 12, eerste en tweede lid, van Verordening (EU) nr. 2023/1529 van de Raad van de Europese Unie van 20 juli 2023 betreffende beperkende maatregelen in het licht van de militaire steun van Iran aan de Russische aanvalsoorlog tegen Oekraïne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2023, L 186).</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1.19 Jemen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1 bis, artikel 2, eerste en tweede lid, artikel 9, eerste lid, en artikel 10 van Verordening 1352/2014 van de Raad van de Europese Unie van 18 december 2014 betreffende beperkende maatregelen in verband met de situatie in Jemen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 365).</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1.20 Libanon en Syrië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18"/>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 eerste, tweede en derde lid, en artikel 5 van Verordening (EG) nr. 305/2006 van de Raad van de Europese Unie van 21 februari 2006 </w:t>
      </w:r>
      <w:r w:rsidRPr="0053654A">
        <w:rPr>
          <w:rFonts w:ascii="Palatino Linotype" w:eastAsia="Palatino Linotype" w:hAnsi="Palatino Linotype" w:cs="Palatino Linotype"/>
          <w:snapToGrid/>
          <w:sz w:val="22"/>
          <w:szCs w:val="22"/>
          <w:lang w:val="nl-NL"/>
        </w:rPr>
        <w:lastRenderedPageBreak/>
        <w:t xml:space="preserve">tot vaststelling van specifieke beperkende maatregelen tegen bepaalde personen die ervan worden verdacht betrokken te zijn bij de moord op de voormalige Libanese premier Rafiq </w:t>
      </w:r>
      <w:proofErr w:type="spellStart"/>
      <w:r w:rsidRPr="0053654A">
        <w:rPr>
          <w:rFonts w:ascii="Palatino Linotype" w:eastAsia="Palatino Linotype" w:hAnsi="Palatino Linotype" w:cs="Palatino Linotype"/>
          <w:snapToGrid/>
          <w:sz w:val="22"/>
          <w:szCs w:val="22"/>
          <w:lang w:val="nl-NL"/>
        </w:rPr>
        <w:t>Hariri</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2006, L 51).</w:t>
      </w:r>
    </w:p>
    <w:p w:rsidR="0053654A" w:rsidRPr="0053654A" w:rsidRDefault="0053654A" w:rsidP="0053654A">
      <w:pPr>
        <w:widowControl/>
        <w:numPr>
          <w:ilvl w:val="0"/>
          <w:numId w:val="18"/>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van Verordening (EG) nr. 1412/2006 van de Raad van de Europese Unie van 25 september 2006 betreffende bepaalde beperkende maatregelen ten aanzien van Libanon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2006, L 267).</w:t>
      </w:r>
    </w:p>
    <w:p w:rsidR="0053654A" w:rsidRPr="0053654A" w:rsidRDefault="0053654A" w:rsidP="0053654A">
      <w:pPr>
        <w:widowControl/>
        <w:numPr>
          <w:ilvl w:val="0"/>
          <w:numId w:val="18"/>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8, eerste lid, en artikel 9 van Verordening (EU) nr. 2021/1275 van de Raad van de Europese Unie van 30 juli 2021 betreffende beperkende maatregelen in het licht van de situatie in Libanon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2021, LI 277).</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1.21 Libië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2 bis, eerste lid, artikel 3, eerste lid, artikel 4, artikel 5, eerste tot en met vierde lid, artikel 15, eerste, tweede, vierde en zesde lid, en artikel 18, eerste en tweede lid, van Verordening (EU) nr. 2016/44 van de Raad van de Europese Unie van 18 januari 2016 betreffende beperkende maatregelen in het licht van de situatie in Libië en tot intrekking van Verordening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2016, L 12).</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1.22 Mali</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7, eerste lid, en artikel 8 van Verordening (EU) nr. 2017/1770 van de Raad van de Europese Unie van 28 september 2017 betreffende beperkende maatregelen in het licht van de situatie in Mali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2017, L 251).</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1.23 Moldavië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8, eerste lid, artikel 9 en artikel 11, eerste lid, van Verordening (EU) 2023/888 van de Raad van de Europese Unie van 28 april 2023 betreffende beperkende maatregelen in verband met acties die de situatie in de Republiek Moldavië destabiliseren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2023, L 114).</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1.24 Nicaragua</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8, eerste lid, en artikel 9 van Verordening (EU) nr. 2019/1716 van de Raad van de Europese Unie van 14 oktober 2019 betreffende beperkende maatregelen in het licht van de situatie in Nicaragua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2019, L 262).</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1.25 Niger</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 2, eerste en tweede lid, artikel 8, eerste lid, en artikel 9, eerste en tweede lid, van Verordening (EU) 2023/2406 van de Raad van de Europese Unie van 23 oktober 2023 betreffende beperkende maatregelen in het licht van de situatie in Niger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2023, L 2406).</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1.26 Noord-Korea</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3, eerste lid, artikel 5, artikel 7, eerste lid, artikel 10, eerste lid, artikel 11 tot en met artikel 13, artikel 15, artikel 16 bis, artikel 16 ter, artikel 16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nonies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duodecies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terdecies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quaterdecies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quindecies</w:t>
      </w:r>
      <w:proofErr w:type="spellEnd"/>
      <w:r w:rsidRPr="0053654A">
        <w:rPr>
          <w:rFonts w:ascii="Palatino Linotype" w:eastAsia="Palatino Linotype" w:hAnsi="Palatino Linotype" w:cs="Palatino Linotype"/>
          <w:snapToGrid/>
          <w:sz w:val="22"/>
          <w:szCs w:val="22"/>
          <w:lang w:val="nl-NL"/>
        </w:rPr>
        <w:t xml:space="preserve">, artikel 16 </w:t>
      </w:r>
      <w:proofErr w:type="spellStart"/>
      <w:r w:rsidRPr="0053654A">
        <w:rPr>
          <w:rFonts w:ascii="Palatino Linotype" w:eastAsia="Palatino Linotype" w:hAnsi="Palatino Linotype" w:cs="Palatino Linotype"/>
          <w:snapToGrid/>
          <w:sz w:val="22"/>
          <w:szCs w:val="22"/>
          <w:lang w:val="nl-NL"/>
        </w:rPr>
        <w:t>septdecies</w:t>
      </w:r>
      <w:proofErr w:type="spellEnd"/>
      <w:r w:rsidRPr="0053654A">
        <w:rPr>
          <w:rFonts w:ascii="Palatino Linotype" w:eastAsia="Palatino Linotype" w:hAnsi="Palatino Linotype" w:cs="Palatino Linotype"/>
          <w:snapToGrid/>
          <w:sz w:val="22"/>
          <w:szCs w:val="22"/>
          <w:lang w:val="nl-NL"/>
        </w:rPr>
        <w:t>, artikel 17, artikel 18, eerste lid, artikel 20, eerste lid, artikel 21, eerste en tweede lid, artikel 23, artikel 24, artikel 26, artikel 28, artikel 30 tot en met 32, artikel 34, eerste tot en met derde lid, artikel 38, vierde lid, artikel 39, eerste lid, artikel 41, eerste lid, artikel 43, eerste lid, artikel 44 bis, artikel 50, eerste lid, en artikel 52 van Verordening (EU) nr. 2017/1509 van de Raad van Europa van 30 augustus 2017 betreffende beperkende maatregelen tegen de Democratische Volksrepubliek Korea en tot intrekking van Verordening (EG) nr. 329/2007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2017, L 224).</w:t>
      </w: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om gespecialiseerde kennis die rechtstreeks of middellijk bijdraagt of kan bijdragen aan proliferatiegevoelige activiteiten van Noord-Korea of aan de ontwikkeling van systemen voor de overbrenging van kernwapens in Noord-Korea aan te bieden aan personen die niet beschikken over een ontheffing van de Minister. </w:t>
      </w: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verbod, bedoeld in het tweede lid, heeft in elk geval betrekking op de volgende gebieden van onderwijs en onderzoek:</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natuurkunde</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computersimulatie en aanverwante computerwetenschappen</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proofErr w:type="spellStart"/>
      <w:r w:rsidRPr="0053654A">
        <w:rPr>
          <w:rFonts w:ascii="Palatino Linotype" w:eastAsia="Palatino Linotype" w:hAnsi="Palatino Linotype" w:cs="Palatino Linotype"/>
          <w:snapToGrid/>
          <w:sz w:val="22"/>
          <w:szCs w:val="22"/>
          <w:lang w:val="nl-NL"/>
        </w:rPr>
        <w:t>geospatiale</w:t>
      </w:r>
      <w:proofErr w:type="spellEnd"/>
      <w:r w:rsidRPr="0053654A">
        <w:rPr>
          <w:rFonts w:ascii="Palatino Linotype" w:eastAsia="Palatino Linotype" w:hAnsi="Palatino Linotype" w:cs="Palatino Linotype"/>
          <w:snapToGrid/>
          <w:sz w:val="22"/>
          <w:szCs w:val="22"/>
          <w:lang w:val="nl-NL"/>
        </w:rPr>
        <w:t xml:space="preserve"> navigatie</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nucleaire technologie</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ruimtevaarttechnologie</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luchtvaarttechnologie en aanverwante vakgebieden</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materiaalwetenschap</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chemische technologie</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machinebouw</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elektrotechniek</w:t>
      </w:r>
    </w:p>
    <w:p w:rsidR="0053654A" w:rsidRPr="0053654A" w:rsidRDefault="0053654A" w:rsidP="0053654A">
      <w:pPr>
        <w:widowControl/>
        <w:numPr>
          <w:ilvl w:val="0"/>
          <w:numId w:val="7"/>
        </w:numPr>
        <w:spacing w:line="259" w:lineRule="auto"/>
        <w:contextualSpacing/>
        <w:rPr>
          <w:rFonts w:ascii="Times New Roman" w:hAnsi="Times New Roman"/>
          <w:snapToGrid/>
          <w:sz w:val="22"/>
          <w:szCs w:val="22"/>
          <w:lang w:val="nl-NL"/>
        </w:rPr>
      </w:pPr>
      <w:r w:rsidRPr="0053654A">
        <w:rPr>
          <w:rFonts w:ascii="Palatino Linotype" w:eastAsia="Palatino Linotype" w:hAnsi="Palatino Linotype" w:cs="Palatino Linotype"/>
          <w:snapToGrid/>
          <w:sz w:val="22"/>
          <w:szCs w:val="22"/>
          <w:lang w:val="nl-NL"/>
        </w:rPr>
        <w:t>geavanceerde industriële techniek.</w:t>
      </w: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verleent de gevraagde ontheffing tenzij hij het risico onaanvaardbaar groot acht dat het aanbieden van de bedoelde kennis aan de persoon voor wie de ontheffing is gevraagd, zal bijdragen aan proliferatiegevoelige activiteiten van Noord-Korea of aan de ontwikkeling van systemen voor de overbrenging van kernwapens in Noord-Korea.</w:t>
      </w: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op wetenschappelijk of technisch gebied samen te werken met personen of entiteiten die gefinancierd worden door Noord-Korea of die Noord-Korea vertegenwoordigen.</w:t>
      </w:r>
    </w:p>
    <w:p w:rsidR="0053654A" w:rsidRPr="0053654A" w:rsidRDefault="0053654A" w:rsidP="0053654A">
      <w:pPr>
        <w:widowControl/>
        <w:numPr>
          <w:ilvl w:val="0"/>
          <w:numId w:val="1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Een instelling voor hoger onderwijs of een rechtspersoon voor hoger onderwijs verstrekt de Minister gevraagd en ongevraagd alle inlichtingen over wijzigingen in het door de instelling verzorgde onderwijs en onderzoek die van belang kunnen zijn voor de toepassing van de leden 2 tot en met 5.</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1.27 Oekraïne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8, eerste lid, en artikel 9 van Verordening 208/2014 van de Raad van de Europese Unie van 5 maart 2014 betreffende beperkende maatregelen tegen bepaalde personen, entiteiten en lichamen in het licht van de situatie in Oekraïne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L66).</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1.27a Territoriale integriteit Oekraïne</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8"/>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 artikel 8, eerste lid, lid 1 bis, lid 1 ter, derde volzin, lid 1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en artikel 9 van Verordening 269/2014 van de Raad van de Europese Unie van 17 maart 2014 betreffende beperkende maatregelen met betrekking tot acties die de territoriale integriteit, soevereiniteit en onafhankelijkheid van Oekraïne ondermijnen of bedreigen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L78).</w:t>
      </w:r>
    </w:p>
    <w:p w:rsidR="0053654A" w:rsidRPr="0053654A" w:rsidRDefault="0053654A" w:rsidP="0053654A">
      <w:pPr>
        <w:widowControl/>
        <w:numPr>
          <w:ilvl w:val="0"/>
          <w:numId w:val="8"/>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 eerste lid, lid 1 bis en tweede lid, artikel 2 bis, eerste lid, lid 1 bis en tweede lid, artikel 2 bis </w:t>
      </w:r>
      <w:proofErr w:type="spellStart"/>
      <w:r w:rsidRPr="0053654A">
        <w:rPr>
          <w:rFonts w:ascii="Palatino Linotype" w:eastAsia="Palatino Linotype" w:hAnsi="Palatino Linotype" w:cs="Palatino Linotype"/>
          <w:snapToGrid/>
          <w:sz w:val="22"/>
          <w:szCs w:val="22"/>
          <w:lang w:val="nl-NL"/>
        </w:rPr>
        <w:t>bis</w:t>
      </w:r>
      <w:proofErr w:type="spellEnd"/>
      <w:r w:rsidRPr="0053654A">
        <w:rPr>
          <w:rFonts w:ascii="Palatino Linotype" w:eastAsia="Palatino Linotype" w:hAnsi="Palatino Linotype" w:cs="Palatino Linotype"/>
          <w:snapToGrid/>
          <w:sz w:val="22"/>
          <w:szCs w:val="22"/>
          <w:lang w:val="nl-NL"/>
        </w:rPr>
        <w:t xml:space="preserve">, artikel 2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eerste en derde lid, artikel 2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artikel 3, eerste en tweede lid, artikel 3 bis, eerste en tweede lid, artikel 3 ter, eerste en tweede lid, artikel 3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tot en met vierde lid, artikel 3 </w:t>
      </w:r>
      <w:proofErr w:type="spellStart"/>
      <w:r w:rsidRPr="0053654A">
        <w:rPr>
          <w:rFonts w:ascii="Palatino Linotype" w:eastAsia="Palatino Linotype" w:hAnsi="Palatino Linotype" w:cs="Palatino Linotype"/>
          <w:snapToGrid/>
          <w:sz w:val="22"/>
          <w:szCs w:val="22"/>
          <w:lang w:val="nl-NL"/>
        </w:rPr>
        <w:t>quinquies</w:t>
      </w:r>
      <w:proofErr w:type="spellEnd"/>
      <w:r w:rsidRPr="0053654A">
        <w:rPr>
          <w:rFonts w:ascii="Palatino Linotype" w:eastAsia="Palatino Linotype" w:hAnsi="Palatino Linotype" w:cs="Palatino Linotype"/>
          <w:snapToGrid/>
          <w:sz w:val="22"/>
          <w:szCs w:val="22"/>
          <w:lang w:val="nl-NL"/>
        </w:rPr>
        <w:t xml:space="preserve">, eerste en vijfde lid, artikel 3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bis, eerste lid, lid 1 bis en tweede lid, artikel 3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ter, eerste lid, artikel 3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eerste lid, artikel 3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eerste en tweede lid, artikel 3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eerste lid, artikel 3 </w:t>
      </w:r>
      <w:proofErr w:type="spellStart"/>
      <w:r w:rsidRPr="0053654A">
        <w:rPr>
          <w:rFonts w:ascii="Palatino Linotype" w:eastAsia="Palatino Linotype" w:hAnsi="Palatino Linotype" w:cs="Palatino Linotype"/>
          <w:snapToGrid/>
          <w:sz w:val="22"/>
          <w:szCs w:val="22"/>
          <w:lang w:val="nl-NL"/>
        </w:rPr>
        <w:t>nonies</w:t>
      </w:r>
      <w:proofErr w:type="spellEnd"/>
      <w:r w:rsidRPr="0053654A">
        <w:rPr>
          <w:rFonts w:ascii="Palatino Linotype" w:eastAsia="Palatino Linotype" w:hAnsi="Palatino Linotype" w:cs="Palatino Linotype"/>
          <w:snapToGrid/>
          <w:sz w:val="22"/>
          <w:szCs w:val="22"/>
          <w:lang w:val="nl-NL"/>
        </w:rPr>
        <w:t xml:space="preserve">, eerste lid, tweede lid en lid 2 bis, artikel 3 </w:t>
      </w:r>
      <w:proofErr w:type="spellStart"/>
      <w:r w:rsidRPr="0053654A">
        <w:rPr>
          <w:rFonts w:ascii="Palatino Linotype" w:eastAsia="Palatino Linotype" w:hAnsi="Palatino Linotype" w:cs="Palatino Linotype"/>
          <w:snapToGrid/>
          <w:sz w:val="22"/>
          <w:szCs w:val="22"/>
          <w:lang w:val="nl-NL"/>
        </w:rPr>
        <w:t>decies</w:t>
      </w:r>
      <w:proofErr w:type="spellEnd"/>
      <w:r w:rsidRPr="0053654A">
        <w:rPr>
          <w:rFonts w:ascii="Palatino Linotype" w:eastAsia="Palatino Linotype" w:hAnsi="Palatino Linotype" w:cs="Palatino Linotype"/>
          <w:snapToGrid/>
          <w:sz w:val="22"/>
          <w:szCs w:val="22"/>
          <w:lang w:val="nl-NL"/>
        </w:rPr>
        <w:t xml:space="preserve">, eerste en tweede lid, artikel 3 </w:t>
      </w:r>
      <w:proofErr w:type="spellStart"/>
      <w:r w:rsidRPr="0053654A">
        <w:rPr>
          <w:rFonts w:ascii="Palatino Linotype" w:eastAsia="Palatino Linotype" w:hAnsi="Palatino Linotype" w:cs="Palatino Linotype"/>
          <w:snapToGrid/>
          <w:sz w:val="22"/>
          <w:szCs w:val="22"/>
          <w:lang w:val="nl-NL"/>
        </w:rPr>
        <w:t>duodecies</w:t>
      </w:r>
      <w:proofErr w:type="spellEnd"/>
      <w:r w:rsidRPr="0053654A">
        <w:rPr>
          <w:rFonts w:ascii="Palatino Linotype" w:eastAsia="Palatino Linotype" w:hAnsi="Palatino Linotype" w:cs="Palatino Linotype"/>
          <w:snapToGrid/>
          <w:sz w:val="22"/>
          <w:szCs w:val="22"/>
          <w:lang w:val="nl-NL"/>
        </w:rPr>
        <w:t xml:space="preserve">, eerste lid, lid 1 bis, tweede en zesde lid, artikel 3 </w:t>
      </w:r>
      <w:proofErr w:type="spellStart"/>
      <w:r w:rsidRPr="0053654A">
        <w:rPr>
          <w:rFonts w:ascii="Palatino Linotype" w:eastAsia="Palatino Linotype" w:hAnsi="Palatino Linotype" w:cs="Palatino Linotype"/>
          <w:snapToGrid/>
          <w:sz w:val="22"/>
          <w:szCs w:val="22"/>
          <w:lang w:val="nl-NL"/>
        </w:rPr>
        <w:t>terdecies</w:t>
      </w:r>
      <w:proofErr w:type="spellEnd"/>
      <w:r w:rsidRPr="0053654A">
        <w:rPr>
          <w:rFonts w:ascii="Palatino Linotype" w:eastAsia="Palatino Linotype" w:hAnsi="Palatino Linotype" w:cs="Palatino Linotype"/>
          <w:snapToGrid/>
          <w:sz w:val="22"/>
          <w:szCs w:val="22"/>
          <w:lang w:val="nl-NL"/>
        </w:rPr>
        <w:t xml:space="preserve">, eerste lid en lid 1 bis, artikel 3 </w:t>
      </w:r>
      <w:proofErr w:type="spellStart"/>
      <w:r w:rsidRPr="0053654A">
        <w:rPr>
          <w:rFonts w:ascii="Palatino Linotype" w:eastAsia="Palatino Linotype" w:hAnsi="Palatino Linotype" w:cs="Palatino Linotype"/>
          <w:snapToGrid/>
          <w:sz w:val="22"/>
          <w:szCs w:val="22"/>
          <w:lang w:val="nl-NL"/>
        </w:rPr>
        <w:t>quaterdecies</w:t>
      </w:r>
      <w:proofErr w:type="spellEnd"/>
      <w:r w:rsidRPr="0053654A">
        <w:rPr>
          <w:rFonts w:ascii="Palatino Linotype" w:eastAsia="Palatino Linotype" w:hAnsi="Palatino Linotype" w:cs="Palatino Linotype"/>
          <w:snapToGrid/>
          <w:sz w:val="22"/>
          <w:szCs w:val="22"/>
          <w:lang w:val="nl-NL"/>
        </w:rPr>
        <w:t xml:space="preserve">, eerste, tweede, zevende, achtste en elfde lid, artikel 3 </w:t>
      </w:r>
      <w:proofErr w:type="spellStart"/>
      <w:r w:rsidRPr="0053654A">
        <w:rPr>
          <w:rFonts w:ascii="Palatino Linotype" w:eastAsia="Palatino Linotype" w:hAnsi="Palatino Linotype" w:cs="Palatino Linotype"/>
          <w:snapToGrid/>
          <w:sz w:val="22"/>
          <w:szCs w:val="22"/>
          <w:lang w:val="nl-NL"/>
        </w:rPr>
        <w:t>quindecies</w:t>
      </w:r>
      <w:proofErr w:type="spellEnd"/>
      <w:r w:rsidRPr="0053654A">
        <w:rPr>
          <w:rFonts w:ascii="Palatino Linotype" w:eastAsia="Palatino Linotype" w:hAnsi="Palatino Linotype" w:cs="Palatino Linotype"/>
          <w:snapToGrid/>
          <w:sz w:val="22"/>
          <w:szCs w:val="22"/>
          <w:lang w:val="nl-NL"/>
        </w:rPr>
        <w:t xml:space="preserve">, eerste lid, vierde lid, vijfde lid, lid 6 bis, zevende en twaalfde lid, artikel 3 </w:t>
      </w:r>
      <w:proofErr w:type="spellStart"/>
      <w:r w:rsidRPr="0053654A">
        <w:rPr>
          <w:rFonts w:ascii="Palatino Linotype" w:eastAsia="Palatino Linotype" w:hAnsi="Palatino Linotype" w:cs="Palatino Linotype"/>
          <w:snapToGrid/>
          <w:sz w:val="22"/>
          <w:szCs w:val="22"/>
          <w:lang w:val="nl-NL"/>
        </w:rPr>
        <w:t>sexdecies</w:t>
      </w:r>
      <w:proofErr w:type="spellEnd"/>
      <w:r w:rsidRPr="0053654A">
        <w:rPr>
          <w:rFonts w:ascii="Palatino Linotype" w:eastAsia="Palatino Linotype" w:hAnsi="Palatino Linotype" w:cs="Palatino Linotype"/>
          <w:snapToGrid/>
          <w:sz w:val="22"/>
          <w:szCs w:val="22"/>
          <w:lang w:val="nl-NL"/>
        </w:rPr>
        <w:t xml:space="preserve">, eerste tot en met vierde lid, artikel 3 </w:t>
      </w:r>
      <w:proofErr w:type="spellStart"/>
      <w:r w:rsidRPr="0053654A">
        <w:rPr>
          <w:rFonts w:ascii="Palatino Linotype" w:eastAsia="Palatino Linotype" w:hAnsi="Palatino Linotype" w:cs="Palatino Linotype"/>
          <w:snapToGrid/>
          <w:sz w:val="22"/>
          <w:szCs w:val="22"/>
          <w:lang w:val="nl-NL"/>
        </w:rPr>
        <w:t>septdecies</w:t>
      </w:r>
      <w:proofErr w:type="spellEnd"/>
      <w:r w:rsidRPr="0053654A">
        <w:rPr>
          <w:rFonts w:ascii="Palatino Linotype" w:eastAsia="Palatino Linotype" w:hAnsi="Palatino Linotype" w:cs="Palatino Linotype"/>
          <w:snapToGrid/>
          <w:sz w:val="22"/>
          <w:szCs w:val="22"/>
          <w:lang w:val="nl-NL"/>
        </w:rPr>
        <w:t xml:space="preserve">, eerste tot en met vijfde lid, achtste en tiende lid, artikel 3 </w:t>
      </w:r>
      <w:proofErr w:type="spellStart"/>
      <w:r w:rsidRPr="0053654A">
        <w:rPr>
          <w:rFonts w:ascii="Palatino Linotype" w:eastAsia="Palatino Linotype" w:hAnsi="Palatino Linotype" w:cs="Palatino Linotype"/>
          <w:snapToGrid/>
          <w:sz w:val="22"/>
          <w:szCs w:val="22"/>
          <w:lang w:val="nl-NL"/>
        </w:rPr>
        <w:t>octodecies</w:t>
      </w:r>
      <w:proofErr w:type="spellEnd"/>
      <w:r w:rsidRPr="0053654A">
        <w:rPr>
          <w:rFonts w:ascii="Palatino Linotype" w:eastAsia="Palatino Linotype" w:hAnsi="Palatino Linotype" w:cs="Palatino Linotype"/>
          <w:snapToGrid/>
          <w:sz w:val="22"/>
          <w:szCs w:val="22"/>
          <w:lang w:val="nl-NL"/>
        </w:rPr>
        <w:t xml:space="preserve">, eerste, vierde en vijfde lid, artikel 4, eerste lid, artikel 5, eerste tot en met vijfde lid, en zesde lid, eerste volzin, artikel 5 bis, eerste lid, tweede lid, eerste volzin, vierde lid, lid 4 bis, lid 4 ter, lid 4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xml:space="preserve">, achtste en negende lid, artikel 5 bis </w:t>
      </w:r>
      <w:proofErr w:type="spellStart"/>
      <w:r w:rsidRPr="0053654A">
        <w:rPr>
          <w:rFonts w:ascii="Palatino Linotype" w:eastAsia="Palatino Linotype" w:hAnsi="Palatino Linotype" w:cs="Palatino Linotype"/>
          <w:snapToGrid/>
          <w:sz w:val="22"/>
          <w:szCs w:val="22"/>
          <w:lang w:val="nl-NL"/>
        </w:rPr>
        <w:t>bis</w:t>
      </w:r>
      <w:proofErr w:type="spellEnd"/>
      <w:r w:rsidRPr="0053654A">
        <w:rPr>
          <w:rFonts w:ascii="Palatino Linotype" w:eastAsia="Palatino Linotype" w:hAnsi="Palatino Linotype" w:cs="Palatino Linotype"/>
          <w:snapToGrid/>
          <w:sz w:val="22"/>
          <w:szCs w:val="22"/>
          <w:lang w:val="nl-NL"/>
        </w:rPr>
        <w:t xml:space="preserve">, eerste lid, lid 1 bis en lid 1 ter, artikel 5 ter, eerste lid, tweede lid en lid 2 bis, artikel 5 </w:t>
      </w:r>
      <w:proofErr w:type="spellStart"/>
      <w:r w:rsidRPr="0053654A">
        <w:rPr>
          <w:rFonts w:ascii="Palatino Linotype" w:eastAsia="Palatino Linotype" w:hAnsi="Palatino Linotype" w:cs="Palatino Linotype"/>
          <w:snapToGrid/>
          <w:sz w:val="22"/>
          <w:szCs w:val="22"/>
          <w:lang w:val="nl-NL"/>
        </w:rPr>
        <w:t>sexies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xml:space="preserve">, artikel 5 </w:t>
      </w:r>
      <w:proofErr w:type="spellStart"/>
      <w:r w:rsidRPr="0053654A">
        <w:rPr>
          <w:rFonts w:ascii="Palatino Linotype" w:eastAsia="Palatino Linotype" w:hAnsi="Palatino Linotype" w:cs="Palatino Linotype"/>
          <w:snapToGrid/>
          <w:sz w:val="22"/>
          <w:szCs w:val="22"/>
          <w:lang w:val="nl-NL"/>
        </w:rPr>
        <w:t>nonies</w:t>
      </w:r>
      <w:proofErr w:type="spellEnd"/>
      <w:r w:rsidRPr="0053654A">
        <w:rPr>
          <w:rFonts w:ascii="Palatino Linotype" w:eastAsia="Palatino Linotype" w:hAnsi="Palatino Linotype" w:cs="Palatino Linotype"/>
          <w:snapToGrid/>
          <w:sz w:val="22"/>
          <w:szCs w:val="22"/>
          <w:lang w:val="nl-NL"/>
        </w:rPr>
        <w:t xml:space="preserve">, artikel 5 </w:t>
      </w:r>
      <w:proofErr w:type="spellStart"/>
      <w:r w:rsidRPr="0053654A">
        <w:rPr>
          <w:rFonts w:ascii="Palatino Linotype" w:eastAsia="Palatino Linotype" w:hAnsi="Palatino Linotype" w:cs="Palatino Linotype"/>
          <w:snapToGrid/>
          <w:sz w:val="22"/>
          <w:szCs w:val="22"/>
          <w:lang w:val="nl-NL"/>
        </w:rPr>
        <w:t>decies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undecies</w:t>
      </w:r>
      <w:proofErr w:type="spellEnd"/>
      <w:r w:rsidRPr="0053654A">
        <w:rPr>
          <w:rFonts w:ascii="Palatino Linotype" w:eastAsia="Palatino Linotype" w:hAnsi="Palatino Linotype" w:cs="Palatino Linotype"/>
          <w:snapToGrid/>
          <w:sz w:val="22"/>
          <w:szCs w:val="22"/>
          <w:lang w:val="nl-NL"/>
        </w:rPr>
        <w:t xml:space="preserve">, eerste en tweede lid, artikel 5 </w:t>
      </w:r>
      <w:proofErr w:type="spellStart"/>
      <w:r w:rsidRPr="0053654A">
        <w:rPr>
          <w:rFonts w:ascii="Palatino Linotype" w:eastAsia="Palatino Linotype" w:hAnsi="Palatino Linotype" w:cs="Palatino Linotype"/>
          <w:snapToGrid/>
          <w:sz w:val="22"/>
          <w:szCs w:val="22"/>
          <w:lang w:val="nl-NL"/>
        </w:rPr>
        <w:t>duodecies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terdecies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quaterdecies</w:t>
      </w:r>
      <w:proofErr w:type="spellEnd"/>
      <w:r w:rsidRPr="0053654A">
        <w:rPr>
          <w:rFonts w:ascii="Palatino Linotype" w:eastAsia="Palatino Linotype" w:hAnsi="Palatino Linotype" w:cs="Palatino Linotype"/>
          <w:snapToGrid/>
          <w:sz w:val="22"/>
          <w:szCs w:val="22"/>
          <w:lang w:val="nl-NL"/>
        </w:rPr>
        <w:t xml:space="preserve">, eerste en tweede lid, artikel 5 </w:t>
      </w:r>
      <w:proofErr w:type="spellStart"/>
      <w:r w:rsidRPr="0053654A">
        <w:rPr>
          <w:rFonts w:ascii="Palatino Linotype" w:eastAsia="Palatino Linotype" w:hAnsi="Palatino Linotype" w:cs="Palatino Linotype"/>
          <w:snapToGrid/>
          <w:sz w:val="22"/>
          <w:szCs w:val="22"/>
          <w:lang w:val="nl-NL"/>
        </w:rPr>
        <w:t>quindecies</w:t>
      </w:r>
      <w:proofErr w:type="spellEnd"/>
      <w:r w:rsidRPr="0053654A">
        <w:rPr>
          <w:rFonts w:ascii="Palatino Linotype" w:eastAsia="Palatino Linotype" w:hAnsi="Palatino Linotype" w:cs="Palatino Linotype"/>
          <w:snapToGrid/>
          <w:sz w:val="22"/>
          <w:szCs w:val="22"/>
          <w:lang w:val="nl-NL"/>
        </w:rPr>
        <w:t xml:space="preserve">, eerste lid, tweede lid, lid 2 bis, lid 2 ter en lid 3 bis, artikel 5 </w:t>
      </w:r>
      <w:proofErr w:type="spellStart"/>
      <w:r w:rsidRPr="0053654A">
        <w:rPr>
          <w:rFonts w:ascii="Palatino Linotype" w:eastAsia="Palatino Linotype" w:hAnsi="Palatino Linotype" w:cs="Palatino Linotype"/>
          <w:snapToGrid/>
          <w:sz w:val="22"/>
          <w:szCs w:val="22"/>
          <w:lang w:val="nl-NL"/>
        </w:rPr>
        <w:t>sexdecies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septdecies</w:t>
      </w:r>
      <w:proofErr w:type="spellEnd"/>
      <w:r w:rsidRPr="0053654A">
        <w:rPr>
          <w:rFonts w:ascii="Palatino Linotype" w:eastAsia="Palatino Linotype" w:hAnsi="Palatino Linotype" w:cs="Palatino Linotype"/>
          <w:snapToGrid/>
          <w:sz w:val="22"/>
          <w:szCs w:val="22"/>
          <w:lang w:val="nl-NL"/>
        </w:rPr>
        <w:t xml:space="preserve">, eerste lid, artikel 5 </w:t>
      </w:r>
      <w:proofErr w:type="spellStart"/>
      <w:r w:rsidRPr="0053654A">
        <w:rPr>
          <w:rFonts w:ascii="Palatino Linotype" w:eastAsia="Palatino Linotype" w:hAnsi="Palatino Linotype" w:cs="Palatino Linotype"/>
          <w:snapToGrid/>
          <w:sz w:val="22"/>
          <w:szCs w:val="22"/>
          <w:lang w:val="nl-NL"/>
        </w:rPr>
        <w:t>novodecies</w:t>
      </w:r>
      <w:proofErr w:type="spellEnd"/>
      <w:r w:rsidRPr="0053654A">
        <w:rPr>
          <w:rFonts w:ascii="Palatino Linotype" w:eastAsia="Palatino Linotype" w:hAnsi="Palatino Linotype" w:cs="Palatino Linotype"/>
          <w:snapToGrid/>
          <w:sz w:val="22"/>
          <w:szCs w:val="22"/>
          <w:lang w:val="nl-NL"/>
        </w:rPr>
        <w:t xml:space="preserve">, eerste en tweede lid, artikel 6 ter, eerste lid, artikel 11, eerste lid, artikel 12, artikel 12 </w:t>
      </w:r>
      <w:proofErr w:type="spellStart"/>
      <w:r w:rsidRPr="0053654A">
        <w:rPr>
          <w:rFonts w:ascii="Palatino Linotype" w:eastAsia="Palatino Linotype" w:hAnsi="Palatino Linotype" w:cs="Palatino Linotype"/>
          <w:snapToGrid/>
          <w:sz w:val="22"/>
          <w:szCs w:val="22"/>
          <w:lang w:val="nl-NL"/>
        </w:rPr>
        <w:t>septies</w:t>
      </w:r>
      <w:proofErr w:type="spellEnd"/>
      <w:r w:rsidRPr="0053654A">
        <w:rPr>
          <w:rFonts w:ascii="Palatino Linotype" w:eastAsia="Palatino Linotype" w:hAnsi="Palatino Linotype" w:cs="Palatino Linotype"/>
          <w:snapToGrid/>
          <w:sz w:val="22"/>
          <w:szCs w:val="22"/>
          <w:lang w:val="nl-NL"/>
        </w:rPr>
        <w:t xml:space="preserve">, eerste en tweede lid, en artikel 12 </w:t>
      </w:r>
      <w:proofErr w:type="spellStart"/>
      <w:r w:rsidRPr="0053654A">
        <w:rPr>
          <w:rFonts w:ascii="Palatino Linotype" w:eastAsia="Palatino Linotype" w:hAnsi="Palatino Linotype" w:cs="Palatino Linotype"/>
          <w:snapToGrid/>
          <w:sz w:val="22"/>
          <w:szCs w:val="22"/>
          <w:lang w:val="nl-NL"/>
        </w:rPr>
        <w:t>octies</w:t>
      </w:r>
      <w:proofErr w:type="spellEnd"/>
      <w:r w:rsidRPr="0053654A">
        <w:rPr>
          <w:rFonts w:ascii="Palatino Linotype" w:eastAsia="Palatino Linotype" w:hAnsi="Palatino Linotype" w:cs="Palatino Linotype"/>
          <w:snapToGrid/>
          <w:sz w:val="22"/>
          <w:szCs w:val="22"/>
          <w:lang w:val="nl-NL"/>
        </w:rPr>
        <w:t>, eerste, derde en vierde lid, van Verordening (EU) nr. 833/2014 van de Raad van de Europese Unie van 31 juli 2014 betreffende beperkende maatregelen naar aanleiding van de acties van Rusland die de situatie in Oekraïne destabiliseren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 229).</w:t>
      </w:r>
    </w:p>
    <w:p w:rsidR="0053654A" w:rsidRPr="0053654A" w:rsidRDefault="0053654A" w:rsidP="0053654A">
      <w:pPr>
        <w:widowControl/>
        <w:numPr>
          <w:ilvl w:val="0"/>
          <w:numId w:val="8"/>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verbod tot overtreding van artikel 4, eerste lid, onder a en b, tweede lid en de leden 2bis, 2bisbis en 2ter, van Verordening (EU) nr. 833/2014, op grond van het tweede lid strekt zich tevens uit tot het verlenen van </w:t>
      </w:r>
      <w:proofErr w:type="spellStart"/>
      <w:r w:rsidRPr="0053654A">
        <w:rPr>
          <w:rFonts w:ascii="Palatino Linotype" w:eastAsia="Palatino Linotype" w:hAnsi="Palatino Linotype" w:cs="Palatino Linotype"/>
          <w:snapToGrid/>
          <w:sz w:val="22"/>
          <w:szCs w:val="22"/>
          <w:lang w:val="nl-NL"/>
        </w:rPr>
        <w:t>tussenhandeldiensten</w:t>
      </w:r>
      <w:proofErr w:type="spellEnd"/>
      <w:r w:rsidRPr="0053654A">
        <w:rPr>
          <w:rFonts w:ascii="Palatino Linotype" w:eastAsia="Palatino Linotype" w:hAnsi="Palatino Linotype" w:cs="Palatino Linotype"/>
          <w:snapToGrid/>
          <w:sz w:val="22"/>
          <w:szCs w:val="22"/>
          <w:lang w:val="nl-NL"/>
        </w:rPr>
        <w:t xml:space="preserve"> met betrekking tot goederen en technologie vermeld in de gemeenschappelijke lijst van militaire goederen.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 xml:space="preserve">Artikel 1.27b Erkenning </w:t>
      </w:r>
      <w:proofErr w:type="spellStart"/>
      <w:r w:rsidRPr="0053654A">
        <w:rPr>
          <w:rFonts w:ascii="Palatino Linotype" w:eastAsia="Palatino Linotype" w:hAnsi="Palatino Linotype" w:cs="Palatino Linotype"/>
          <w:snapToGrid/>
          <w:sz w:val="22"/>
          <w:szCs w:val="22"/>
          <w:lang w:val="nl-NL"/>
        </w:rPr>
        <w:t>Donetsk</w:t>
      </w:r>
      <w:proofErr w:type="spellEnd"/>
      <w:r w:rsidRPr="0053654A">
        <w:rPr>
          <w:rFonts w:ascii="Palatino Linotype" w:eastAsia="Palatino Linotype" w:hAnsi="Palatino Linotype" w:cs="Palatino Linotype"/>
          <w:snapToGrid/>
          <w:sz w:val="22"/>
          <w:szCs w:val="22"/>
          <w:lang w:val="nl-NL"/>
        </w:rPr>
        <w:t xml:space="preserve"> en </w:t>
      </w:r>
      <w:proofErr w:type="spellStart"/>
      <w:r w:rsidRPr="0053654A">
        <w:rPr>
          <w:rFonts w:ascii="Palatino Linotype" w:eastAsia="Palatino Linotype" w:hAnsi="Palatino Linotype" w:cs="Palatino Linotype"/>
          <w:snapToGrid/>
          <w:sz w:val="22"/>
          <w:szCs w:val="22"/>
          <w:lang w:val="nl-NL"/>
        </w:rPr>
        <w:t>Loehansk</w:t>
      </w:r>
      <w:proofErr w:type="spellEnd"/>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 eerste lid, artikel 3, eerste lid, artikel 4, eerste en tweede lid, artikel 5, eerste en derde lid, artikel 6, eerste lid, artikel 8 en artikel 10, eerste lid, van Verordening (EU) nr. 2022/263 van de Raad van de Europese Unie van 23 februari 2022 betreffende beperkende maatregelen naar aanleiding van de erkenning van de niet onder het gezag van de regering vallende gebieden in de </w:t>
      </w:r>
      <w:proofErr w:type="spellStart"/>
      <w:r w:rsidRPr="0053654A">
        <w:rPr>
          <w:rFonts w:ascii="Palatino Linotype" w:eastAsia="Palatino Linotype" w:hAnsi="Palatino Linotype" w:cs="Palatino Linotype"/>
          <w:snapToGrid/>
          <w:sz w:val="22"/>
          <w:szCs w:val="22"/>
          <w:lang w:val="nl-NL"/>
        </w:rPr>
        <w:t>oblasten</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Donetsk</w:t>
      </w:r>
      <w:proofErr w:type="spellEnd"/>
      <w:r w:rsidRPr="0053654A">
        <w:rPr>
          <w:rFonts w:ascii="Palatino Linotype" w:eastAsia="Palatino Linotype" w:hAnsi="Palatino Linotype" w:cs="Palatino Linotype"/>
          <w:snapToGrid/>
          <w:sz w:val="22"/>
          <w:szCs w:val="22"/>
          <w:lang w:val="nl-NL"/>
        </w:rPr>
        <w:t xml:space="preserve"> en </w:t>
      </w:r>
      <w:proofErr w:type="spellStart"/>
      <w:r w:rsidRPr="0053654A">
        <w:rPr>
          <w:rFonts w:ascii="Palatino Linotype" w:eastAsia="Palatino Linotype" w:hAnsi="Palatino Linotype" w:cs="Palatino Linotype"/>
          <w:snapToGrid/>
          <w:sz w:val="22"/>
          <w:szCs w:val="22"/>
          <w:lang w:val="nl-NL"/>
        </w:rPr>
        <w:t>Loehansk</w:t>
      </w:r>
      <w:proofErr w:type="spellEnd"/>
      <w:r w:rsidRPr="0053654A">
        <w:rPr>
          <w:rFonts w:ascii="Palatino Linotype" w:eastAsia="Palatino Linotype" w:hAnsi="Palatino Linotype" w:cs="Palatino Linotype"/>
          <w:snapToGrid/>
          <w:sz w:val="22"/>
          <w:szCs w:val="22"/>
          <w:lang w:val="nl-NL"/>
        </w:rPr>
        <w:t xml:space="preserve"> van Oekraïne en het bevel aan de Russische strijdkrachten om die gebieden binnen te trekken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2022, L 42I).</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1.27c Inlijving Krim en Sebastopol</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2bis, eerste lid, artikel 2ter, eerste en tweede lid, artikel 2quater, eerste en derde lid, artikel 2quinquies, eerste en tweede lid, en artikel 4 van Verordening (EU) nr. 692/2014 van de Raad van de Europese Unie van 23 juni 2014 betreffende beperkende maatregelen, als antwoord op de illegale inlijving van de Krim en Sebastopol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 183).</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1.28 Syrië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is verboden te handelen in strijd met artikel 2bis, eerste lid, artikel 2 ter, eerste lid, artikel 2 </w:t>
      </w:r>
      <w:proofErr w:type="spellStart"/>
      <w:r w:rsidRPr="0053654A">
        <w:rPr>
          <w:rFonts w:ascii="Palatino Linotype" w:eastAsia="Palatino Linotype" w:hAnsi="Palatino Linotype" w:cs="Palatino Linotype"/>
          <w:snapToGrid/>
          <w:sz w:val="22"/>
          <w:szCs w:val="22"/>
          <w:lang w:val="nl-NL"/>
        </w:rPr>
        <w:t>quater</w:t>
      </w:r>
      <w:proofErr w:type="spellEnd"/>
      <w:r w:rsidRPr="0053654A">
        <w:rPr>
          <w:rFonts w:ascii="Palatino Linotype" w:eastAsia="Palatino Linotype" w:hAnsi="Palatino Linotype" w:cs="Palatino Linotype"/>
          <w:snapToGrid/>
          <w:sz w:val="22"/>
          <w:szCs w:val="22"/>
          <w:lang w:val="nl-NL"/>
        </w:rPr>
        <w:t>, eerste lid, artikel 3, eerste en vierde lid, artikel 3 bis, artikel 4, eerste lid, artikel 5, eerste lid, artikel 6, artikel 7bis, eerste lid, artikel 8, eerste lid, artikel 9, artikel 11, artikel 11bis, eerste lid, artikel 11ter, eerste lid, artikel 11quater, eerste lid, artikel 12, eerste lid, artikel 13, eerste en tweede lid, artikel 14, artikel 19, tweede lid, artikel 24, artikel 25, artikel 26, eerste en vierde lid, artikel 26bis, eerste lid aanhef en derde lid, artikel 27bis en artikel 29, eerste lid, van Verordening (EU) nr. 36/2012 van de Raad van de Europese Unie van 18 januari 2012 betreffende beperkende maatregelen in het licht van de situatie in Syrië en tot intrekking van Verordening (EU) nr. 442/2011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2012, L16), met dien verstande dat de toepassing van het verbod is opgeschort van de hiervoor bedoelde artikelen 6, 7 bis, eerste lid, 8, eerste lid, 9, 11, 12, eerste lid, 13, eerste en tweede lid, en 26 bis, eerste lid aanhef en derde lid, op grond van artikel 1 bis van Verordening (EU) nr. 36/2012.</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1.29 Soedan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3"/>
          <w:numId w:val="8"/>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5, eerste en tweede lid, artikel 9, eerste lid, en artikel 10 van Verordening (EU) nr. 747/2014 van de Raad van de Europese Unie van 10 juli 2014 betreffende beperkende maatregelen in verband met de situatie in Soedan en tot intrekking van Verordening (EG) nr. 131/2004 en Verordening (EG) nr. 1184/2005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2014, L 203).</w:t>
      </w:r>
    </w:p>
    <w:p w:rsidR="0053654A" w:rsidRPr="0053654A" w:rsidRDefault="0053654A" w:rsidP="0053654A">
      <w:pPr>
        <w:widowControl/>
        <w:numPr>
          <w:ilvl w:val="3"/>
          <w:numId w:val="8"/>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8, eerste lid, en artikel 9, eerste en tweede lid, van Verordening (EU) 2023/2147 van de Raad van de Europese Unie van 9 oktober 2023 betreffende beperkende maatregelen in het licht van activiteiten die de stabiliteit en de politieke transitie van Sudan ondermijnen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2023, L 2147).</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1.30 Somalië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1, artikel 2, artikel 3bis, artikel 3ter, eerste lid, en artikel 3quater, eerste lid, van Verordening (EG) nr. 147/2003 van de Raad van de Europese Unie van 27 januari 2003 betreffende een aantal beperkende maatregelen ten aanzien van Somalië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2003, L 24).</w:t>
      </w:r>
    </w:p>
    <w:p w:rsidR="0053654A" w:rsidRPr="0053654A" w:rsidRDefault="0053654A" w:rsidP="0053654A">
      <w:pPr>
        <w:widowControl/>
        <w:numPr>
          <w:ilvl w:val="0"/>
          <w:numId w:val="9"/>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8 en artikel 9, van Verordening (EU) nr. 356/2010 van de Raad van de Europese Unie van 26 april 2010 tot vaststelling van bepaalde specifieke beperkende maatregelen tegen sommige natuurlijke personen of rechtspersonen, entiteiten of lichamen, in het licht van de situatie in Somalië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2010, L 105).</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1.31 Tunesië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2bis en artikel 9 van Verordening 101/2011 van de Raad van de Europese Unie van 4 februari 2011 betreffende restrictieve maatregelen tegen bepaalde personen en entiteiten in verband met de situatie in Tunesië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2011, L31).</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1.32 Turkije</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en tweede lid, artikel 7, eerste lid, en artikel 8 van Verordening (EU) nr. 2019/1890 van de Raad van de Europese Unie van 11 november 2019 betreffende beperkende maatregelen in het licht van ongeoorloofde booractiviteiten van Turkije in het oostelijk deel van de Middellandse Zee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2019, L 291).</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1.33 Venezuela</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eerste lid, artikel 3, artikel 6, eerste lid, artikel 7, eerste lid, artikel 8, eerste en tweede lid, artikel 12, eerste lid, en artikel 14 van Verordening (EU) nr. 2017/2063 van de Raad van de Europese Unie van 13 november 2017 betreffende beperkende maatregelen in het licht van de situatie in Venezuela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2017, L 295).</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1.34 Zimbabwe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artikelen 2, 3, 6 en 8 van Verordening (EG) nr. 314/2004 van de Raad van de Europese Unie van 19 februari 2004 inzake beperkende maatregelen in het licht van de situatie in Zimbabwe (</w:t>
      </w:r>
      <w:proofErr w:type="spellStart"/>
      <w:r w:rsidRPr="0053654A">
        <w:rPr>
          <w:rFonts w:ascii="Palatino Linotype" w:eastAsia="Palatino Linotype" w:hAnsi="Palatino Linotype" w:cs="Palatino Linotype"/>
          <w:snapToGrid/>
          <w:sz w:val="22"/>
          <w:szCs w:val="22"/>
          <w:lang w:val="nl-NL"/>
        </w:rPr>
        <w:t>PbEG</w:t>
      </w:r>
      <w:proofErr w:type="spellEnd"/>
      <w:r w:rsidRPr="0053654A">
        <w:rPr>
          <w:rFonts w:ascii="Palatino Linotype" w:eastAsia="Palatino Linotype" w:hAnsi="Palatino Linotype" w:cs="Palatino Linotype"/>
          <w:snapToGrid/>
          <w:sz w:val="22"/>
          <w:szCs w:val="22"/>
          <w:lang w:val="nl-NL"/>
        </w:rPr>
        <w:t xml:space="preserve"> 2004, L 55).</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1.35 Zuid-Soedan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artikel 2, artikel 5, eerste tot en met derde lid, artikel 14, eerste lid, en artikel 15 van Verordening (EU) nr. 2015/735 van de Raad van de Europese Unie van 7 mei 2015 betreffende beperkende maatregelen in het licht van de situatie in Zuid-Soedan en tot intrekking van Verordening (EU) nr. 748/2014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2015, L 117).</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1.36 Destabiliserende activiteiten Russische Federatie 2024</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artikelen 2, eerste en tweede lid, 8, eerste lid, en 9, eerste en tweede lid, van Verordening (EU) 2024/2642 van de Raad van de Europese Unie van 8 oktober 2024 betreffende beperkende maatregelen naar aanleiding van de destabiliserende activiteiten van Rusland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2024, L 2642).</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1.36a Binnenlandse repressie Russische Federatie 2024</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te handelen in strijd met de artikelen 2, eerste lid, 3, eerste lid, 4, 5, eerste lid, 6, eerste en tweede lid, 12, eerste lid, en 13, eerste en tweede lid, van Verordening (EU) 2024/1485</w:t>
      </w:r>
      <w:r w:rsidRPr="0053654A">
        <w:rPr>
          <w:rFonts w:ascii="Times New Roman" w:hAnsi="Times New Roman"/>
          <w:snapToGrid/>
          <w:sz w:val="20"/>
          <w:lang w:val="nl-NL"/>
        </w:rPr>
        <w:t xml:space="preserve"> </w:t>
      </w:r>
      <w:r w:rsidRPr="0053654A">
        <w:rPr>
          <w:rFonts w:ascii="Palatino Linotype" w:eastAsia="Palatino Linotype" w:hAnsi="Palatino Linotype" w:cs="Palatino Linotype"/>
          <w:snapToGrid/>
          <w:sz w:val="22"/>
          <w:szCs w:val="22"/>
          <w:lang w:val="nl-NL"/>
        </w:rPr>
        <w:t>van de Raad van de Europese Unie van 27 mei 2024 betreffende beperkende maatregelen in het licht van de situatie in Rusland (</w:t>
      </w:r>
      <w:proofErr w:type="spellStart"/>
      <w:r w:rsidRPr="0053654A">
        <w:rPr>
          <w:rFonts w:ascii="Palatino Linotype" w:eastAsia="Palatino Linotype" w:hAnsi="Palatino Linotype" w:cs="Palatino Linotype"/>
          <w:snapToGrid/>
          <w:sz w:val="22"/>
          <w:szCs w:val="22"/>
          <w:lang w:val="nl-NL"/>
        </w:rPr>
        <w:t>PbEU</w:t>
      </w:r>
      <w:proofErr w:type="spellEnd"/>
      <w:r w:rsidRPr="0053654A">
        <w:rPr>
          <w:rFonts w:ascii="Palatino Linotype" w:eastAsia="Palatino Linotype" w:hAnsi="Palatino Linotype" w:cs="Palatino Linotype"/>
          <w:snapToGrid/>
          <w:sz w:val="22"/>
          <w:szCs w:val="22"/>
          <w:lang w:val="nl-NL"/>
        </w:rPr>
        <w:t xml:space="preserve"> 2024, L 1485).</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1.37 Uitzonderingen op verbodsbepalingen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Een verbod op grond van dit hoofdstuk is niet van toepassing in gevallen, bepaald in de betreffende Verordening van de Europese Unie of de Europese Gemeenschap.</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Artikel 1.38 </w:t>
      </w:r>
      <w:proofErr w:type="spellStart"/>
      <w:r w:rsidRPr="0053654A">
        <w:rPr>
          <w:rFonts w:ascii="Palatino Linotype" w:eastAsia="Palatino Linotype" w:hAnsi="Palatino Linotype" w:cs="Palatino Linotype"/>
          <w:snapToGrid/>
          <w:sz w:val="22"/>
          <w:szCs w:val="22"/>
          <w:lang w:val="nl-NL"/>
        </w:rPr>
        <w:t>Undue</w:t>
      </w:r>
      <w:proofErr w:type="spellEnd"/>
      <w:r w:rsidRPr="0053654A">
        <w:rPr>
          <w:rFonts w:ascii="Palatino Linotype" w:eastAsia="Palatino Linotype" w:hAnsi="Palatino Linotype" w:cs="Palatino Linotype"/>
          <w:snapToGrid/>
          <w:sz w:val="22"/>
          <w:szCs w:val="22"/>
          <w:lang w:val="nl-NL"/>
        </w:rPr>
        <w:t xml:space="preserve"> delay</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pBdr>
          <w:top w:val="nil"/>
          <w:left w:val="nil"/>
          <w:bottom w:val="nil"/>
          <w:right w:val="nil"/>
          <w:between w:val="nil"/>
        </w:pBdr>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 xml:space="preserve">Indien de Veiligheidsraad van de Verenigde Naties wijzigingen aanbrengt in de kring van personen, organisaties en entiteiten of lichamen waarop beperkende maatregelen als bedoeld in hoofdstuk I van toepassing zijn, gelden deze wijzigingen met ingang van het tijdstip van bekendmaking door de Veiligheidsraad van de Verenigde Naties van de desbetreffende wijziging. </w:t>
      </w:r>
    </w:p>
    <w:p w:rsidR="0053654A" w:rsidRPr="0053654A" w:rsidRDefault="0053654A" w:rsidP="0053654A">
      <w:pPr>
        <w:widowControl/>
        <w:pBdr>
          <w:top w:val="nil"/>
          <w:left w:val="nil"/>
          <w:bottom w:val="nil"/>
          <w:right w:val="nil"/>
          <w:between w:val="nil"/>
        </w:pBdr>
        <w:ind w:left="270"/>
        <w:contextualSpacing/>
        <w:jc w:val="both"/>
        <w:rPr>
          <w:rFonts w:ascii="Palatino Linotype" w:eastAsia="Palatino Linotype" w:hAnsi="Palatino Linotype" w:cs="Palatino Linotype"/>
          <w:snapToGrid/>
          <w:color w:val="000000"/>
          <w:sz w:val="22"/>
          <w:szCs w:val="22"/>
          <w:lang w:val="nl-NL"/>
        </w:rPr>
      </w:pPr>
    </w:p>
    <w:p w:rsidR="0053654A" w:rsidRPr="0053654A" w:rsidRDefault="0053654A" w:rsidP="0053654A">
      <w:pPr>
        <w:widowControl/>
        <w:shd w:val="clear" w:color="auto" w:fill="FFFFFF"/>
        <w:spacing w:line="312" w:lineRule="atLeast"/>
        <w:contextualSpacing/>
        <w:jc w:val="both"/>
        <w:rPr>
          <w:rFonts w:ascii="Palatino Linotype" w:hAnsi="Palatino Linotype"/>
          <w:snapToGrid/>
          <w:color w:val="333333"/>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Hoofdstuk II. Bevoegde autoriteiten</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2.1. De Minister van Algemene Zaken en de minister die het mede aangaat tezamen</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 </w:t>
      </w:r>
    </w:p>
    <w:p w:rsidR="0053654A" w:rsidRPr="0053654A" w:rsidRDefault="0053654A" w:rsidP="0053654A">
      <w:pPr>
        <w:widowControl/>
        <w:numPr>
          <w:ilvl w:val="0"/>
          <w:numId w:val="10"/>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Voor de toepassing van Hoofdstuk I zijn de Minister van Algemene Zaken en de minister die het mede aangaat tezamen de bevoegde autoriteit voor wat betreft:</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technische bijstand, dan wel vrijgave of beschikbaarstelling van economische middelen of informatie anders dan van financiële aard;</w:t>
      </w:r>
    </w:p>
    <w:p w:rsidR="0053654A" w:rsidRPr="0053654A" w:rsidRDefault="0053654A" w:rsidP="0053654A">
      <w:pPr>
        <w:widowControl/>
        <w:numPr>
          <w:ilvl w:val="0"/>
          <w:numId w:val="12"/>
        </w:numPr>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overdracht, vrijgave of beschikbaarstelling van tegoeden of informatie van financiële aard;</w:t>
      </w:r>
    </w:p>
    <w:p w:rsidR="0053654A" w:rsidRPr="0053654A" w:rsidRDefault="0053654A" w:rsidP="0053654A">
      <w:pPr>
        <w:widowControl/>
        <w:numPr>
          <w:ilvl w:val="0"/>
          <w:numId w:val="12"/>
        </w:numPr>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verlenen van ontheffing voor het gebruik van bevroren middelen of tegoeden;</w:t>
      </w:r>
    </w:p>
    <w:p w:rsidR="0053654A" w:rsidRPr="0053654A" w:rsidRDefault="0053654A" w:rsidP="0053654A">
      <w:pPr>
        <w:widowControl/>
        <w:numPr>
          <w:ilvl w:val="0"/>
          <w:numId w:val="12"/>
        </w:numPr>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financiële en bancaire aangelegenheden, zoals het verlenen van financiering en financiële bijstand, de verstrekking van leningen, kredieten en verzekeringen of herverzekeringen, het openen van bankrekeningen, het uitbreiden van een deelneming of het oprichten van een joint venture en de vestiging van financiële instellingen;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het verlenen van vrijstellingen, vergunningen, het in ontvangst nemen en het doen van meldingen met betrekking tot de onderwerpen bedoeld in de onderdelen a, b, c, of d;</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proofErr w:type="spellStart"/>
      <w:r w:rsidRPr="0053654A">
        <w:rPr>
          <w:rFonts w:ascii="Palatino Linotype" w:eastAsia="Palatino Linotype" w:hAnsi="Palatino Linotype" w:cs="Palatino Linotype"/>
          <w:snapToGrid/>
          <w:sz w:val="22"/>
          <w:szCs w:val="22"/>
          <w:lang w:val="nl-NL"/>
        </w:rPr>
        <w:t>tussenhandeldiensten</w:t>
      </w:r>
      <w:proofErr w:type="spellEnd"/>
      <w:r w:rsidRPr="0053654A">
        <w:rPr>
          <w:rFonts w:ascii="Palatino Linotype" w:eastAsia="Palatino Linotype" w:hAnsi="Palatino Linotype" w:cs="Palatino Linotype"/>
          <w:snapToGrid/>
          <w:sz w:val="22"/>
          <w:szCs w:val="22"/>
          <w:lang w:val="nl-NL"/>
        </w:rPr>
        <w:t>, bouwdiensten of ingenieursdiensten, dan wel een melding over de invoer van goederen;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kunst - en cultuurobjecten;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niet-beursgenoteerde ondernemingen;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verkopen, leveren, overdragen of uitvoeren van militaire goederen, militaire technologie of onderdelen daarvan;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aanbieden van kennis die rechtstreeks of middellijk bijdraagt of kan bijdragen aan proliferatiegevoelige activiteiten van Noord-Korea of aan de ontwikkeling van systemen voor de overbrenging van kernwapens in Noord-Korea;</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inlichtingen en instructies ten aanzien van redelijke vermoedens over financiering van proliferatie van Noord-Korea;</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meldplichten over personen en entiteiten ten aanzien van de onder de jurisdictie van Curaçao vallende tegoeden en economische middelen;</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doorgeven van informatie aan en fungeren als contactpunt voor regeringen van andere landen of de Europese Commissie;</w:t>
      </w:r>
    </w:p>
    <w:p w:rsidR="0053654A" w:rsidRPr="0053654A" w:rsidRDefault="0053654A" w:rsidP="0053654A">
      <w:pPr>
        <w:widowControl/>
        <w:numPr>
          <w:ilvl w:val="0"/>
          <w:numId w:val="12"/>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andere acties welke volgen uit Hoofdstuk I en waarvoor geen autoriteit is aangewezen.</w:t>
      </w:r>
    </w:p>
    <w:p w:rsidR="0053654A" w:rsidRPr="0053654A" w:rsidRDefault="0053654A" w:rsidP="0053654A">
      <w:pPr>
        <w:widowControl/>
        <w:numPr>
          <w:ilvl w:val="0"/>
          <w:numId w:val="10"/>
        </w:numPr>
        <w:spacing w:line="259" w:lineRule="auto"/>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volgende bestuursorganen, diensten, toezichthouders of andere personen, verstrekken desgevraagd kosteloos alle informatie aan de ministers die noodzakelijk is voor de uitvoering van dit landsbesluit: </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Minister van Economische Ontwikkeling;  </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Minister van Financiën; </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van Justitie;</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van Verkeer, Vervoer en Ruimtelijke Planning;</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veiligheidscommissie of beveiligingsfunctionaris, ingesteld door de onderneming, voor zover het gegevens betreft inzake inbreuken of dreigende inbreuken op beperkingen of verboden ten aanzien van toegang tot gevoelige informatie of bedrijfsprocessen;</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Centrale Bank van Curaçao en Sint Maarten; </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Kamer van Koophandel en Nijverheid Curaçao’;</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Kadaster;</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Financial Intelligence Unit;</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de </w:t>
      </w:r>
      <w:proofErr w:type="spellStart"/>
      <w:r w:rsidRPr="0053654A">
        <w:rPr>
          <w:rFonts w:ascii="Palatino Linotype" w:eastAsia="Palatino Linotype" w:hAnsi="Palatino Linotype" w:cs="Palatino Linotype"/>
          <w:snapToGrid/>
          <w:sz w:val="22"/>
          <w:szCs w:val="22"/>
        </w:rPr>
        <w:t>Stichting</w:t>
      </w:r>
      <w:proofErr w:type="spellEnd"/>
      <w:r w:rsidRPr="0053654A">
        <w:rPr>
          <w:rFonts w:ascii="Palatino Linotype" w:eastAsia="Palatino Linotype" w:hAnsi="Palatino Linotype" w:cs="Palatino Linotype"/>
          <w:snapToGrid/>
          <w:sz w:val="22"/>
          <w:szCs w:val="22"/>
        </w:rPr>
        <w:t xml:space="preserve"> Gaming Control Board of de Curaçao Gaming Authority’;</w:t>
      </w:r>
    </w:p>
    <w:p w:rsidR="0053654A" w:rsidRPr="0053654A" w:rsidRDefault="0053654A" w:rsidP="0053654A">
      <w:pPr>
        <w:widowControl/>
        <w:numPr>
          <w:ilvl w:val="0"/>
          <w:numId w:val="13"/>
        </w:numPr>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Curaçao Ports </w:t>
      </w:r>
      <w:proofErr w:type="spellStart"/>
      <w:r w:rsidRPr="0053654A">
        <w:rPr>
          <w:rFonts w:ascii="Palatino Linotype" w:eastAsia="Palatino Linotype" w:hAnsi="Palatino Linotype" w:cs="Palatino Linotype"/>
          <w:snapToGrid/>
          <w:sz w:val="22"/>
          <w:szCs w:val="22"/>
          <w:lang w:val="nl-NL"/>
        </w:rPr>
        <w:t>Authority</w:t>
      </w:r>
      <w:proofErr w:type="spellEnd"/>
      <w:r w:rsidRPr="0053654A">
        <w:rPr>
          <w:rFonts w:ascii="Palatino Linotype" w:eastAsia="Palatino Linotype" w:hAnsi="Palatino Linotype" w:cs="Palatino Linotype"/>
          <w:snapToGrid/>
          <w:sz w:val="22"/>
          <w:szCs w:val="22"/>
          <w:lang w:val="nl-NL"/>
        </w:rPr>
        <w:t>;</w:t>
      </w:r>
    </w:p>
    <w:p w:rsidR="0053654A" w:rsidRPr="0053654A" w:rsidRDefault="0053654A" w:rsidP="0053654A">
      <w:pPr>
        <w:widowControl/>
        <w:numPr>
          <w:ilvl w:val="0"/>
          <w:numId w:val="13"/>
        </w:numPr>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de Curaçao Civil Aviation Authority;</w:t>
      </w:r>
    </w:p>
    <w:p w:rsidR="0053654A" w:rsidRPr="0053654A" w:rsidRDefault="0053654A" w:rsidP="0053654A">
      <w:pPr>
        <w:widowControl/>
        <w:numPr>
          <w:ilvl w:val="0"/>
          <w:numId w:val="13"/>
        </w:numPr>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de </w:t>
      </w:r>
      <w:proofErr w:type="spellStart"/>
      <w:r w:rsidRPr="0053654A">
        <w:rPr>
          <w:rFonts w:ascii="Palatino Linotype" w:eastAsia="Palatino Linotype" w:hAnsi="Palatino Linotype" w:cs="Palatino Linotype"/>
          <w:snapToGrid/>
          <w:sz w:val="22"/>
          <w:szCs w:val="22"/>
        </w:rPr>
        <w:t>Sociale</w:t>
      </w:r>
      <w:proofErr w:type="spellEnd"/>
      <w:r w:rsidRPr="0053654A">
        <w:rPr>
          <w:rFonts w:ascii="Palatino Linotype" w:eastAsia="Palatino Linotype" w:hAnsi="Palatino Linotype" w:cs="Palatino Linotype"/>
          <w:snapToGrid/>
          <w:sz w:val="22"/>
          <w:szCs w:val="22"/>
        </w:rPr>
        <w:t xml:space="preserve"> </w:t>
      </w:r>
      <w:proofErr w:type="spellStart"/>
      <w:r w:rsidRPr="0053654A">
        <w:rPr>
          <w:rFonts w:ascii="Palatino Linotype" w:eastAsia="Palatino Linotype" w:hAnsi="Palatino Linotype" w:cs="Palatino Linotype"/>
          <w:snapToGrid/>
          <w:sz w:val="22"/>
          <w:szCs w:val="22"/>
        </w:rPr>
        <w:t>Verzekeringsbank</w:t>
      </w:r>
      <w:proofErr w:type="spellEnd"/>
      <w:r w:rsidRPr="0053654A">
        <w:rPr>
          <w:rFonts w:ascii="Palatino Linotype" w:eastAsia="Palatino Linotype" w:hAnsi="Palatino Linotype" w:cs="Palatino Linotype"/>
          <w:snapToGrid/>
          <w:sz w:val="22"/>
          <w:szCs w:val="22"/>
        </w:rPr>
        <w:t>;</w:t>
      </w:r>
    </w:p>
    <w:p w:rsidR="0053654A" w:rsidRPr="0053654A" w:rsidRDefault="0053654A" w:rsidP="0053654A">
      <w:pPr>
        <w:widowControl/>
        <w:numPr>
          <w:ilvl w:val="0"/>
          <w:numId w:val="13"/>
        </w:numPr>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Bureau Telecommunicatie en Post;</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l. </w:t>
      </w:r>
      <w:r w:rsidRPr="0053654A">
        <w:rPr>
          <w:rFonts w:ascii="Palatino Linotype" w:eastAsia="Palatino Linotype" w:hAnsi="Palatino Linotype" w:cs="Palatino Linotype"/>
          <w:snapToGrid/>
          <w:sz w:val="22"/>
          <w:szCs w:val="22"/>
          <w:lang w:val="nl-NL"/>
        </w:rPr>
        <w:tab/>
        <w:t>de overige ministeries of uitvoerende diensten, voor zover het informatie betreft  bedoeld in de verbodsbepalingen uit hoofdstuk I of III van dit landsbesluit.</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2.2 Douane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360"/>
          <w:tab w:val="left" w:pos="45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 </w:t>
      </w:r>
      <w:r w:rsidRPr="0053654A">
        <w:rPr>
          <w:rFonts w:ascii="Palatino Linotype" w:eastAsia="Palatino Linotype" w:hAnsi="Palatino Linotype" w:cs="Palatino Linotype"/>
          <w:snapToGrid/>
          <w:sz w:val="22"/>
          <w:szCs w:val="22"/>
          <w:lang w:val="nl-NL"/>
        </w:rPr>
        <w:tab/>
        <w:t xml:space="preserve">Voor de toepassing van Hoofdstuk I is de Douane de bevoegde autoriteit voor wat betreft inbeslagneming of vernietiging van lading. </w:t>
      </w:r>
    </w:p>
    <w:p w:rsidR="0053654A" w:rsidRPr="0053654A" w:rsidRDefault="0053654A" w:rsidP="0053654A">
      <w:pPr>
        <w:widowControl/>
        <w:tabs>
          <w:tab w:val="left" w:pos="36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De bevoegde autoriteit, bedoeld in artikel 3 bis van Verordening (EG) nr. 147/2003 en in artikel 4 van Verordening (EU) nr. 2016/44 is de Inspecteur, bedoeld in artikel 1, van de Algemene verordening I.U. en D. 1908.</w:t>
      </w:r>
      <w:r w:rsidRPr="0053654A">
        <w:rPr>
          <w:rFonts w:ascii="Palatino Linotype" w:eastAsia="Palatino Linotype" w:hAnsi="Palatino Linotype" w:cs="Palatino Linotype"/>
          <w:snapToGrid/>
          <w:sz w:val="22"/>
          <w:szCs w:val="22"/>
          <w:vertAlign w:val="superscript"/>
          <w:lang w:val="nl-NL"/>
        </w:rPr>
        <w:footnoteReference w:id="3"/>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Artikel 2.3 De Minister van Verkeer, Vervoer en Ruimtelijke Planning </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bookmarkStart w:id="3" w:name="_30j0zll" w:colFirst="0" w:colLast="0"/>
      <w:bookmarkEnd w:id="3"/>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Voor de toepassing van Hoofdstuk I is de Minister van Verkeer, Vervoer, en Ruimtelijke Planning de bevoegde autoriteit voor wat betreft:</w:t>
      </w:r>
    </w:p>
    <w:p w:rsidR="0053654A" w:rsidRPr="0053654A" w:rsidRDefault="0053654A" w:rsidP="0053654A">
      <w:pPr>
        <w:widowControl/>
        <w:numPr>
          <w:ilvl w:val="0"/>
          <w:numId w:val="14"/>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het laden, vervoeren of lossen van aardolie, inclusief ruwe olie en geraffineerde aardolieproducten;</w:t>
      </w:r>
    </w:p>
    <w:p w:rsidR="0053654A" w:rsidRPr="0053654A" w:rsidRDefault="0053654A" w:rsidP="0053654A">
      <w:pPr>
        <w:widowControl/>
        <w:numPr>
          <w:ilvl w:val="0"/>
          <w:numId w:val="14"/>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vaar- en luchtvaartuigen;</w:t>
      </w:r>
    </w:p>
    <w:p w:rsidR="0053654A" w:rsidRPr="0053654A" w:rsidRDefault="0053654A" w:rsidP="0053654A">
      <w:pPr>
        <w:widowControl/>
        <w:numPr>
          <w:ilvl w:val="0"/>
          <w:numId w:val="14"/>
        </w:numPr>
        <w:ind w:left="360"/>
        <w:contextualSpacing/>
        <w:jc w:val="both"/>
        <w:rPr>
          <w:rFonts w:ascii="Palatino Linotype" w:hAnsi="Palatino Linotype"/>
          <w:snapToGrid/>
          <w:sz w:val="22"/>
          <w:szCs w:val="22"/>
          <w:lang w:val="nl-NL" w:eastAsia="nl-NL"/>
        </w:rPr>
      </w:pPr>
      <w:r w:rsidRPr="0053654A">
        <w:rPr>
          <w:rFonts w:ascii="Palatino Linotype" w:hAnsi="Palatino Linotype"/>
          <w:snapToGrid/>
          <w:sz w:val="22"/>
          <w:szCs w:val="22"/>
          <w:lang w:val="nl-NL" w:eastAsia="nl-NL"/>
        </w:rPr>
        <w:t xml:space="preserve">het verlenen van toegang aan vliegtuigen tot vliegen in of het landen op het grondgebied van Curaçao en het vliegen in het luchtruim van Curaçao; </w:t>
      </w:r>
    </w:p>
    <w:p w:rsidR="0053654A" w:rsidRPr="0053654A" w:rsidRDefault="0053654A" w:rsidP="0053654A">
      <w:pPr>
        <w:widowControl/>
        <w:numPr>
          <w:ilvl w:val="0"/>
          <w:numId w:val="14"/>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vastgoed, inclusief bedrijfspanden; </w:t>
      </w:r>
    </w:p>
    <w:p w:rsidR="0053654A" w:rsidRPr="0053654A" w:rsidRDefault="0053654A" w:rsidP="0053654A">
      <w:pPr>
        <w:widowControl/>
        <w:numPr>
          <w:ilvl w:val="0"/>
          <w:numId w:val="14"/>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verlenen van vrijstellingen, vergunningen, het in ontvangst nemen en het doen van meldingen met betrekking tot de onderwerpen bedoeld in de onderdelen a, b, c of d.</w:t>
      </w:r>
    </w:p>
    <w:p w:rsidR="0053654A" w:rsidRPr="0053654A" w:rsidRDefault="0053654A" w:rsidP="0053654A">
      <w:pPr>
        <w:widowControl/>
        <w:ind w:left="270" w:hanging="270"/>
        <w:contextualSpacing/>
        <w:rPr>
          <w:rFonts w:ascii="Palatino Linotype" w:eastAsia="Palatino Linotype" w:hAnsi="Palatino Linotype" w:cs="Palatino Linotype"/>
          <w:snapToGrid/>
          <w:sz w:val="22"/>
          <w:szCs w:val="22"/>
          <w:lang w:val="nl-NL"/>
        </w:rPr>
      </w:pPr>
      <w:bookmarkStart w:id="4" w:name="_1fob9te" w:colFirst="0" w:colLast="0"/>
      <w:bookmarkEnd w:id="4"/>
    </w:p>
    <w:p w:rsidR="0053654A" w:rsidRPr="0053654A" w:rsidRDefault="0053654A" w:rsidP="0053654A">
      <w:pPr>
        <w:widowControl/>
        <w:ind w:left="270" w:hanging="27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2.4 De Havenmeester</w:t>
      </w:r>
    </w:p>
    <w:p w:rsidR="0053654A" w:rsidRPr="0053654A" w:rsidRDefault="0053654A" w:rsidP="0053654A">
      <w:pPr>
        <w:widowControl/>
        <w:ind w:left="270" w:hanging="27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0"/>
        </w:tabs>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Voor de toepassing van Hoofdstuk I is de Havenmeester de bevoegde autoriteit voor het verlenen van toegang tot havens en binnenwateren aan vaartuigen.</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Hoofdstuk III. Wapenembargo’s</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bookmarkStart w:id="5" w:name="_3znysh7" w:colFirst="0" w:colLast="0"/>
      <w:bookmarkEnd w:id="5"/>
      <w:r w:rsidRPr="0053654A">
        <w:rPr>
          <w:rFonts w:ascii="Palatino Linotype" w:eastAsia="Palatino Linotype" w:hAnsi="Palatino Linotype" w:cs="Palatino Linotype"/>
          <w:snapToGrid/>
          <w:sz w:val="22"/>
          <w:szCs w:val="22"/>
          <w:lang w:val="nl-NL"/>
        </w:rPr>
        <w:t>Artikel 3.1 Standaard verbod</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om militaire goederen, alsmede militaire technologie, dan wel onderdelen daarvan, direct of indirect te verkopen of te leveren aan, door of uit te voeren naar, dan wel over te dragen aan, daaronder begrepen over te brengen naar, natuurlijke personen, rechtspersonen of entiteiten in of voor gebruik in of ten behoeve van de hierna aangewezen landen of personen of entiteiten, ongeacht het land van oorsprong:</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bookmarkStart w:id="6" w:name="_2et92p0" w:colFirst="0" w:colLast="0"/>
      <w:bookmarkEnd w:id="6"/>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de personen of entiteiten, genoemd in bijlage I van Besluit 2011/486/GBVB van de Raad van de Europese Unie van 1 augustus 2011 (Pb L199) (Afghanistan);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Belarus;</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c.</w:t>
      </w:r>
      <w:r w:rsidRPr="0053654A">
        <w:rPr>
          <w:rFonts w:ascii="Palatino Linotype" w:eastAsia="Palatino Linotype" w:hAnsi="Palatino Linotype" w:cs="Palatino Linotype"/>
          <w:snapToGrid/>
          <w:sz w:val="22"/>
          <w:szCs w:val="22"/>
          <w:lang w:val="nl-NL"/>
        </w:rPr>
        <w:tab/>
        <w:t>Birma/ Myanmar;</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 </w:t>
      </w:r>
      <w:r w:rsidRPr="0053654A">
        <w:rPr>
          <w:rFonts w:ascii="Palatino Linotype" w:eastAsia="Palatino Linotype" w:hAnsi="Palatino Linotype" w:cs="Palatino Linotype"/>
          <w:snapToGrid/>
          <w:sz w:val="22"/>
          <w:szCs w:val="22"/>
          <w:lang w:val="nl-NL"/>
        </w:rPr>
        <w:tab/>
        <w:t>Centraal-Afrikaanse Republiek;</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e. </w:t>
      </w:r>
      <w:r w:rsidRPr="0053654A">
        <w:rPr>
          <w:rFonts w:ascii="Palatino Linotype" w:eastAsia="Palatino Linotype" w:hAnsi="Palatino Linotype" w:cs="Palatino Linotype"/>
          <w:snapToGrid/>
          <w:sz w:val="22"/>
          <w:szCs w:val="22"/>
          <w:lang w:val="nl-NL"/>
        </w:rPr>
        <w:tab/>
        <w:t>Democratische Republiek Congo;</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f. </w:t>
      </w:r>
      <w:r w:rsidRPr="0053654A">
        <w:rPr>
          <w:rFonts w:ascii="Palatino Linotype" w:eastAsia="Palatino Linotype" w:hAnsi="Palatino Linotype" w:cs="Palatino Linotype"/>
          <w:snapToGrid/>
          <w:sz w:val="22"/>
          <w:szCs w:val="22"/>
          <w:lang w:val="nl-NL"/>
        </w:rPr>
        <w:tab/>
        <w:t xml:space="preserve">de personen of entiteiten aangewezen bij punt 19 van Resolutie 2653 (2022) van de Veiligheidsraad van de Verenigde Naties ingestelde comité dan wel aan of ten behoeve van de in bijlage II van Besluit (GBVB) 2022/2319 van de Raad van de Europese Unie van </w:t>
      </w:r>
      <w:r w:rsidRPr="0053654A">
        <w:rPr>
          <w:rFonts w:ascii="Palatino Linotype" w:eastAsia="Palatino Linotype" w:hAnsi="Palatino Linotype" w:cs="Palatino Linotype"/>
          <w:snapToGrid/>
          <w:sz w:val="22"/>
          <w:szCs w:val="22"/>
          <w:lang w:val="nl-NL"/>
        </w:rPr>
        <w:lastRenderedPageBreak/>
        <w:t>25 november 2022 betreffende beperkende maatregelen in het licht van de situatie in Haïti (Pb EU 2022, L 47) opgenomen personen en entiteiten (Haïti);</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g. </w:t>
      </w:r>
      <w:r w:rsidRPr="0053654A">
        <w:rPr>
          <w:rFonts w:ascii="Palatino Linotype" w:eastAsia="Palatino Linotype" w:hAnsi="Palatino Linotype" w:cs="Palatino Linotype"/>
          <w:snapToGrid/>
          <w:sz w:val="22"/>
          <w:szCs w:val="22"/>
          <w:lang w:val="nl-NL"/>
        </w:rPr>
        <w:tab/>
        <w:t>Irak;</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 </w:t>
      </w:r>
      <w:r w:rsidRPr="0053654A">
        <w:rPr>
          <w:rFonts w:ascii="Palatino Linotype" w:eastAsia="Palatino Linotype" w:hAnsi="Palatino Linotype" w:cs="Palatino Linotype"/>
          <w:snapToGrid/>
          <w:sz w:val="22"/>
          <w:szCs w:val="22"/>
          <w:lang w:val="nl-NL"/>
        </w:rPr>
        <w:tab/>
        <w:t>Iran;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 </w:t>
      </w:r>
      <w:r w:rsidRPr="0053654A">
        <w:rPr>
          <w:rFonts w:ascii="Palatino Linotype" w:eastAsia="Palatino Linotype" w:hAnsi="Palatino Linotype" w:cs="Palatino Linotype"/>
          <w:snapToGrid/>
          <w:sz w:val="22"/>
          <w:szCs w:val="22"/>
          <w:lang w:val="nl-NL"/>
        </w:rPr>
        <w:tab/>
        <w:t>de personen of entiteiten die door de Veiligheidsraad van de Verenigde Naties, of door het op grond van punt 19 van Resolutie 2140 (2014) ingestelde comité, zijn aangewezen alsmede naar de personen die namens hen of op hun aanwijzing handelen in Jemen;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j. </w:t>
      </w:r>
      <w:r w:rsidRPr="0053654A">
        <w:rPr>
          <w:rFonts w:ascii="Palatino Linotype" w:eastAsia="Palatino Linotype" w:hAnsi="Palatino Linotype" w:cs="Palatino Linotype"/>
          <w:snapToGrid/>
          <w:sz w:val="22"/>
          <w:szCs w:val="22"/>
          <w:lang w:val="nl-NL"/>
        </w:rPr>
        <w:tab/>
        <w:t>Democratische Volksrepubliek Korea;</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k.</w:t>
      </w:r>
      <w:r w:rsidRPr="0053654A">
        <w:rPr>
          <w:rFonts w:ascii="Palatino Linotype" w:eastAsia="Palatino Linotype" w:hAnsi="Palatino Linotype" w:cs="Palatino Linotype"/>
          <w:snapToGrid/>
          <w:sz w:val="22"/>
          <w:szCs w:val="22"/>
          <w:lang w:val="nl-NL"/>
        </w:rPr>
        <w:tab/>
        <w:t>Libanon en Syrië;</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l. </w:t>
      </w:r>
      <w:r w:rsidRPr="0053654A">
        <w:rPr>
          <w:rFonts w:ascii="Palatino Linotype" w:eastAsia="Palatino Linotype" w:hAnsi="Palatino Linotype" w:cs="Palatino Linotype"/>
          <w:snapToGrid/>
          <w:sz w:val="22"/>
          <w:szCs w:val="22"/>
        </w:rPr>
        <w:tab/>
      </w:r>
      <w:proofErr w:type="spellStart"/>
      <w:r w:rsidRPr="0053654A">
        <w:rPr>
          <w:rFonts w:ascii="Palatino Linotype" w:eastAsia="Palatino Linotype" w:hAnsi="Palatino Linotype" w:cs="Palatino Linotype"/>
          <w:snapToGrid/>
          <w:sz w:val="22"/>
          <w:szCs w:val="22"/>
        </w:rPr>
        <w:t>Libië</w:t>
      </w:r>
      <w:proofErr w:type="spellEnd"/>
      <w:r w:rsidRPr="0053654A">
        <w:rPr>
          <w:rFonts w:ascii="Palatino Linotype" w:eastAsia="Palatino Linotype" w:hAnsi="Palatino Linotype" w:cs="Palatino Linotype"/>
          <w:snapToGrid/>
          <w:sz w:val="22"/>
          <w:szCs w:val="22"/>
        </w:rPr>
        <w:t>;</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m. </w:t>
      </w:r>
      <w:r w:rsidRPr="0053654A">
        <w:rPr>
          <w:rFonts w:ascii="Palatino Linotype" w:eastAsia="Palatino Linotype" w:hAnsi="Palatino Linotype" w:cs="Palatino Linotype"/>
          <w:snapToGrid/>
          <w:sz w:val="22"/>
          <w:szCs w:val="22"/>
        </w:rPr>
        <w:tab/>
      </w:r>
      <w:proofErr w:type="spellStart"/>
      <w:r w:rsidRPr="0053654A">
        <w:rPr>
          <w:rFonts w:ascii="Palatino Linotype" w:eastAsia="Palatino Linotype" w:hAnsi="Palatino Linotype" w:cs="Palatino Linotype"/>
          <w:snapToGrid/>
          <w:sz w:val="22"/>
          <w:szCs w:val="22"/>
        </w:rPr>
        <w:t>Rusland</w:t>
      </w:r>
      <w:proofErr w:type="spellEnd"/>
      <w:r w:rsidRPr="0053654A">
        <w:rPr>
          <w:rFonts w:ascii="Palatino Linotype" w:eastAsia="Palatino Linotype" w:hAnsi="Palatino Linotype" w:cs="Palatino Linotype"/>
          <w:snapToGrid/>
          <w:sz w:val="22"/>
          <w:szCs w:val="22"/>
        </w:rPr>
        <w:t>;</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rPr>
        <w:t xml:space="preserve">n. </w:t>
      </w:r>
      <w:r w:rsidRPr="0053654A">
        <w:rPr>
          <w:rFonts w:ascii="Palatino Linotype" w:eastAsia="Palatino Linotype" w:hAnsi="Palatino Linotype" w:cs="Palatino Linotype"/>
          <w:snapToGrid/>
          <w:sz w:val="22"/>
          <w:szCs w:val="22"/>
        </w:rPr>
        <w:tab/>
      </w:r>
      <w:r w:rsidRPr="0053654A">
        <w:rPr>
          <w:rFonts w:ascii="Palatino Linotype" w:eastAsia="Palatino Linotype" w:hAnsi="Palatino Linotype" w:cs="Palatino Linotype"/>
          <w:snapToGrid/>
          <w:sz w:val="22"/>
          <w:szCs w:val="22"/>
          <w:lang w:val="nl-NL"/>
        </w:rPr>
        <w:t>Soedan;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o. </w:t>
      </w:r>
      <w:r w:rsidRPr="0053654A">
        <w:rPr>
          <w:rFonts w:ascii="Palatino Linotype" w:eastAsia="Palatino Linotype" w:hAnsi="Palatino Linotype" w:cs="Palatino Linotype"/>
          <w:snapToGrid/>
          <w:sz w:val="22"/>
          <w:szCs w:val="22"/>
          <w:lang w:val="nl-NL"/>
        </w:rPr>
        <w:tab/>
        <w:t>Somalië;</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p.  </w:t>
      </w:r>
      <w:r w:rsidRPr="0053654A">
        <w:rPr>
          <w:rFonts w:ascii="Palatino Linotype" w:eastAsia="Palatino Linotype" w:hAnsi="Palatino Linotype" w:cs="Palatino Linotype"/>
          <w:snapToGrid/>
          <w:sz w:val="22"/>
          <w:szCs w:val="22"/>
          <w:lang w:val="nl-NL"/>
        </w:rPr>
        <w:tab/>
        <w:t>Syrië;</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q. </w:t>
      </w:r>
      <w:r w:rsidRPr="0053654A">
        <w:rPr>
          <w:rFonts w:ascii="Palatino Linotype" w:eastAsia="Palatino Linotype" w:hAnsi="Palatino Linotype" w:cs="Palatino Linotype"/>
          <w:snapToGrid/>
          <w:sz w:val="22"/>
          <w:szCs w:val="22"/>
          <w:lang w:val="nl-NL"/>
        </w:rPr>
        <w:tab/>
        <w:t>Venezuela;</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r. </w:t>
      </w:r>
      <w:r w:rsidRPr="0053654A">
        <w:rPr>
          <w:rFonts w:ascii="Palatino Linotype" w:eastAsia="Palatino Linotype" w:hAnsi="Palatino Linotype" w:cs="Palatino Linotype"/>
          <w:snapToGrid/>
          <w:sz w:val="22"/>
          <w:szCs w:val="22"/>
          <w:lang w:val="nl-NL"/>
        </w:rPr>
        <w:tab/>
        <w:t>Zimbabwe;</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s.</w:t>
      </w:r>
      <w:r w:rsidRPr="0053654A">
        <w:rPr>
          <w:rFonts w:ascii="Palatino Linotype" w:eastAsia="Palatino Linotype" w:hAnsi="Palatino Linotype" w:cs="Palatino Linotype"/>
          <w:snapToGrid/>
          <w:sz w:val="22"/>
          <w:szCs w:val="22"/>
          <w:lang w:val="nl-NL"/>
        </w:rPr>
        <w:tab/>
        <w:t>Zuid-Soedan.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3.2 Belarus</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270" w:hanging="27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1.  Artikel 3.1, onderdeel b, is niet van toepassing met vooraf verleende ontheffing van de Minister op:</w:t>
      </w:r>
    </w:p>
    <w:p w:rsidR="0053654A" w:rsidRPr="0053654A" w:rsidRDefault="0053654A" w:rsidP="0053654A">
      <w:pPr>
        <w:widowControl/>
        <w:ind w:left="540" w:hanging="27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w:t>
      </w:r>
      <w:r w:rsidRPr="0053654A">
        <w:rPr>
          <w:rFonts w:ascii="Palatino Linotype" w:eastAsia="Palatino Linotype" w:hAnsi="Palatino Linotype" w:cs="Palatino Linotype"/>
          <w:snapToGrid/>
          <w:sz w:val="22"/>
          <w:szCs w:val="22"/>
          <w:lang w:val="nl-NL"/>
        </w:rPr>
        <w:tab/>
        <w:t>de verkoop, levering, overdracht of uitvoer van niet-dodelijke militaire uitrusting die uitsluitend bestemd is voor humanitaire of beschermende doeleinden, voor programma’s voor institutionele opbouw of voor crisisbeheersingsoperaties van de Verenigde Naties en de Europese Unie;</w:t>
      </w:r>
    </w:p>
    <w:p w:rsidR="0053654A" w:rsidRPr="0053654A" w:rsidRDefault="0053654A" w:rsidP="0053654A">
      <w:pPr>
        <w:widowControl/>
        <w:ind w:left="540" w:hanging="27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b.</w:t>
      </w:r>
      <w:r w:rsidRPr="0053654A">
        <w:rPr>
          <w:rFonts w:ascii="Palatino Linotype" w:eastAsia="Palatino Linotype" w:hAnsi="Palatino Linotype" w:cs="Palatino Linotype"/>
          <w:snapToGrid/>
          <w:sz w:val="22"/>
          <w:szCs w:val="22"/>
          <w:lang w:val="nl-NL"/>
        </w:rPr>
        <w:tab/>
        <w:t>de verkoop, levering, overdracht of uitvoer van andere voertuigen dan gevechtsvoertuigen die gemaakt zijn van, of uitgerust zijn met, materiaal dat bescherming biedt tegen kogels en die uitsluitend bestemd zijn voor de bescherming van personeel van de Europese Unie en haar lidstaten in Belarus.</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Artikel 3.1, onderdeel b, is niet van toepassing op beschermende kleding, met inbegrip van scherfwerende vesten en militaire helmen, die voor louter persoonlijk gebruik door personeel van de Verenigde Naties, de Europese Unie of haar lidstaten, vertegenwoordigers van de media of medewerkers van humanitaire en ontwikkelingsorganisaties en aanverwant personeel tijdelijk naar Belarus worden uitgevoerd.</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3.3 Birma/ Myanmar</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c, geldt niet voor een opleiding of een samenwerking met als doel het versterken van democratische beginselen, het versterken van de rechtstaat of de eerbiediging van het internationale recht, waaronder de internationale mensenrechten in Birma.</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spacing w:line="259" w:lineRule="auto"/>
        <w:ind w:left="360" w:hanging="36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3.4 Centraal-Afrikaanse Republiek</w:t>
      </w:r>
    </w:p>
    <w:p w:rsidR="0053654A" w:rsidRPr="0053654A" w:rsidRDefault="0053654A" w:rsidP="0053654A">
      <w:pPr>
        <w:widowControl/>
        <w:spacing w:line="259" w:lineRule="auto"/>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1.</w:t>
      </w:r>
      <w:r w:rsidRPr="0053654A">
        <w:rPr>
          <w:rFonts w:ascii="Palatino Linotype" w:eastAsia="Palatino Linotype" w:hAnsi="Palatino Linotype" w:cs="Palatino Linotype"/>
          <w:snapToGrid/>
          <w:sz w:val="22"/>
          <w:szCs w:val="22"/>
          <w:lang w:val="nl-NL"/>
        </w:rPr>
        <w:tab/>
        <w:t>Artikel 3.1, onderdeel d, is niet van toepassing in geval het een levering, verkoop, uitvoer of overdracht betreft van: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goederen die uitsluitend bestemd zijn voor de ondersteuning van, of voor gebruik door, de Multidimensionale Geïntegreerde Stabilisatiemissie van de Verenigde Naties in de Centraal-Afrikaanse Republiek (MINUSCA), de missies van de Europese Unie, de in de Centraal-Afrikaanse Republiek ingezette Franse troepen, alsmede andere troepen van lidstaten van de Verenigde Naties die opleiding en bijstand verstrekken, na kennisgeving van de transactie aan het Comité, bedoeld in paragraaf 57 van Resolutie 2127 (2013) van de Veiligheidsraad van de Verenigde Naties;</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goederen die bestemd zijn voor Tsjadische of Soedanese troepen en uitsluitend voor gebruik in internationale patrouilles van de tripartiete strijdmacht die op 23 mei 2011 door de Centraal-Afrikaanse Republiek, Tsjaad en Soedan in Khartoem is opgericht om de grensgebieden beter te beveiligen in samenwerking met MINUSCA, na kennisgeving van de transactie aan het Comité, bedoeld in paragraaf 57 van Resolutie 2127 (2013) van de Veiligheidsraad van de Verenigde Naties;</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c. </w:t>
      </w:r>
      <w:r w:rsidRPr="0053654A">
        <w:rPr>
          <w:rFonts w:ascii="Palatino Linotype" w:eastAsia="Palatino Linotype" w:hAnsi="Palatino Linotype" w:cs="Palatino Linotype"/>
          <w:snapToGrid/>
          <w:sz w:val="22"/>
          <w:szCs w:val="22"/>
          <w:lang w:val="nl-NL"/>
        </w:rPr>
        <w:tab/>
        <w:t>beschermende kledij, waaronder kogelwerende vesten en militaire helmen, die door VN-personeel, personeel van de Europese Unie of haar lidstaten, vertegenwoordigers van de media, medewerkers van humanitaire organisaties, ontwikkelingswerkers en aanverwant personeel voor hun eigen bescherming tijdelijk naar de Centraal-Afrikaanse Republiek wordt uitgevoerd;</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 </w:t>
      </w:r>
      <w:r w:rsidRPr="0053654A">
        <w:rPr>
          <w:rFonts w:ascii="Palatino Linotype" w:eastAsia="Palatino Linotype" w:hAnsi="Palatino Linotype" w:cs="Palatino Linotype"/>
          <w:snapToGrid/>
          <w:sz w:val="22"/>
          <w:szCs w:val="22"/>
          <w:lang w:val="nl-NL"/>
        </w:rPr>
        <w:tab/>
        <w:t xml:space="preserve">handvuurwapens en aanverwante uitrusting, uitsluitend bedoeld voor gebruik in internationaal geleide patrouilles ten behoeve van de beveiliging in het </w:t>
      </w:r>
      <w:proofErr w:type="spellStart"/>
      <w:r w:rsidRPr="0053654A">
        <w:rPr>
          <w:rFonts w:ascii="Palatino Linotype" w:eastAsia="Palatino Linotype" w:hAnsi="Palatino Linotype" w:cs="Palatino Linotype"/>
          <w:snapToGrid/>
          <w:sz w:val="22"/>
          <w:szCs w:val="22"/>
          <w:lang w:val="nl-NL"/>
        </w:rPr>
        <w:t>Sangha</w:t>
      </w:r>
      <w:proofErr w:type="spellEnd"/>
      <w:r w:rsidRPr="0053654A">
        <w:rPr>
          <w:rFonts w:ascii="Palatino Linotype" w:eastAsia="Palatino Linotype" w:hAnsi="Palatino Linotype" w:cs="Palatino Linotype"/>
          <w:snapToGrid/>
          <w:sz w:val="22"/>
          <w:szCs w:val="22"/>
          <w:lang w:val="nl-NL"/>
        </w:rPr>
        <w:t xml:space="preserve"> River Tri–</w:t>
      </w:r>
      <w:proofErr w:type="spellStart"/>
      <w:r w:rsidRPr="0053654A">
        <w:rPr>
          <w:rFonts w:ascii="Palatino Linotype" w:eastAsia="Palatino Linotype" w:hAnsi="Palatino Linotype" w:cs="Palatino Linotype"/>
          <w:snapToGrid/>
          <w:sz w:val="22"/>
          <w:szCs w:val="22"/>
          <w:lang w:val="nl-NL"/>
        </w:rPr>
        <w:t>national</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Protected</w:t>
      </w:r>
      <w:proofErr w:type="spellEnd"/>
      <w:r w:rsidRPr="0053654A">
        <w:rPr>
          <w:rFonts w:ascii="Palatino Linotype" w:eastAsia="Palatino Linotype" w:hAnsi="Palatino Linotype" w:cs="Palatino Linotype"/>
          <w:snapToGrid/>
          <w:sz w:val="22"/>
          <w:szCs w:val="22"/>
          <w:lang w:val="nl-NL"/>
        </w:rPr>
        <w:t xml:space="preserve"> Area alsmede voor gebruik door gewapende wildopzichters van het </w:t>
      </w:r>
      <w:proofErr w:type="spellStart"/>
      <w:r w:rsidRPr="0053654A">
        <w:rPr>
          <w:rFonts w:ascii="Palatino Linotype" w:eastAsia="Palatino Linotype" w:hAnsi="Palatino Linotype" w:cs="Palatino Linotype"/>
          <w:snapToGrid/>
          <w:sz w:val="22"/>
          <w:szCs w:val="22"/>
          <w:lang w:val="nl-NL"/>
        </w:rPr>
        <w:t>Chinko</w:t>
      </w:r>
      <w:proofErr w:type="spellEnd"/>
      <w:r w:rsidRPr="0053654A">
        <w:rPr>
          <w:rFonts w:ascii="Palatino Linotype" w:eastAsia="Palatino Linotype" w:hAnsi="Palatino Linotype" w:cs="Palatino Linotype"/>
          <w:snapToGrid/>
          <w:sz w:val="22"/>
          <w:szCs w:val="22"/>
          <w:lang w:val="nl-NL"/>
        </w:rPr>
        <w:t xml:space="preserve"> Project of het nationaal park </w:t>
      </w:r>
      <w:proofErr w:type="spellStart"/>
      <w:r w:rsidRPr="0053654A">
        <w:rPr>
          <w:rFonts w:ascii="Palatino Linotype" w:eastAsia="Palatino Linotype" w:hAnsi="Palatino Linotype" w:cs="Palatino Linotype"/>
          <w:snapToGrid/>
          <w:sz w:val="22"/>
          <w:szCs w:val="22"/>
          <w:lang w:val="nl-NL"/>
        </w:rPr>
        <w:t>Bamingui-Bangoran</w:t>
      </w:r>
      <w:proofErr w:type="spellEnd"/>
      <w:r w:rsidRPr="0053654A">
        <w:rPr>
          <w:rFonts w:ascii="Palatino Linotype" w:eastAsia="Palatino Linotype" w:hAnsi="Palatino Linotype" w:cs="Palatino Linotype"/>
          <w:snapToGrid/>
          <w:sz w:val="22"/>
          <w:szCs w:val="22"/>
          <w:lang w:val="nl-NL"/>
        </w:rPr>
        <w:t xml:space="preserve"> ter bestrijding van stropen, smokkel van ivoor en wapens, en ter bestrijding van andere activiteiten die in strijd zijn met de nationale wetten of internationale wettelijke verplichtingen van de Centraal-Afrikaanse Republiek, na kennisgeving aan het Comité, bedoeld in paragraaf 57 van Resolutie 2127 (2013) van de Veiligheidsraad van de Verenigde Naties;</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e. </w:t>
      </w:r>
      <w:r w:rsidRPr="0053654A">
        <w:rPr>
          <w:rFonts w:ascii="Palatino Linotype" w:eastAsia="Palatino Linotype" w:hAnsi="Palatino Linotype" w:cs="Palatino Linotype"/>
          <w:snapToGrid/>
          <w:sz w:val="22"/>
          <w:szCs w:val="22"/>
          <w:lang w:val="nl-NL"/>
        </w:rPr>
        <w:tab/>
        <w:t xml:space="preserve">wapens en munitie, militaire voertuigen en militaire uitrusting, alsmede het bieden van daaraan gerelateerde steun, aan de veiligheidstroepen van de Centraal-Afrikaanse Republiek, met inbegrip van de civiele </w:t>
      </w:r>
      <w:proofErr w:type="spellStart"/>
      <w:r w:rsidRPr="0053654A">
        <w:rPr>
          <w:rFonts w:ascii="Palatino Linotype" w:eastAsia="Palatino Linotype" w:hAnsi="Palatino Linotype" w:cs="Palatino Linotype"/>
          <w:snapToGrid/>
          <w:sz w:val="22"/>
          <w:szCs w:val="22"/>
          <w:lang w:val="nl-NL"/>
        </w:rPr>
        <w:t>rechtshandhavende</w:t>
      </w:r>
      <w:proofErr w:type="spellEnd"/>
      <w:r w:rsidRPr="0053654A">
        <w:rPr>
          <w:rFonts w:ascii="Palatino Linotype" w:eastAsia="Palatino Linotype" w:hAnsi="Palatino Linotype" w:cs="Palatino Linotype"/>
          <w:snapToGrid/>
          <w:sz w:val="22"/>
          <w:szCs w:val="22"/>
          <w:lang w:val="nl-NL"/>
        </w:rPr>
        <w:t xml:space="preserve"> overheidsinstanties, in geval vorenbedoelde wapens, munitie, voertuigen of uitrusting bedoeld zijn ter ondersteuning van of voor gebruik in het kader van de hervorming van de veiligheidssector in de Centraal-Afrikaanse Republiek, na kennisgeving aan het Comité, bedoeld in paragraaf 57 van Resolutie 2127 (2013) van de Veiligheidsraad van de Verenigde Naties.</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Artikel 3.1, onderdeel d, is niet van toepassing in geval door het Comité, bedoeld in paragraaf 57 van Resolutie 2127 (2013) van de Veiligheidsraad van de Verenigde Naties, vooraf goedkeuring is verleend aan een levering, verkoop of overdracht van: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niet-dodelijke militaire uitrusting of aanverwante technische bijstand die uitsluitend bestemd is voor humanitaire of beschermende doeleinden;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wapens en aanverwant materieel, en aanverwante technische of financiële bijstand, met inbegrip van personeel.</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3.5 Democratische Republiek Congo</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45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1.  Artikel 3.1, onderdeel e, is niet van toepassing op:</w:t>
      </w:r>
    </w:p>
    <w:p w:rsidR="0053654A" w:rsidRPr="0053654A" w:rsidRDefault="0053654A" w:rsidP="0053654A">
      <w:pPr>
        <w:widowControl/>
        <w:ind w:left="72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w:t>
      </w:r>
      <w:r w:rsidRPr="0053654A">
        <w:rPr>
          <w:rFonts w:ascii="Palatino Linotype" w:eastAsia="Palatino Linotype" w:hAnsi="Palatino Linotype" w:cs="Palatino Linotype"/>
          <w:snapToGrid/>
          <w:sz w:val="22"/>
          <w:szCs w:val="22"/>
          <w:lang w:val="nl-NL"/>
        </w:rPr>
        <w:tab/>
        <w:t>militaire goederen, militaire technologie of onderdelen daarvan uitsluitend bestemd ter ondersteuning van of voor gebruik door de Stabilisatiecommissie van de Verenigde Naties in de Democratische Republiek Congo (MONUSCO);</w:t>
      </w:r>
    </w:p>
    <w:p w:rsidR="0053654A" w:rsidRPr="0053654A" w:rsidRDefault="0053654A" w:rsidP="0053654A">
      <w:pPr>
        <w:widowControl/>
        <w:ind w:left="72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b.</w:t>
      </w:r>
      <w:r w:rsidRPr="0053654A">
        <w:rPr>
          <w:rFonts w:ascii="Palatino Linotype" w:eastAsia="Palatino Linotype" w:hAnsi="Palatino Linotype" w:cs="Palatino Linotype"/>
          <w:snapToGrid/>
          <w:sz w:val="22"/>
          <w:szCs w:val="22"/>
          <w:lang w:val="nl-NL"/>
        </w:rPr>
        <w:tab/>
        <w:t>beschermende kledingstukken, waaronder scherfwerende vesten en militaire helmen, die door VN-personeel, vertegenwoordigers van de media, medewerkers van humanitaire organisaties en ontwikkelingswerkers en aanverwant personeel louter voor hun eigen bescherming tijdelijk naar de Democratische Republiek Congo worden uitgevoerd;</w:t>
      </w:r>
    </w:p>
    <w:p w:rsidR="0053654A" w:rsidRPr="0053654A" w:rsidRDefault="0053654A" w:rsidP="0053654A">
      <w:pPr>
        <w:widowControl/>
        <w:ind w:left="72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c.</w:t>
      </w:r>
      <w:r w:rsidRPr="0053654A">
        <w:rPr>
          <w:rFonts w:ascii="Palatino Linotype" w:eastAsia="Palatino Linotype" w:hAnsi="Palatino Linotype" w:cs="Palatino Linotype"/>
          <w:snapToGrid/>
          <w:sz w:val="22"/>
          <w:szCs w:val="22"/>
          <w:lang w:val="nl-NL"/>
        </w:rPr>
        <w:tab/>
        <w:t>niet-dodelijke militaire uitrusting die uitsluitend voor humanitaire of beschermde doeleinden bestemd is, of op de verstrekking van technische bijstand en opleidingen in verband met dergelijke niet-dodelijke uitrusting;</w:t>
      </w:r>
    </w:p>
    <w:p w:rsidR="0053654A" w:rsidRPr="0053654A" w:rsidRDefault="0053654A" w:rsidP="0053654A">
      <w:pPr>
        <w:widowControl/>
        <w:ind w:left="72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w:t>
      </w:r>
      <w:r w:rsidRPr="0053654A">
        <w:rPr>
          <w:rFonts w:ascii="Palatino Linotype" w:eastAsia="Palatino Linotype" w:hAnsi="Palatino Linotype" w:cs="Palatino Linotype"/>
          <w:snapToGrid/>
          <w:sz w:val="22"/>
          <w:szCs w:val="22"/>
          <w:lang w:val="nl-NL"/>
        </w:rPr>
        <w:tab/>
        <w:t>militaire goederen of militaire technologie uitsluitend bestemd ter ondersteuning van of voor gebruik door de regionale taskforce van de Afrikaanse Unie;</w:t>
      </w:r>
    </w:p>
    <w:p w:rsidR="0053654A" w:rsidRPr="0053654A" w:rsidRDefault="0053654A" w:rsidP="0053654A">
      <w:pPr>
        <w:widowControl/>
        <w:ind w:left="720" w:hanging="45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e.</w:t>
      </w:r>
      <w:r w:rsidRPr="0053654A">
        <w:rPr>
          <w:rFonts w:ascii="Palatino Linotype" w:eastAsia="Palatino Linotype" w:hAnsi="Palatino Linotype" w:cs="Palatino Linotype"/>
          <w:snapToGrid/>
          <w:sz w:val="22"/>
          <w:szCs w:val="22"/>
          <w:lang w:val="nl-NL"/>
        </w:rPr>
        <w:tab/>
        <w:t>een andere verkoop, levering, overdracht of uitvoer van wapens en aanverwant materieel, mits de verkoop, levering, overdracht of uitvoer vooraf door het krachtens Resolutie1533 (2004) ingestelde Sanctiecomité is goedgekeurd.</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Het verkopen, leveren, overdragen of uitvoeren van militaire goederen, militaire technologie of onderdelen daarvan is onderworpen aan een door de bevoegde autoriteiten vooraf te verlenen vergunning.</w:t>
      </w:r>
    </w:p>
    <w:p w:rsidR="0053654A" w:rsidRPr="0053654A" w:rsidRDefault="0053654A" w:rsidP="0053654A">
      <w:pPr>
        <w:widowControl/>
        <w:ind w:left="450" w:hanging="45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3.6 Irak</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g, is niet van toepassing met vooraf verleende ontheffing van de Minister op de verkoop, levering, overdracht of uitvoer van wapentuig en aanverwant materiaal dat door de regering van Irak of de bij Resolutie 1151 (2003) van de Veiligheidsraad ingestelde multinationale troepenmacht is benodigd ter uitvoering van Resolutie 1546 (2004) van de Veiligheidsraad.</w:t>
      </w:r>
    </w:p>
    <w:p w:rsidR="0053654A" w:rsidRPr="0053654A" w:rsidRDefault="0053654A" w:rsidP="0053654A">
      <w:pPr>
        <w:widowControl/>
        <w:spacing w:line="259" w:lineRule="auto"/>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3.7 Iran</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h, geldt niet voor voertuigen, niet zijnde gevechtsvoertuigen, die zijn gemaakt van of uitgerust met materiaal dat bescherming biedt tegen kogels en die uitsluitend bestemd zijn voor de bescherming van personeel van de Europese Unie en haar lidstaten in Iran.</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spacing w:line="259" w:lineRule="auto"/>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3.8 Libanon en Syrië</w:t>
      </w:r>
    </w:p>
    <w:p w:rsidR="0053654A" w:rsidRPr="0053654A" w:rsidRDefault="0053654A" w:rsidP="0053654A">
      <w:pPr>
        <w:widowControl/>
        <w:spacing w:line="259" w:lineRule="auto"/>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k, is niet van toepassing op de verkoop, levering, overdracht of uitvoer van wapens en aanverwant materieel of de levering van technische bijstand, financiering en financiële bijstand, diensten als tussenhandelaar en andere diensten in verband met wapens en aanverwant materieel, indien vooraf toestemming is verleend door de bevoegde autoriteit, genoemd in de bijlage bij Verordening (EG) nr. 1412/2006, en: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 xml:space="preserve">a. </w:t>
      </w:r>
      <w:r w:rsidRPr="0053654A">
        <w:rPr>
          <w:rFonts w:ascii="Palatino Linotype" w:eastAsia="Palatino Linotype" w:hAnsi="Palatino Linotype" w:cs="Palatino Linotype"/>
          <w:snapToGrid/>
          <w:sz w:val="22"/>
          <w:szCs w:val="22"/>
          <w:lang w:val="nl-NL"/>
        </w:rPr>
        <w:tab/>
        <w:t>de goederen of diensten niet, direct of indirect, worden geleverd of verleend aan een van de milities die volgens de Resoluties 1559 (2004) en 1680 (2006) van de Veiligheidsraad van de Verenigde Naties moeten worden ontwapend,</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de transactie is goedgekeurd door de Libanese regering of United Nations Interim Force in Lebanon (UNIFIL), en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c. </w:t>
      </w:r>
      <w:r w:rsidRPr="0053654A">
        <w:rPr>
          <w:rFonts w:ascii="Palatino Linotype" w:eastAsia="Palatino Linotype" w:hAnsi="Palatino Linotype" w:cs="Palatino Linotype"/>
          <w:snapToGrid/>
          <w:sz w:val="22"/>
          <w:szCs w:val="22"/>
          <w:lang w:val="nl-NL"/>
        </w:rPr>
        <w:tab/>
        <w:t>de goederen of diensten zijn toegestaan door UNIFIL in het kader van haar missie of door de Libanese strijdkrachten.</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3.9 Libië</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l, geldt niet voor de levering, de verkoop, de overdracht of de door- of uitvoer van: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wapens en verwante materialen waarvoor voorafgaand goedkeuring is verleend door het Comité, bedoeld in punt 24 van Resolutie 1970 (2011) van de Veiligheidsraad van de Verenigde Naties;</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b. niet-dodelijke militaire uitrusting die uitsluitend bestemd is voor humanitaire of beschermende doeleinden, dan wel voor de bijstand aan de Libische regering bij beveiliging of ontwapening;</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c. </w:t>
      </w:r>
      <w:r w:rsidRPr="0053654A">
        <w:rPr>
          <w:rFonts w:ascii="Palatino Linotype" w:eastAsia="Palatino Linotype" w:hAnsi="Palatino Linotype" w:cs="Palatino Linotype"/>
          <w:snapToGrid/>
          <w:sz w:val="22"/>
          <w:szCs w:val="22"/>
          <w:lang w:val="nl-NL"/>
        </w:rPr>
        <w:tab/>
        <w:t>handvuurwapens, lichte wapens en verwante materialen die tijdelijk naar Libië worden uitgevoerd uitsluitend voor gebruik door personeel van de Verenigde Naties, vertegenwoordigers van de media en humanitaire medewerkers en ontwikkelingswerkers en hun personeel onder de voorwaarde dat het Comité, bedoeld onder a, vooraf op de hoogte is gesteld en niet binnen vijf dagen na die kennisgeving negatief heeft besloten.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3.10 Oekraïne/Rusland</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20"/>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Artikel 3.1, onderdeel m, laat de levering van reserveonderdelen en de verstrekking van diensten voor de instandhouding en veiligheid van binnen de Unie bestaande capaciteiten, onverlet.</w:t>
      </w:r>
    </w:p>
    <w:p w:rsidR="0053654A" w:rsidRPr="0053654A" w:rsidRDefault="0053654A" w:rsidP="0053654A">
      <w:pPr>
        <w:widowControl/>
        <w:numPr>
          <w:ilvl w:val="0"/>
          <w:numId w:val="20"/>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Artikel 3.1, onderdeel m, laat de uitvoering van vóór 1 augustus 2014 gesloten contracten of aanvullende overeenkomsten die nodig zijn voor de uitvoering daarvan, alsmede de levering van reserveonderdelen en de verstrekking van diensten voor de instandhouding en veiligheid van binnen de Unie bestaande capaciteiten, onverlet.</w:t>
      </w:r>
    </w:p>
    <w:p w:rsidR="0053654A" w:rsidRPr="0053654A" w:rsidRDefault="0053654A" w:rsidP="0053654A">
      <w:pPr>
        <w:widowControl/>
        <w:numPr>
          <w:ilvl w:val="0"/>
          <w:numId w:val="20"/>
        </w:numPr>
        <w:pBdr>
          <w:top w:val="nil"/>
          <w:left w:val="nil"/>
          <w:bottom w:val="nil"/>
          <w:right w:val="nil"/>
          <w:between w:val="nil"/>
        </w:pBdr>
        <w:ind w:left="36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Het verbod, bedoeld in artikel 3.1, onderdeel m,  geldt niet in geval van:</w:t>
      </w:r>
    </w:p>
    <w:p w:rsidR="0053654A" w:rsidRPr="0053654A" w:rsidRDefault="0053654A" w:rsidP="0053654A">
      <w:pPr>
        <w:widowControl/>
        <w:numPr>
          <w:ilvl w:val="0"/>
          <w:numId w:val="21"/>
        </w:numPr>
        <w:pBdr>
          <w:top w:val="nil"/>
          <w:left w:val="nil"/>
          <w:bottom w:val="nil"/>
          <w:right w:val="nil"/>
          <w:between w:val="nil"/>
        </w:pBdr>
        <w:ind w:left="72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verkoop, levering, overdracht, uitvoer, invoer, aanschaf of vervoer van hydrazine (CAS 302-01-2) in concentraties van 70 procent of meer,</w:t>
      </w:r>
    </w:p>
    <w:p w:rsidR="0053654A" w:rsidRPr="0053654A" w:rsidRDefault="0053654A" w:rsidP="0053654A">
      <w:pPr>
        <w:widowControl/>
        <w:numPr>
          <w:ilvl w:val="0"/>
          <w:numId w:val="21"/>
        </w:numPr>
        <w:pBdr>
          <w:top w:val="nil"/>
          <w:left w:val="nil"/>
          <w:bottom w:val="nil"/>
          <w:right w:val="nil"/>
          <w:between w:val="nil"/>
        </w:pBdr>
        <w:ind w:left="72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invoer, aanschaf of vervoer van asymmetrisch dimethylhydrazine (CAS 57-14-7),</w:t>
      </w:r>
    </w:p>
    <w:p w:rsidR="0053654A" w:rsidRPr="0053654A" w:rsidRDefault="0053654A" w:rsidP="0053654A">
      <w:pPr>
        <w:widowControl/>
        <w:numPr>
          <w:ilvl w:val="0"/>
          <w:numId w:val="21"/>
        </w:numPr>
        <w:pBdr>
          <w:top w:val="nil"/>
          <w:left w:val="nil"/>
          <w:bottom w:val="nil"/>
          <w:right w:val="nil"/>
          <w:between w:val="nil"/>
        </w:pBdr>
        <w:ind w:left="720"/>
        <w:contextualSpacing/>
        <w:jc w:val="both"/>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 xml:space="preserve">verkoop, levering, overdracht, uitvoer, invoer, aanschaf of vervoer van </w:t>
      </w:r>
      <w:proofErr w:type="spellStart"/>
      <w:r w:rsidRPr="0053654A">
        <w:rPr>
          <w:rFonts w:ascii="Palatino Linotype" w:eastAsia="Palatino Linotype" w:hAnsi="Palatino Linotype" w:cs="Palatino Linotype"/>
          <w:snapToGrid/>
          <w:color w:val="000000"/>
          <w:sz w:val="22"/>
          <w:szCs w:val="22"/>
          <w:lang w:val="nl-NL"/>
        </w:rPr>
        <w:t>monomethylhydrazine</w:t>
      </w:r>
      <w:proofErr w:type="spellEnd"/>
      <w:r w:rsidRPr="0053654A">
        <w:rPr>
          <w:rFonts w:ascii="Palatino Linotype" w:eastAsia="Palatino Linotype" w:hAnsi="Palatino Linotype" w:cs="Palatino Linotype"/>
          <w:snapToGrid/>
          <w:color w:val="000000"/>
          <w:sz w:val="22"/>
          <w:szCs w:val="22"/>
          <w:lang w:val="nl-NL"/>
        </w:rPr>
        <w:t xml:space="preserve"> (CAS 60-34-4), bestemd voor gebruik in draagraketten die door Europese lanceerdienstverleners worden bediend, voor lanceringen van Europese ruimteprogramma's of voor het van brandstof voorzien van satellieten door Europese satellietbouwers. De hoeveelheid uitgevoerde hydrazine wordt berekend overeenkomstig de lanceringen of de satellieten waarvoor die uitvoer plaatsvindt en bedraagt niet meer dan een totale hoeveelheid van 800 kg voor iedere individuele lancering of satelliet. De hoeveelheid uitgevoerde </w:t>
      </w:r>
      <w:proofErr w:type="spellStart"/>
      <w:r w:rsidRPr="0053654A">
        <w:rPr>
          <w:rFonts w:ascii="Palatino Linotype" w:eastAsia="Palatino Linotype" w:hAnsi="Palatino Linotype" w:cs="Palatino Linotype"/>
          <w:snapToGrid/>
          <w:color w:val="000000"/>
          <w:sz w:val="22"/>
          <w:szCs w:val="22"/>
          <w:lang w:val="nl-NL"/>
        </w:rPr>
        <w:t>monomethylhydrazine</w:t>
      </w:r>
      <w:proofErr w:type="spellEnd"/>
      <w:r w:rsidRPr="0053654A">
        <w:rPr>
          <w:rFonts w:ascii="Palatino Linotype" w:eastAsia="Palatino Linotype" w:hAnsi="Palatino Linotype" w:cs="Palatino Linotype"/>
          <w:snapToGrid/>
          <w:color w:val="000000"/>
          <w:sz w:val="22"/>
          <w:szCs w:val="22"/>
          <w:lang w:val="nl-NL"/>
        </w:rPr>
        <w:t xml:space="preserve"> wordt </w:t>
      </w:r>
      <w:r w:rsidRPr="0053654A">
        <w:rPr>
          <w:rFonts w:ascii="Palatino Linotype" w:eastAsia="Palatino Linotype" w:hAnsi="Palatino Linotype" w:cs="Palatino Linotype"/>
          <w:snapToGrid/>
          <w:color w:val="000000"/>
          <w:sz w:val="22"/>
          <w:szCs w:val="22"/>
          <w:lang w:val="nl-NL"/>
        </w:rPr>
        <w:lastRenderedPageBreak/>
        <w:t>berekend overeenkomstig de lancering of lanceringen of de satellieten waarvoor die uitvoer plaatsvindt. Voorafgaand aan de transactie geldt een vergunningsplicht.</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3.11 Soedan</w:t>
      </w:r>
    </w:p>
    <w:p w:rsidR="0053654A" w:rsidRPr="0053654A" w:rsidRDefault="0053654A" w:rsidP="0053654A">
      <w:pPr>
        <w:widowControl/>
        <w:ind w:left="360" w:hanging="360"/>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 </w:t>
      </w:r>
      <w:r w:rsidRPr="0053654A">
        <w:rPr>
          <w:rFonts w:ascii="Palatino Linotype" w:eastAsia="Palatino Linotype" w:hAnsi="Palatino Linotype" w:cs="Palatino Linotype"/>
          <w:snapToGrid/>
          <w:sz w:val="22"/>
          <w:szCs w:val="22"/>
          <w:lang w:val="nl-NL"/>
        </w:rPr>
        <w:tab/>
        <w:t>Artikel 3.1, onderdeel n, is niet van toepassing met vooraf verleende ontheffing van de Minister op de verkoop, levering, overdracht of uitvoer van: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niet-letale militaire uitrusting uitsluitend bestemd voor toezicht op mensenrechten, humanitair of beschermend gebruik, of voor programma’s voor institutionele opbouw van de Verenigde Naties, de Afrikaanse Unie of de Europese Unie;</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materieel bedoeld voor crisisbeheersingsoperaties van de Verenigde Naties, de Afrikaanse Unie of de Europese Unie;</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c.</w:t>
      </w:r>
      <w:r w:rsidRPr="0053654A">
        <w:rPr>
          <w:rFonts w:ascii="Palatino Linotype" w:eastAsia="Palatino Linotype" w:hAnsi="Palatino Linotype" w:cs="Palatino Linotype"/>
          <w:snapToGrid/>
          <w:sz w:val="22"/>
          <w:szCs w:val="22"/>
          <w:lang w:val="nl-NL"/>
        </w:rPr>
        <w:tab/>
        <w:t>andere voertuigen dan gevechtsvoertuigen die gemaakt zijn van, of uitgerust zijn met, materiaal dat bescherming biedt tegen kogels en die uitsluitend bestemd zijn voor de bescherming van personeel van de Europese Unie en haar lidstaten, van personeel van de Verenigde Naties of de Afrikaanse Unie; en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 </w:t>
      </w:r>
      <w:r w:rsidRPr="0053654A">
        <w:rPr>
          <w:rFonts w:ascii="Palatino Linotype" w:eastAsia="Palatino Linotype" w:hAnsi="Palatino Linotype" w:cs="Palatino Linotype"/>
          <w:snapToGrid/>
          <w:sz w:val="22"/>
          <w:szCs w:val="22"/>
          <w:lang w:val="nl-NL"/>
        </w:rPr>
        <w:tab/>
        <w:t>ontmijningsuitrusting en materieel voor gebruik bij ontmijning.</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Artikel 3.1, onderdeel n,  is niet van toepassing op de tijdelijke uitvoer van beschermende kleding voor persoonlijk gebruik, met inbegrip van scherfwerende vesten en militaire helmen, door personeel van de Europese Unie of van haar lidstaten, door personeel van de Verenigde Naties, vertegenwoordigers van de media, of door medewerkers van humanitaire organisaties en ontwikkelingswerkers en aanverwant personeel.</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3.12 Somalië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o, is niet van toepassing in geval het een levering, verkoop of overdracht betreft van: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materieel dat uitsluitend bestemd is voor de ondersteuning van of het gebruik door personeel van de Verenigde Naties, met inbegrip van de bijstandsmissie van de Verenigde Naties in Somalië (UNSOM);</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materieel dat uitsluitend bestemd is voor de ondersteuning van of het gebruik door de overgangsmissie van de Afrikaanse Unie in Somalië (</w:t>
      </w:r>
      <w:proofErr w:type="spellStart"/>
      <w:r w:rsidRPr="0053654A">
        <w:rPr>
          <w:rFonts w:ascii="Palatino Linotype" w:eastAsia="Palatino Linotype" w:hAnsi="Palatino Linotype" w:cs="Palatino Linotype"/>
          <w:snapToGrid/>
          <w:sz w:val="22"/>
          <w:szCs w:val="22"/>
          <w:lang w:val="nl-NL"/>
        </w:rPr>
        <w:t>Atmis</w:t>
      </w:r>
      <w:proofErr w:type="spellEnd"/>
      <w:r w:rsidRPr="0053654A">
        <w:rPr>
          <w:rFonts w:ascii="Palatino Linotype" w:eastAsia="Palatino Linotype" w:hAnsi="Palatino Linotype" w:cs="Palatino Linotype"/>
          <w:snapToGrid/>
          <w:sz w:val="22"/>
          <w:szCs w:val="22"/>
          <w:lang w:val="nl-NL"/>
        </w:rPr>
        <w:t xml:space="preserve">) en haar strategische partners, die uitsluitend optreden op basis van het meest recente strategisch concept van de Afrikaanse Unie (AU), en in samenwerking en samenspraak met </w:t>
      </w:r>
      <w:proofErr w:type="spellStart"/>
      <w:r w:rsidRPr="0053654A">
        <w:rPr>
          <w:rFonts w:ascii="Palatino Linotype" w:eastAsia="Palatino Linotype" w:hAnsi="Palatino Linotype" w:cs="Palatino Linotype"/>
          <w:snapToGrid/>
          <w:sz w:val="22"/>
          <w:szCs w:val="22"/>
          <w:lang w:val="nl-NL"/>
        </w:rPr>
        <w:t>Atmis</w:t>
      </w:r>
      <w:proofErr w:type="spellEnd"/>
      <w:r w:rsidRPr="0053654A">
        <w:rPr>
          <w:rFonts w:ascii="Palatino Linotype" w:eastAsia="Palatino Linotype" w:hAnsi="Palatino Linotype" w:cs="Palatino Linotype"/>
          <w:snapToGrid/>
          <w:sz w:val="22"/>
          <w:szCs w:val="22"/>
          <w:lang w:val="nl-NL"/>
        </w:rPr>
        <w:t>;</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c. </w:t>
      </w:r>
      <w:r w:rsidRPr="0053654A">
        <w:rPr>
          <w:rFonts w:ascii="Palatino Linotype" w:eastAsia="Palatino Linotype" w:hAnsi="Palatino Linotype" w:cs="Palatino Linotype"/>
          <w:snapToGrid/>
          <w:sz w:val="22"/>
          <w:szCs w:val="22"/>
          <w:lang w:val="nl-NL"/>
        </w:rPr>
        <w:tab/>
        <w:t xml:space="preserve">materieel dat uitsluitend bestemd is voor de ondersteuning van of het gebruik door de Europese Unie voor opleidings- en ondersteuningsactiviteiten, Turkije, het Verenigd Koninkrijk van Groot-Brittannië en Noord-Ierland en de Verenigde Staten van Amerika, alsmede alle andere staatstroepen die actief zijn in het kader van het transitieplan voor Somalië (Somalia </w:t>
      </w:r>
      <w:proofErr w:type="spellStart"/>
      <w:r w:rsidRPr="0053654A">
        <w:rPr>
          <w:rFonts w:ascii="Palatino Linotype" w:eastAsia="Palatino Linotype" w:hAnsi="Palatino Linotype" w:cs="Palatino Linotype"/>
          <w:snapToGrid/>
          <w:sz w:val="22"/>
          <w:szCs w:val="22"/>
          <w:lang w:val="nl-NL"/>
        </w:rPr>
        <w:t>Transition</w:t>
      </w:r>
      <w:proofErr w:type="spellEnd"/>
      <w:r w:rsidRPr="0053654A">
        <w:rPr>
          <w:rFonts w:ascii="Palatino Linotype" w:eastAsia="Palatino Linotype" w:hAnsi="Palatino Linotype" w:cs="Palatino Linotype"/>
          <w:snapToGrid/>
          <w:sz w:val="22"/>
          <w:szCs w:val="22"/>
          <w:lang w:val="nl-NL"/>
        </w:rPr>
        <w:t xml:space="preserve"> Plan - STP), of die een overeenkomst inzake de status van de strijdkrachten of een memorandum van overeenstemming met de federale regering van Somalië hebben om de doelstellingen van resolutie 2662 (2022) van de VN-Veiligheidsraad te dienen, mits zij het krachtens punt 11 van resolutie 751 (1992) van de VN-Veiligheidsraad ingestelde Sanctiecomité van dergelijke overeenkomsten in kennis stellen;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 </w:t>
      </w:r>
      <w:r w:rsidRPr="0053654A">
        <w:rPr>
          <w:rFonts w:ascii="Palatino Linotype" w:eastAsia="Palatino Linotype" w:hAnsi="Palatino Linotype" w:cs="Palatino Linotype"/>
          <w:snapToGrid/>
          <w:sz w:val="22"/>
          <w:szCs w:val="22"/>
          <w:lang w:val="nl-NL"/>
        </w:rPr>
        <w:tab/>
        <w:t xml:space="preserve">materieel dat uitsluitend bestemd is voor de ontwikkeling van de Somalische veiligheidsinstanties en politie-instanties op nationaal en lokaal niveau, ter beveiliging van de Somalische bevolking. Voor leveringen van de in de bijlagen II en III van Besluit </w:t>
      </w:r>
      <w:r w:rsidRPr="0053654A">
        <w:rPr>
          <w:rFonts w:ascii="Palatino Linotype" w:eastAsia="Palatino Linotype" w:hAnsi="Palatino Linotype" w:cs="Palatino Linotype"/>
          <w:snapToGrid/>
          <w:sz w:val="22"/>
          <w:szCs w:val="22"/>
          <w:lang w:val="nl-NL"/>
        </w:rPr>
        <w:lastRenderedPageBreak/>
        <w:t>2010/231/GBVB vermelde goederen en het verstrekken van technisch advies, financiële en andere bijstand, alsmede opleiding in verband met militaire activiteiten, is desbetreffende goedkeuring of kennisgeving vereist, en wel als volgt:</w:t>
      </w:r>
    </w:p>
    <w:p w:rsidR="0053654A" w:rsidRPr="0053654A" w:rsidRDefault="0053654A" w:rsidP="0053654A">
      <w:pPr>
        <w:widowControl/>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leveren, verkopen of overdragen van wapentuig en alle soorten aanverwant materieel zoals vermeld in bijlage II van Besluit 2010/231/GBVB, uitsluitend bestemd voor de ontwikkeling van de Somalische veiligheids- en politie-instanties, ter beveiliging van de Somalische bevolking, moet vooraf door het Sanctiecomité worden goedgekeurd overeenkomstig artikel 1, vierde lid, van Besluit 2010/231/GBVB, en is toegestaan tenzij het Sanctiecomité binnen vijf werkdagen na ontvangst van een dergelijke kennisgeving van Somalië, de lidstaten of internationale, regionale of sub-regionale organisaties die de bijstand verlenen, een negatief besluit heeft genomen;</w:t>
      </w:r>
    </w:p>
    <w:p w:rsidR="0053654A" w:rsidRPr="0053654A" w:rsidRDefault="0053654A" w:rsidP="0053654A">
      <w:pPr>
        <w:widowControl/>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van het leveren, verkopen of overdragen van wapentuig en alle soorten aanverwant materieel zoals vermeld in bijlage III van Besluit 2010/231/GBVB, uitsluitend bestemd voor de ontwikkeling van de Somalische veiligheids- en politie-instanties, ter beveiliging van de Somalische bevolking, moet het Sanctiecomité ter informatie vijf werkdagen van tevoren in kennis worden gesteld overeenkomstig artikel 1, vierde lid, van Besluit 2010/231/GBVB, door Somalië, de lidstaten of internationale, regionale of sub-regionale organisaties die de bijstand verlenen;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e. </w:t>
      </w:r>
      <w:r w:rsidRPr="0053654A">
        <w:rPr>
          <w:rFonts w:ascii="Palatino Linotype" w:eastAsia="Palatino Linotype" w:hAnsi="Palatino Linotype" w:cs="Palatino Linotype"/>
          <w:snapToGrid/>
          <w:sz w:val="22"/>
          <w:szCs w:val="22"/>
          <w:lang w:val="nl-NL"/>
        </w:rPr>
        <w:tab/>
        <w:t>materieel dat uitsluitend bestemd is voor de ondersteuning van of het gebruik door personeel van de Verenigde Naties, vertegenwoordigers van de media, medewerkers van humanitaire organisaties en ontwikkelingswerkers en aanverwant personeel louter voor persoonlijk gebruik tijdelijk naar Somalië worden uitgevoerd;</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f. </w:t>
      </w:r>
      <w:r w:rsidRPr="0053654A">
        <w:rPr>
          <w:rFonts w:ascii="Palatino Linotype" w:eastAsia="Palatino Linotype" w:hAnsi="Palatino Linotype" w:cs="Palatino Linotype"/>
          <w:snapToGrid/>
          <w:sz w:val="22"/>
          <w:szCs w:val="22"/>
          <w:lang w:val="nl-NL"/>
        </w:rPr>
        <w:tab/>
        <w:t>niet-dodelijke militaire uitrusting, uitsluitend voor humanitair gebruik of ter bescherming, door de lidstaat of internationale, regionale of sub-regionale organisatie.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3.13 Syrië</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verbod, bedoeld in artikel 3.1, onderdeel p,  is niet van toepassing in geval de invoer of vervoer van chemische wapens of gerelateerd materiaal plaatsvindt overeenkomstig punt 10 van Resolutie 2118 (2013) van de Veiligheidsraad van de Verenigde Naties en de desbetreffende besluiten van de Uitvoerende Raad van de Organisatie voor het Verbod op Chemische Wapens (OPCW), conform de doelstelling van het Verdrag inzake chemische wapens.</w:t>
      </w:r>
      <w:r w:rsidRPr="0053654A">
        <w:rPr>
          <w:rFonts w:ascii="Palatino Linotype" w:eastAsia="Palatino Linotype" w:hAnsi="Palatino Linotype" w:cs="Palatino Linotype"/>
          <w:snapToGrid/>
          <w:sz w:val="22"/>
          <w:szCs w:val="22"/>
          <w:vertAlign w:val="superscript"/>
          <w:lang w:val="nl-NL"/>
        </w:rPr>
        <w:footnoteReference w:id="4"/>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3.14 Venezuela</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 </w:t>
      </w:r>
      <w:r w:rsidRPr="0053654A">
        <w:rPr>
          <w:rFonts w:ascii="Palatino Linotype" w:eastAsia="Palatino Linotype" w:hAnsi="Palatino Linotype" w:cs="Palatino Linotype"/>
          <w:snapToGrid/>
          <w:sz w:val="22"/>
          <w:szCs w:val="22"/>
          <w:lang w:val="nl-NL"/>
        </w:rPr>
        <w:tab/>
        <w:t>Artikel 3.1, onderdeel q, is niet van toepassing op overeenkomsten met betrekking tot goederen of technologie, die vóór 13 november 2017 zijn gesloten, dan wel op aanvullende overeenkomsten die nodig zijn voor de uitvoering van dergelijke overeenkomsten, mits voldaan wordt aan het Gemeenschappelijk Standpunt 2008/944/GBVB en mits aangemeld bij de Minister vóór 19 november 2017.</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Artikel 3.1, onderdeel q, is niet van toepassing met vooraf verleende ontheffing van de Minister op de verkoop, levering, overdracht, uitvoer of technische bijstand van:</w:t>
      </w:r>
    </w:p>
    <w:p w:rsidR="0053654A" w:rsidRPr="0053654A" w:rsidRDefault="0053654A" w:rsidP="0053654A">
      <w:pPr>
        <w:widowControl/>
        <w:ind w:left="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ontmijningsuitrusting en materieel voor gebruik bij ontmijning;</w:t>
      </w:r>
    </w:p>
    <w:p w:rsidR="0053654A" w:rsidRPr="0053654A" w:rsidRDefault="0053654A" w:rsidP="0053654A">
      <w:pPr>
        <w:widowControl/>
        <w:ind w:left="720" w:hanging="36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 xml:space="preserve">b. </w:t>
      </w:r>
      <w:r w:rsidRPr="0053654A">
        <w:rPr>
          <w:rFonts w:ascii="Palatino Linotype" w:eastAsia="Palatino Linotype" w:hAnsi="Palatino Linotype" w:cs="Palatino Linotype"/>
          <w:snapToGrid/>
          <w:sz w:val="22"/>
          <w:szCs w:val="22"/>
          <w:lang w:val="nl-NL"/>
        </w:rPr>
        <w:tab/>
        <w:t>het onderhoud van niet-letale militaire uitrusting, gebruikt door de marine en kustwacht van Venezuela, die uitsluitend bestemd is voor grensbescherming, regionale stabiliteit en het onderscheppen van drugs.</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3.15 Zimbabwe</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 </w:t>
      </w:r>
      <w:r w:rsidRPr="0053654A">
        <w:rPr>
          <w:rFonts w:ascii="Palatino Linotype" w:eastAsia="Palatino Linotype" w:hAnsi="Palatino Linotype" w:cs="Palatino Linotype"/>
          <w:snapToGrid/>
          <w:sz w:val="22"/>
          <w:szCs w:val="22"/>
          <w:lang w:val="nl-NL"/>
        </w:rPr>
        <w:tab/>
        <w:t>Artikel 3.1, onderdeel r, is niet van toepassing op de verkoop, levering, overdracht of uitvoer, met vooraf verleende ontheffing van de bevoegde autoriteit, genoemd in bijlage II bij </w:t>
      </w:r>
      <w:hyperlink r:id="rId13">
        <w:r w:rsidRPr="0053654A">
          <w:rPr>
            <w:rFonts w:ascii="Palatino Linotype" w:eastAsia="Palatino Linotype" w:hAnsi="Palatino Linotype" w:cs="Palatino Linotype"/>
            <w:snapToGrid/>
            <w:sz w:val="22"/>
            <w:szCs w:val="22"/>
            <w:lang w:val="nl-NL"/>
          </w:rPr>
          <w:t>Verordening (EG) nr. 314/2004</w:t>
        </w:r>
      </w:hyperlink>
      <w:r w:rsidRPr="0053654A">
        <w:rPr>
          <w:rFonts w:ascii="Palatino Linotype" w:eastAsia="Palatino Linotype" w:hAnsi="Palatino Linotype" w:cs="Palatino Linotype"/>
          <w:snapToGrid/>
          <w:sz w:val="22"/>
          <w:szCs w:val="22"/>
          <w:lang w:val="nl-NL"/>
        </w:rPr>
        <w:t> van: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w:t>
      </w:r>
      <w:r w:rsidRPr="0053654A">
        <w:rPr>
          <w:rFonts w:ascii="Palatino Linotype" w:eastAsia="Palatino Linotype" w:hAnsi="Palatino Linotype" w:cs="Palatino Linotype"/>
          <w:snapToGrid/>
          <w:sz w:val="22"/>
          <w:szCs w:val="22"/>
          <w:lang w:val="nl-NL"/>
        </w:rPr>
        <w:tab/>
        <w:t>niet-letale militaire uitrusting uitsluitend bestemd voor humanitair gebruik of beschermingsdoeleinden, of voor programma’s voor institutionele versterking van de Verenigde Naties, de Europese Unie of de Gemeenschap; en</w:t>
      </w:r>
    </w:p>
    <w:p w:rsidR="0053654A" w:rsidRPr="0053654A" w:rsidRDefault="0053654A" w:rsidP="0053654A">
      <w:pPr>
        <w:widowControl/>
        <w:ind w:left="72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b.</w:t>
      </w:r>
      <w:r w:rsidRPr="0053654A">
        <w:rPr>
          <w:rFonts w:ascii="Palatino Linotype" w:eastAsia="Palatino Linotype" w:hAnsi="Palatino Linotype" w:cs="Palatino Linotype"/>
          <w:snapToGrid/>
          <w:sz w:val="22"/>
          <w:szCs w:val="22"/>
          <w:lang w:val="nl-NL"/>
        </w:rPr>
        <w:tab/>
        <w:t>materieel bedoeld voor crisisbeheersingsoperaties van de Verenigde Naties of de Europese Unie.</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Artikel 3.1, onderdeel r, is niet van toepassing op de tijdelijke uitvoer van beschermende kleding voor persoonlijk gebruik, met inbegrip van scherfwerende vesten en militaire helmen, door personeel van de Verenigde Naties, de Europese Unie, de Gemeenschap of haar lidstaten, vertegenwoordigers van de media, of medewerkers van humanitaire organisaties en ontwikkelingswerkers en aanverwant personeel.</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3.16 Zuid-Soedan</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3.1, onderdeel s, is niet van toepassing op de verkoop, levering, overdracht of uitvoer van:</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w:t>
      </w:r>
      <w:r w:rsidRPr="0053654A">
        <w:rPr>
          <w:rFonts w:ascii="Palatino Linotype" w:eastAsia="Palatino Linotype" w:hAnsi="Palatino Linotype" w:cs="Palatino Linotype"/>
          <w:snapToGrid/>
          <w:sz w:val="22"/>
          <w:szCs w:val="22"/>
          <w:lang w:val="nl-NL"/>
        </w:rPr>
        <w:tab/>
        <w:t xml:space="preserve">militaire goederen uitsluitend bestemd ter ondersteuning van of voor gebruik door personeel van de Verenigde Naties (VN), daaronder begrepen de VN-missie in Zuid-Soedan (UNMISS) en de tijdelijke VN-veiligheidsmacht van </w:t>
      </w:r>
      <w:proofErr w:type="spellStart"/>
      <w:r w:rsidRPr="0053654A">
        <w:rPr>
          <w:rFonts w:ascii="Palatino Linotype" w:eastAsia="Palatino Linotype" w:hAnsi="Palatino Linotype" w:cs="Palatino Linotype"/>
          <w:snapToGrid/>
          <w:sz w:val="22"/>
          <w:szCs w:val="22"/>
          <w:lang w:val="nl-NL"/>
        </w:rPr>
        <w:t>Abyei</w:t>
      </w:r>
      <w:proofErr w:type="spellEnd"/>
      <w:r w:rsidRPr="0053654A">
        <w:rPr>
          <w:rFonts w:ascii="Palatino Linotype" w:eastAsia="Palatino Linotype" w:hAnsi="Palatino Linotype" w:cs="Palatino Linotype"/>
          <w:snapToGrid/>
          <w:sz w:val="22"/>
          <w:szCs w:val="22"/>
          <w:lang w:val="nl-NL"/>
        </w:rPr>
        <w:t xml:space="preserve"> (UNISFA);</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b.</w:t>
      </w:r>
      <w:r w:rsidRPr="0053654A">
        <w:rPr>
          <w:rFonts w:ascii="Palatino Linotype" w:eastAsia="Palatino Linotype" w:hAnsi="Palatino Linotype" w:cs="Palatino Linotype"/>
          <w:snapToGrid/>
          <w:sz w:val="22"/>
          <w:szCs w:val="22"/>
          <w:lang w:val="nl-NL"/>
        </w:rPr>
        <w:tab/>
        <w:t>niet-dodelijke militaire uitrusting uitsluitend bestemd voor humanitair of beschermend gebruik na voorafgaande kennisgeving aan het krachtens Resolutie 2206 (2015) opgerichte Comité van de Veiligheidsraad;</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c.</w:t>
      </w:r>
      <w:r w:rsidRPr="0053654A">
        <w:rPr>
          <w:rFonts w:ascii="Palatino Linotype" w:eastAsia="Palatino Linotype" w:hAnsi="Palatino Linotype" w:cs="Palatino Linotype"/>
          <w:snapToGrid/>
          <w:sz w:val="22"/>
          <w:szCs w:val="22"/>
          <w:lang w:val="nl-NL"/>
        </w:rPr>
        <w:tab/>
        <w:t>beschermende kleding voor persoonlijk gebruik, met inbegrip van scherfwerende vesten en militaire helmen, die door personeel van de VN, vertegenwoordigers van de media, door medewerkers van humanitaire organisaties, ontwikkelingswerkers en aanverwant personeel tijdelijk naar Zuid-Soedan wordt uitgevoerd;</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w:t>
      </w:r>
      <w:r w:rsidRPr="0053654A">
        <w:rPr>
          <w:rFonts w:ascii="Palatino Linotype" w:eastAsia="Palatino Linotype" w:hAnsi="Palatino Linotype" w:cs="Palatino Linotype"/>
          <w:snapToGrid/>
          <w:sz w:val="22"/>
          <w:szCs w:val="22"/>
          <w:lang w:val="nl-NL"/>
        </w:rPr>
        <w:tab/>
        <w:t>militaire goederen die tijdelijk naar Zuid-Soedan worden uitgevoerd door een staat die, overeenkomstig het internationaal recht, actie onderneemt gericht op de bescherming of de evacuatie van onderdanen van die staat en van de personen voor wie deze staat in Zuid-Soedan consulair verantwoordelijk is, na voorafgaande kennisgeving aan het Comité;</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e.</w:t>
      </w:r>
      <w:r w:rsidRPr="0053654A">
        <w:rPr>
          <w:rFonts w:ascii="Palatino Linotype" w:eastAsia="Palatino Linotype" w:hAnsi="Palatino Linotype" w:cs="Palatino Linotype"/>
          <w:snapToGrid/>
          <w:sz w:val="22"/>
          <w:szCs w:val="22"/>
          <w:lang w:val="nl-NL"/>
        </w:rPr>
        <w:tab/>
        <w:t>militaire goederen aan of ter ondersteuning van de regionale taskforce van de Afrikaanse Unie, uitsluitend bestemd voor regionale operaties ter bestrijding van het Verzetsleger van de Heer en na voorafgaande kennisgeving aan het Comité;</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f.</w:t>
      </w:r>
      <w:r w:rsidRPr="0053654A">
        <w:rPr>
          <w:rFonts w:ascii="Palatino Linotype" w:eastAsia="Palatino Linotype" w:hAnsi="Palatino Linotype" w:cs="Palatino Linotype"/>
          <w:snapToGrid/>
          <w:sz w:val="22"/>
          <w:szCs w:val="22"/>
          <w:lang w:val="nl-NL"/>
        </w:rPr>
        <w:tab/>
        <w:t>militaire goederen uitsluitend bedoeld ter ondersteuning van de uitvoering van het vredesakkoord, na voorafgaande kennisgeving aan het Comité;</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w:t>
      </w:r>
      <w:r w:rsidRPr="0053654A">
        <w:rPr>
          <w:rFonts w:ascii="Palatino Linotype" w:eastAsia="Palatino Linotype" w:hAnsi="Palatino Linotype" w:cs="Palatino Linotype"/>
          <w:snapToGrid/>
          <w:sz w:val="22"/>
          <w:szCs w:val="22"/>
          <w:lang w:val="nl-NL"/>
        </w:rPr>
        <w:tab/>
        <w:t>militaire goederen mits vooraf goedgekeurd door het Comité.</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Hoofdstuk IV. Nationale terrorismesancties</w:t>
      </w:r>
    </w:p>
    <w:p w:rsidR="0053654A" w:rsidRPr="0053654A" w:rsidRDefault="0053654A" w:rsidP="0053654A">
      <w:pPr>
        <w:widowControl/>
        <w:contextualSpacing/>
        <w:rPr>
          <w:rFonts w:ascii="Palatino Linotype" w:eastAsia="Palatino Linotype" w:hAnsi="Palatino Linotype" w:cs="Palatino Linotype"/>
          <w:b/>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4.1</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rPr>
          <w:rFonts w:ascii="Palatino Linotype" w:eastAsia="Palatino Linotype" w:hAnsi="Palatino Linotype" w:cs="Palatino Linotype"/>
          <w:snapToGrid/>
          <w:sz w:val="22"/>
          <w:szCs w:val="22"/>
          <w:lang w:val="nl-NL"/>
        </w:rPr>
      </w:pPr>
      <w:bookmarkStart w:id="7" w:name="_Hlk197501338"/>
      <w:r w:rsidRPr="0053654A">
        <w:rPr>
          <w:rFonts w:ascii="Palatino Linotype" w:eastAsia="Palatino Linotype" w:hAnsi="Palatino Linotype" w:cs="Palatino Linotype"/>
          <w:snapToGrid/>
          <w:sz w:val="22"/>
          <w:szCs w:val="22"/>
          <w:lang w:val="nl-NL"/>
        </w:rPr>
        <w:t>Voor de toepassing van het in dit hoofdstuk bepaalde wordt verstaan onder:</w:t>
      </w:r>
    </w:p>
    <w:p w:rsidR="0053654A" w:rsidRPr="0053654A" w:rsidRDefault="0053654A" w:rsidP="0053654A">
      <w:pPr>
        <w:widowControl/>
        <w:ind w:left="360" w:hanging="360"/>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 </w:t>
      </w:r>
      <w:r w:rsidRPr="0053654A">
        <w:rPr>
          <w:rFonts w:ascii="Palatino Linotype" w:eastAsia="Palatino Linotype" w:hAnsi="Palatino Linotype" w:cs="Palatino Linotype"/>
          <w:snapToGrid/>
          <w:sz w:val="22"/>
          <w:szCs w:val="22"/>
          <w:lang w:val="nl-NL"/>
        </w:rPr>
        <w:tab/>
        <w:t>middelen: activa van welke aard ook, juridische documenten of instrumenten in welke vorm ook, ook elektronisch of digitaal, waaruit eigendom van of een belang in dergelijke activa blijkt, met inbegrip van, doch niet beperkt tot, bankkredieten, reischeques, bankcheques, postwissels, aandelen, obligaties, wissels, kredietbrieven en andere effecten;</w:t>
      </w:r>
    </w:p>
    <w:p w:rsidR="0053654A" w:rsidRPr="0053654A" w:rsidRDefault="0053654A" w:rsidP="0053654A">
      <w:pPr>
        <w:widowControl/>
        <w:ind w:left="360" w:hanging="360"/>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 </w:t>
      </w:r>
      <w:r w:rsidRPr="0053654A">
        <w:rPr>
          <w:rFonts w:ascii="Palatino Linotype" w:eastAsia="Palatino Linotype" w:hAnsi="Palatino Linotype" w:cs="Palatino Linotype"/>
          <w:snapToGrid/>
          <w:sz w:val="22"/>
          <w:szCs w:val="22"/>
          <w:lang w:val="nl-NL"/>
        </w:rPr>
        <w:tab/>
        <w:t>bevriezing van middelen: het voorkomen van het op enigerlei wijze muteren, overmaken, corrigeren, gebruiken of omgaan met middelen met als gevolg wijzigingen van hun omvang, bedrag, locatie, eigenaar, bezit, onderscheidende kenmerken, bestemming, of andere wijzigingen waardoor het gebruik van bedoelde middelen, inclusief het beheer van een beleggingsportefeuille, mogelijk zou worden gemaakt;</w:t>
      </w:r>
    </w:p>
    <w:p w:rsidR="0053654A" w:rsidRPr="0053654A" w:rsidRDefault="0053654A" w:rsidP="0053654A">
      <w:pPr>
        <w:widowControl/>
        <w:ind w:left="360" w:hanging="360"/>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c. </w:t>
      </w:r>
      <w:r w:rsidRPr="0053654A">
        <w:rPr>
          <w:rFonts w:ascii="Palatino Linotype" w:eastAsia="Palatino Linotype" w:hAnsi="Palatino Linotype" w:cs="Palatino Linotype"/>
          <w:snapToGrid/>
          <w:sz w:val="22"/>
          <w:szCs w:val="22"/>
          <w:lang w:val="nl-NL"/>
        </w:rPr>
        <w:tab/>
        <w:t>financiële diensten: alle diensten van financiële aard, waaronder alle verzekeringsdiensten en met verzekeringen verband houdende diensten, en alle bankdiensten en andere financiële diensten, met uitzondering van verzekeringen.</w:t>
      </w:r>
    </w:p>
    <w:p w:rsidR="0053654A" w:rsidRPr="0053654A" w:rsidRDefault="0053654A" w:rsidP="0053654A">
      <w:pPr>
        <w:widowControl/>
        <w:ind w:left="360" w:hanging="360"/>
        <w:contextualSpacing/>
        <w:rPr>
          <w:rFonts w:ascii="Palatino Linotype" w:eastAsia="Palatino Linotype" w:hAnsi="Palatino Linotype" w:cs="Palatino Linotype"/>
          <w:b/>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4.2</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Indien personen of organisaties naar het oordeel van de Minister behoren tot de kring van personen of organisaties, bedoeld in Resolutie 1373 van de Veiligheidsraad van de Verenigde Naties van 28 september 2001, kan de Minister ten aanzien van deze personen of organisaties een aanwijzingsbesluit vaststellen.</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Van een aanwijzingsbesluit als bedoeld in het eerste lid wordt mededeling gedaan in het blad waarin van Landswege de officiële berichten worden opgenomen. De gronden voor de tot </w:t>
      </w:r>
      <w:proofErr w:type="spellStart"/>
      <w:r w:rsidRPr="0053654A">
        <w:rPr>
          <w:rFonts w:ascii="Palatino Linotype" w:eastAsia="Palatino Linotype" w:hAnsi="Palatino Linotype" w:cs="Palatino Linotype"/>
          <w:snapToGrid/>
          <w:sz w:val="22"/>
          <w:szCs w:val="22"/>
          <w:lang w:val="nl-NL"/>
        </w:rPr>
        <w:t>standkoming</w:t>
      </w:r>
      <w:proofErr w:type="spellEnd"/>
      <w:r w:rsidRPr="0053654A">
        <w:rPr>
          <w:rFonts w:ascii="Palatino Linotype" w:eastAsia="Palatino Linotype" w:hAnsi="Palatino Linotype" w:cs="Palatino Linotype"/>
          <w:snapToGrid/>
          <w:sz w:val="22"/>
          <w:szCs w:val="22"/>
          <w:lang w:val="nl-NL"/>
        </w:rPr>
        <w:t xml:space="preserve"> van het aanwijzingsbesluit worden uitsluitend bekendgemaakt aan betrokken persoon of organisatie. </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Alle middelen die toebehoren aan de personen en organisaties, bedoeld in het eerste lid, worden bevroren.</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financiële diensten te verrichten voor of ten behoeve van de personen en organisaties, bedoeld in het eerste lid.</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is verboden aan personen en organisaties, bedoeld in het eerste lid, rechtstreeks dan wel middellijk middelen ter beschikking te stellen.</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stelt in overeenstemming met de Minister van Justitie en de Minister van Financiën een procedure vast voor de totstandkoming van een aanwijzingsbesluit als bedoeld in het eerste lid. De procedure wordt bekend gemaakt in het blad waarin van Landswege de officiële berichten worden opgenomen.</w:t>
      </w:r>
    </w:p>
    <w:p w:rsidR="0053654A" w:rsidRPr="0053654A" w:rsidRDefault="0053654A" w:rsidP="0053654A">
      <w:pPr>
        <w:widowControl/>
        <w:numPr>
          <w:ilvl w:val="0"/>
          <w:numId w:val="27"/>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kan, in overeenstemming met de Minister van Financiën, gehoord de Centrale Bank van Curaçao en Sint Maarten, op verzoek ontheffing verlenen van het bepaalde in het derde tot en met vijfde lid.</w:t>
      </w:r>
      <w:r w:rsidRPr="0053654A">
        <w:rPr>
          <w:rFonts w:ascii="Times New Roman" w:hAnsi="Times New Roman"/>
          <w:snapToGrid/>
          <w:sz w:val="20"/>
          <w:lang w:val="nl-NL"/>
        </w:rPr>
        <w:t xml:space="preserve"> </w:t>
      </w:r>
      <w:r w:rsidRPr="0053654A">
        <w:rPr>
          <w:rFonts w:ascii="Palatino Linotype" w:eastAsia="Palatino Linotype" w:hAnsi="Palatino Linotype" w:cs="Palatino Linotype"/>
          <w:snapToGrid/>
          <w:sz w:val="22"/>
          <w:szCs w:val="22"/>
          <w:lang w:val="nl-NL"/>
        </w:rPr>
        <w:t>Een schriftelijk verzoek tot ontheffing wordt gericht aan de Minister en ingediend bij de Centrale Bank van Curaçao en Sint Maarten.</w:t>
      </w:r>
    </w:p>
    <w:p w:rsidR="0053654A" w:rsidRPr="0053654A" w:rsidRDefault="0053654A" w:rsidP="0053654A">
      <w:pPr>
        <w:widowControl/>
        <w:contextualSpacing/>
        <w:jc w:val="both"/>
        <w:rPr>
          <w:rFonts w:ascii="Palatino Linotype" w:eastAsia="Palatino Linotype" w:hAnsi="Palatino Linotype" w:cs="Palatino Linotype"/>
          <w:b/>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Artikel 4.3</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4.2, derde, vierde en vijfde lid, zijn van overeenkomstige toepassing op personen en organisaties waarop krachtens de Sanctieregeling terrorisme 2007-II een aanwijzing door de minister van Buitenlandse Zaken van toepassing is.</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4.4 Commissie aanwijzing personen en organisaties</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numPr>
          <w:ilvl w:val="3"/>
          <w:numId w:val="16"/>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Er is een Commissie aanwijzing personen en organisaties.</w:t>
      </w:r>
    </w:p>
    <w:p w:rsidR="0053654A" w:rsidRPr="0053654A" w:rsidRDefault="0053654A" w:rsidP="0053654A">
      <w:pPr>
        <w:widowControl/>
        <w:numPr>
          <w:ilvl w:val="3"/>
          <w:numId w:val="16"/>
        </w:numPr>
        <w:ind w:lef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Commissie heeft als taak:</w:t>
      </w:r>
    </w:p>
    <w:p w:rsidR="0053654A" w:rsidRPr="0053654A" w:rsidRDefault="0053654A" w:rsidP="0053654A">
      <w:pPr>
        <w:widowControl/>
        <w:numPr>
          <w:ilvl w:val="4"/>
          <w:numId w:val="16"/>
        </w:numPr>
        <w:ind w:left="72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adviseren en anderszins ondersteunen en bijstaan van de Minister, de Minister van Financiën en de Minister van Justitie bij de uitoefening van de aanwijzingsbevoegdheid, bedoeld in artikel 4.2, alsmede inzake alle daarmee samenhangende aangelegenheden; </w:t>
      </w:r>
    </w:p>
    <w:p w:rsidR="0053654A" w:rsidRPr="0053654A" w:rsidRDefault="0053654A" w:rsidP="0053654A">
      <w:pPr>
        <w:widowControl/>
        <w:numPr>
          <w:ilvl w:val="4"/>
          <w:numId w:val="16"/>
        </w:numPr>
        <w:ind w:left="72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adviseren over en anderszins ondersteunen en bijstaan van de Minister , de Minister van Financiën en de Minister van Justitie bij de beëindiging van een aanwijzing als bedoeld onder a;</w:t>
      </w:r>
    </w:p>
    <w:p w:rsidR="0053654A" w:rsidRPr="0053654A" w:rsidRDefault="0053654A" w:rsidP="0053654A">
      <w:pPr>
        <w:widowControl/>
        <w:numPr>
          <w:ilvl w:val="4"/>
          <w:numId w:val="16"/>
        </w:numPr>
        <w:ind w:left="72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het adviseren van de Minister, de Minister van Financiën en de Minister van Justitie over de totstandkoming van een geconsolideerde lijst van personen aan de hand van de aanwijzingen, bedoeld onder a en de beëindiging van aanwijzingen, bedoel onder b.  </w:t>
      </w:r>
    </w:p>
    <w:p w:rsidR="0053654A" w:rsidRPr="0053654A" w:rsidRDefault="0053654A" w:rsidP="0053654A">
      <w:pPr>
        <w:widowControl/>
        <w:ind w:left="261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4.5</w:t>
      </w:r>
    </w:p>
    <w:p w:rsidR="0053654A" w:rsidRPr="0053654A" w:rsidRDefault="0053654A" w:rsidP="0053654A">
      <w:pPr>
        <w:widowControl/>
        <w:ind w:left="261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1.    In de commissie, bedoeld in artikel 4.4. hebben als lid zitting:</w:t>
      </w:r>
    </w:p>
    <w:p w:rsidR="0053654A" w:rsidRPr="0053654A" w:rsidRDefault="0053654A" w:rsidP="0053654A">
      <w:pPr>
        <w:widowControl/>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b/>
        <w:t>a.    de Procureur-Generaal, tevens voorzitter;</w:t>
      </w:r>
    </w:p>
    <w:p w:rsidR="0053654A" w:rsidRPr="0053654A" w:rsidRDefault="0053654A" w:rsidP="0053654A">
      <w:pPr>
        <w:widowControl/>
        <w:tabs>
          <w:tab w:val="left" w:pos="360"/>
          <w:tab w:val="left" w:pos="108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b/>
        <w:t>b.    het hoofd van de Financial Intelligence Unit;</w:t>
      </w:r>
    </w:p>
    <w:p w:rsidR="0053654A" w:rsidRPr="0053654A" w:rsidRDefault="0053654A" w:rsidP="0053654A">
      <w:pPr>
        <w:widowControl/>
        <w:tabs>
          <w:tab w:val="left" w:pos="360"/>
          <w:tab w:val="left" w:pos="108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b/>
        <w:t>c.    de Korpschef van het Korps Politie Curaçao;</w:t>
      </w:r>
    </w:p>
    <w:p w:rsidR="0053654A" w:rsidRPr="0053654A" w:rsidRDefault="0053654A" w:rsidP="0053654A">
      <w:pPr>
        <w:widowControl/>
        <w:tabs>
          <w:tab w:val="left" w:pos="360"/>
          <w:tab w:val="left" w:pos="108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b/>
        <w:t>d.   de Directeur Douane.</w:t>
      </w:r>
    </w:p>
    <w:p w:rsidR="0053654A" w:rsidRPr="0053654A" w:rsidRDefault="0053654A" w:rsidP="0053654A">
      <w:pPr>
        <w:widowControl/>
        <w:tabs>
          <w:tab w:val="left" w:pos="360"/>
          <w:tab w:val="left" w:pos="1080"/>
          <w:tab w:val="left" w:pos="1710"/>
        </w:tabs>
        <w:ind w:left="360" w:hanging="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w:t>
      </w:r>
      <w:r w:rsidRPr="0053654A">
        <w:rPr>
          <w:rFonts w:ascii="Palatino Linotype" w:eastAsia="Palatino Linotype" w:hAnsi="Palatino Linotype" w:cs="Palatino Linotype"/>
          <w:snapToGrid/>
          <w:sz w:val="22"/>
          <w:szCs w:val="22"/>
          <w:lang w:val="nl-NL"/>
        </w:rPr>
        <w:tab/>
        <w:t xml:space="preserve">Elke functionaris, genoemd in het eerste lid, wijst een persoon werkzaam onder zijn verantwoordelijkheid aan, om deel te nemen aan de werkzaamheden van de commissie, alsmede diens plaatsvervanger. </w:t>
      </w:r>
    </w:p>
    <w:p w:rsidR="0053654A" w:rsidRPr="0053654A" w:rsidRDefault="0053654A" w:rsidP="0053654A">
      <w:pPr>
        <w:widowControl/>
        <w:tabs>
          <w:tab w:val="left" w:pos="360"/>
          <w:tab w:val="left" w:pos="1080"/>
          <w:tab w:val="left" w:pos="1710"/>
        </w:tabs>
        <w:ind w:left="270" w:hanging="270"/>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360"/>
          <w:tab w:val="left" w:pos="1080"/>
          <w:tab w:val="left" w:pos="1710"/>
        </w:tabs>
        <w:ind w:left="270" w:hanging="27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4.6</w:t>
      </w:r>
    </w:p>
    <w:p w:rsidR="0053654A" w:rsidRPr="0053654A" w:rsidRDefault="0053654A" w:rsidP="0053654A">
      <w:pPr>
        <w:widowControl/>
        <w:tabs>
          <w:tab w:val="left" w:pos="360"/>
          <w:tab w:val="left" w:pos="1080"/>
          <w:tab w:val="left" w:pos="1710"/>
        </w:tabs>
        <w:ind w:left="270" w:hanging="270"/>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360"/>
          <w:tab w:val="left" w:pos="1080"/>
          <w:tab w:val="left" w:pos="1710"/>
        </w:tabs>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commissie stelt na overleg met de ministers, bedoeld in artikel 4.2, zes de lid, een reglement van orde vast, alsmede de noodzakelijke werkprocessen met inachtneming van de daarvoor geldende internationale richtlijnen en aanbevelingen vastgesteld door een sanctiecomité van de Veiligheidsraad of de Financial Action Taskforce, waaronder met betrekking tot de publicatie van de geconsolideerde lijst, bedoeld in artikel 4.4, onderdeel c. </w:t>
      </w:r>
    </w:p>
    <w:bookmarkEnd w:id="7"/>
    <w:p w:rsidR="0053654A" w:rsidRPr="0053654A" w:rsidRDefault="0053654A" w:rsidP="0053654A">
      <w:pPr>
        <w:widowControl/>
        <w:tabs>
          <w:tab w:val="left" w:pos="360"/>
          <w:tab w:val="left" w:pos="1080"/>
        </w:tabs>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ind w:left="3330"/>
        <w:contextualSpacing/>
        <w:jc w:val="both"/>
        <w:rPr>
          <w:rFonts w:ascii="Palatino Linotype" w:eastAsia="Palatino Linotype" w:hAnsi="Palatino Linotype" w:cs="Palatino Linotype"/>
          <w:snapToGrid/>
          <w:sz w:val="22"/>
          <w:szCs w:val="22"/>
          <w:lang w:val="nl-NL"/>
        </w:rPr>
      </w:pPr>
    </w:p>
    <w:p w:rsidR="0053654A" w:rsidRDefault="0053654A">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lastRenderedPageBreak/>
        <w:t>Hoofdstuk V. Intrekking andere landsbesluiten</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5.1</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Sanctiebesluit Libië, het Sanctiebesluit Al-Qaida c.s., de Taliban van Afghanistan c.s., ISIL c.s., ANF c.s. en lokaal aan te wijzen personen en organisaties</w:t>
      </w:r>
      <w:r w:rsidRPr="0053654A">
        <w:rPr>
          <w:rFonts w:ascii="Palatino Linotype" w:eastAsia="Palatino Linotype" w:hAnsi="Palatino Linotype" w:cs="Palatino Linotype"/>
          <w:snapToGrid/>
          <w:sz w:val="22"/>
          <w:szCs w:val="22"/>
          <w:vertAlign w:val="superscript"/>
          <w:lang w:val="nl-NL"/>
        </w:rPr>
        <w:footnoteReference w:id="5"/>
      </w:r>
      <w:r w:rsidRPr="0053654A">
        <w:rPr>
          <w:rFonts w:ascii="Palatino Linotype" w:eastAsia="Palatino Linotype" w:hAnsi="Palatino Linotype" w:cs="Palatino Linotype"/>
          <w:snapToGrid/>
          <w:sz w:val="22"/>
          <w:szCs w:val="22"/>
          <w:lang w:val="nl-NL"/>
        </w:rPr>
        <w:t>, het Sanctiebesluit Democratische Volksrepubliek Korea 2015</w:t>
      </w:r>
      <w:r w:rsidRPr="0053654A">
        <w:rPr>
          <w:rFonts w:ascii="Palatino Linotype" w:eastAsia="Palatino Linotype" w:hAnsi="Palatino Linotype" w:cs="Palatino Linotype"/>
          <w:snapToGrid/>
          <w:sz w:val="22"/>
          <w:szCs w:val="22"/>
          <w:vertAlign w:val="superscript"/>
          <w:lang w:val="nl-NL"/>
        </w:rPr>
        <w:footnoteReference w:id="6"/>
      </w:r>
      <w:r w:rsidRPr="0053654A">
        <w:rPr>
          <w:rFonts w:ascii="Palatino Linotype" w:eastAsia="Palatino Linotype" w:hAnsi="Palatino Linotype" w:cs="Palatino Linotype"/>
          <w:snapToGrid/>
          <w:sz w:val="22"/>
          <w:szCs w:val="22"/>
          <w:lang w:val="nl-NL"/>
        </w:rPr>
        <w:t xml:space="preserve"> en het sanctiebesluit Jemen</w:t>
      </w:r>
      <w:r w:rsidRPr="0053654A">
        <w:rPr>
          <w:rFonts w:ascii="Palatino Linotype" w:eastAsia="Palatino Linotype" w:hAnsi="Palatino Linotype" w:cs="Palatino Linotype"/>
          <w:snapToGrid/>
          <w:sz w:val="22"/>
          <w:szCs w:val="22"/>
          <w:vertAlign w:val="superscript"/>
          <w:lang w:val="nl-NL"/>
        </w:rPr>
        <w:footnoteReference w:id="7"/>
      </w:r>
      <w:r w:rsidRPr="0053654A">
        <w:rPr>
          <w:rFonts w:ascii="Palatino Linotype" w:eastAsia="Palatino Linotype" w:hAnsi="Palatino Linotype" w:cs="Palatino Linotype"/>
          <w:snapToGrid/>
          <w:sz w:val="22"/>
          <w:szCs w:val="22"/>
          <w:lang w:val="nl-NL"/>
        </w:rPr>
        <w:t xml:space="preserve"> worden ingetrokken. </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Hoofdstuk VI. Slotbepalingen</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Artikel 6.1</w:t>
      </w:r>
    </w:p>
    <w:p w:rsidR="0053654A" w:rsidRPr="0053654A" w:rsidRDefault="0053654A" w:rsidP="0053654A">
      <w:pPr>
        <w:widowControl/>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Dit landsbesluit treedt in werking met ingang van de dag na de datum van bekendmaking. </w:t>
      </w:r>
    </w:p>
    <w:p w:rsidR="0053654A" w:rsidRPr="0053654A" w:rsidRDefault="0053654A" w:rsidP="0053654A">
      <w:pPr>
        <w:widowControl/>
        <w:pBdr>
          <w:top w:val="nil"/>
          <w:left w:val="nil"/>
          <w:bottom w:val="nil"/>
          <w:right w:val="nil"/>
          <w:between w:val="nil"/>
        </w:pBdr>
        <w:tabs>
          <w:tab w:val="left" w:pos="360"/>
        </w:tabs>
        <w:contextualSpacing/>
        <w:jc w:val="center"/>
        <w:rPr>
          <w:rFonts w:ascii="Palatino Linotype" w:eastAsia="Palatino Linotype" w:hAnsi="Palatino Linotype" w:cs="Palatino Linotype"/>
          <w:snapToGrid/>
          <w:color w:val="000000"/>
          <w:sz w:val="22"/>
          <w:szCs w:val="22"/>
          <w:lang w:val="nl-NL"/>
        </w:rPr>
      </w:pPr>
    </w:p>
    <w:p w:rsidR="0053654A" w:rsidRPr="0053654A" w:rsidRDefault="0053654A" w:rsidP="0053654A">
      <w:pPr>
        <w:widowControl/>
        <w:pBdr>
          <w:top w:val="nil"/>
          <w:left w:val="nil"/>
          <w:bottom w:val="nil"/>
          <w:right w:val="nil"/>
          <w:between w:val="nil"/>
        </w:pBdr>
        <w:tabs>
          <w:tab w:val="left" w:pos="360"/>
        </w:tabs>
        <w:contextualSpacing/>
        <w:jc w:val="center"/>
        <w:rPr>
          <w:rFonts w:ascii="Palatino Linotype" w:eastAsia="Palatino Linotype" w:hAnsi="Palatino Linotype" w:cs="Palatino Linotype"/>
          <w:snapToGrid/>
          <w:color w:val="000000"/>
          <w:sz w:val="22"/>
          <w:szCs w:val="22"/>
          <w:lang w:val="nl-NL"/>
        </w:rPr>
      </w:pPr>
      <w:r w:rsidRPr="0053654A">
        <w:rPr>
          <w:rFonts w:ascii="Palatino Linotype" w:eastAsia="Palatino Linotype" w:hAnsi="Palatino Linotype" w:cs="Palatino Linotype"/>
          <w:snapToGrid/>
          <w:color w:val="000000"/>
          <w:sz w:val="22"/>
          <w:szCs w:val="22"/>
          <w:lang w:val="nl-NL"/>
        </w:rPr>
        <w:t>Artikel 6.2</w:t>
      </w:r>
    </w:p>
    <w:p w:rsidR="0053654A" w:rsidRPr="0053654A" w:rsidRDefault="0053654A" w:rsidP="0053654A">
      <w:pPr>
        <w:widowControl/>
        <w:pBdr>
          <w:top w:val="nil"/>
          <w:left w:val="nil"/>
          <w:bottom w:val="nil"/>
          <w:right w:val="nil"/>
          <w:between w:val="nil"/>
        </w:pBdr>
        <w:tabs>
          <w:tab w:val="left" w:pos="360"/>
        </w:tabs>
        <w:contextualSpacing/>
        <w:jc w:val="both"/>
        <w:rPr>
          <w:rFonts w:ascii="Palatino Linotype" w:eastAsia="Palatino Linotype" w:hAnsi="Palatino Linotype" w:cs="Palatino Linotype"/>
          <w:snapToGrid/>
          <w:color w:val="000000"/>
          <w:sz w:val="22"/>
          <w:szCs w:val="22"/>
          <w:lang w:val="nl-NL"/>
        </w:rPr>
      </w:pPr>
    </w:p>
    <w:p w:rsidR="0053654A" w:rsidRPr="0053654A" w:rsidRDefault="0053654A" w:rsidP="0053654A">
      <w:pPr>
        <w:widowControl/>
        <w:tabs>
          <w:tab w:val="left" w:pos="284"/>
        </w:tabs>
        <w:ind w:left="284" w:hanging="284"/>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Dit landsbesluit wordt aangehaald als: Omnibus-Sanctiebesluit Curaçao.</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495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Gegeven te Willemstad, 20 mei 2025</w:t>
      </w:r>
    </w:p>
    <w:p w:rsidR="0053654A" w:rsidRPr="0053654A" w:rsidRDefault="0053654A" w:rsidP="0053654A">
      <w:pPr>
        <w:widowControl/>
        <w:autoSpaceDE w:val="0"/>
        <w:autoSpaceDN w:val="0"/>
        <w:ind w:left="4950" w:right="850"/>
        <w:jc w:val="center"/>
        <w:rPr>
          <w:rFonts w:ascii="Palatino Linotype" w:eastAsia="Calibri"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L.A. GEORGE-WOUT</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van Algemene Zaken,</w:t>
      </w:r>
    </w:p>
    <w:p w:rsidR="0053654A" w:rsidRPr="0053654A" w:rsidRDefault="0053654A" w:rsidP="0053654A">
      <w:pPr>
        <w:autoSpaceDE w:val="0"/>
        <w:autoSpaceDN w:val="0"/>
        <w:ind w:right="5980"/>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G.S. PISAS</w:t>
      </w:r>
    </w:p>
    <w:p w:rsidR="0053654A" w:rsidRPr="0053654A" w:rsidRDefault="0053654A" w:rsidP="0053654A">
      <w:pPr>
        <w:widowControl/>
        <w:ind w:left="5103"/>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5103"/>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5103"/>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ind w:left="495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Uitgegeven de 2</w:t>
      </w:r>
      <w:r w:rsidR="007A1CB6">
        <w:rPr>
          <w:rFonts w:ascii="Palatino Linotype" w:eastAsia="Palatino Linotype" w:hAnsi="Palatino Linotype" w:cs="Palatino Linotype"/>
          <w:snapToGrid/>
          <w:sz w:val="22"/>
          <w:szCs w:val="22"/>
          <w:lang w:val="nl-NL"/>
        </w:rPr>
        <w:t>2</w:t>
      </w:r>
      <w:r w:rsidR="007A1CB6" w:rsidRPr="007A1CB6">
        <w:rPr>
          <w:rFonts w:ascii="Palatino Linotype" w:eastAsia="Palatino Linotype" w:hAnsi="Palatino Linotype" w:cs="Palatino Linotype"/>
          <w:snapToGrid/>
          <w:sz w:val="22"/>
          <w:szCs w:val="22"/>
          <w:vertAlign w:val="superscript"/>
          <w:lang w:val="nl-NL"/>
        </w:rPr>
        <w:t>ste</w:t>
      </w:r>
      <w:r w:rsidR="007A1CB6">
        <w:rPr>
          <w:rFonts w:ascii="Palatino Linotype" w:eastAsia="Palatino Linotype" w:hAnsi="Palatino Linotype" w:cs="Palatino Linotype"/>
          <w:snapToGrid/>
          <w:sz w:val="22"/>
          <w:szCs w:val="22"/>
          <w:lang w:val="nl-NL"/>
        </w:rPr>
        <w:t xml:space="preserve"> </w:t>
      </w:r>
      <w:bookmarkStart w:id="8" w:name="_GoBack"/>
      <w:bookmarkEnd w:id="8"/>
      <w:r w:rsidRPr="0053654A">
        <w:rPr>
          <w:rFonts w:ascii="Palatino Linotype" w:eastAsia="Palatino Linotype" w:hAnsi="Palatino Linotype" w:cs="Palatino Linotype"/>
          <w:snapToGrid/>
          <w:sz w:val="22"/>
          <w:szCs w:val="22"/>
          <w:lang w:val="nl-NL"/>
        </w:rPr>
        <w:t>mei 2025</w:t>
      </w:r>
    </w:p>
    <w:p w:rsidR="0053654A" w:rsidRPr="0053654A" w:rsidRDefault="0053654A" w:rsidP="0053654A">
      <w:pPr>
        <w:widowControl/>
        <w:ind w:left="4950"/>
        <w:contextualSpacing/>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van Algemene Zaken,</w:t>
      </w:r>
    </w:p>
    <w:p w:rsidR="0053654A" w:rsidRPr="0053654A" w:rsidRDefault="0053654A" w:rsidP="0053654A">
      <w:pPr>
        <w:widowControl/>
        <w:ind w:left="4950" w:right="1030"/>
        <w:contextualSpacing/>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G.S. PISAS</w:t>
      </w:r>
    </w:p>
    <w:p w:rsidR="0053654A" w:rsidRPr="0053654A" w:rsidRDefault="0053654A" w:rsidP="0053654A">
      <w:pPr>
        <w:widowControl/>
        <w:contextualSpacing/>
        <w:rPr>
          <w:rFonts w:ascii="Palatino Linotype" w:eastAsia="Palatino Linotype" w:hAnsi="Palatino Linotype" w:cs="Palatino Linotype"/>
          <w:b/>
          <w:snapToGrid/>
          <w:sz w:val="22"/>
          <w:szCs w:val="22"/>
          <w:lang w:val="nl-NL"/>
        </w:rPr>
      </w:pPr>
    </w:p>
    <w:p w:rsidR="0053654A" w:rsidRDefault="0053654A">
      <w:pPr>
        <w:widowControl/>
        <w:rPr>
          <w:rFonts w:ascii="Palatino Linotype" w:eastAsia="Palatino Linotype" w:hAnsi="Palatino Linotype" w:cs="Palatino Linotype"/>
          <w:b/>
          <w:snapToGrid/>
          <w:sz w:val="22"/>
          <w:szCs w:val="22"/>
          <w:lang w:val="nl-NL"/>
        </w:rPr>
      </w:pPr>
      <w:r>
        <w:rPr>
          <w:rFonts w:ascii="Palatino Linotype" w:eastAsia="Palatino Linotype" w:hAnsi="Palatino Linotype" w:cs="Palatino Linotype"/>
          <w:b/>
          <w:snapToGrid/>
          <w:sz w:val="22"/>
          <w:szCs w:val="22"/>
          <w:lang w:val="nl-NL"/>
        </w:rPr>
        <w:br w:type="page"/>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b/>
          <w:snapToGrid/>
          <w:sz w:val="22"/>
          <w:szCs w:val="22"/>
          <w:lang w:val="nl-NL"/>
        </w:rPr>
        <w:lastRenderedPageBreak/>
        <w:t>Nota van toelichting behorende bij het Omnibus-Sanctiebesluit Curaçao</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b/>
          <w:snapToGrid/>
          <w:sz w:val="22"/>
          <w:szCs w:val="22"/>
          <w:highlight w:val="white"/>
          <w:lang w:val="nl-NL"/>
        </w:rPr>
      </w:pPr>
      <w:r w:rsidRPr="0053654A">
        <w:rPr>
          <w:rFonts w:ascii="Palatino Linotype" w:eastAsia="Palatino Linotype" w:hAnsi="Palatino Linotype" w:cs="Palatino Linotype"/>
          <w:b/>
          <w:snapToGrid/>
          <w:sz w:val="22"/>
          <w:szCs w:val="22"/>
          <w:highlight w:val="white"/>
          <w:lang w:val="nl-NL"/>
        </w:rPr>
        <w:t>1. Inleiding</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highlight w:val="white"/>
          <w:lang w:val="nl-NL"/>
        </w:rPr>
        <w:t xml:space="preserve">Sanctiemaatregelen zijn dwingende, niet-militaire, politieke instrumenten die worden ingezet bijvoorbeeld als reactie op schendingen van internationaal recht, schendingen van mensenrechten door regimes die rechtsstatelijke en democratische beginselen niet eerbiedigen of bij bestrijding van terrorisme of proliferatie van massavernietigingswapens. Sanctiemaatregelen zijn gericht op het limiteren van de handelingscapaciteit van specifieke aangewezen (rechts)personen en/of entiteiten. Deze rechtspersonen en/of entiteiten kunnen variëren van bijvoorbeeld terroristische groepen en hun leden tot aan hooggeplaatste personen of onderdelen van buitenlandse staten. Internationale ontwikkelingen leiden geregeld tot het uitvaardigen van nieuwe sanctiebesluiten op internationaal niveau welke op nationaal niveau moeten worden geïmplementeerd. In de praktijk betreft het dan vooral de implementatie van bindende sanctieregimes van de Veiligheidsraad van de Verenigde Naties en van de Europese Unie.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thans geldende sanctieregimes, dat zijn de beperkende maatregelen van de Veiligheidsraad van de Verenigde Naties en van de Europese Unie, gelden voor de volgende onderwerpen of ten aanzien van de volgende landen: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 Afghanistan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 ISIS en Al Qaida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 Chemische wapens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4. Conflictdiamanten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5. Cyberaanvallen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6. Mensenrechtenschendingen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7. Terrorisme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8. Belarus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9. Birma/ Myanmar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10. Bosnië-Herzegovina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11. Burundi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12. Centraal-Afrikaanse Republiek </w:t>
      </w:r>
    </w:p>
    <w:p w:rsidR="0053654A" w:rsidRPr="0053654A" w:rsidRDefault="0053654A" w:rsidP="0053654A">
      <w:pPr>
        <w:widowControl/>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13. China </w:t>
      </w:r>
    </w:p>
    <w:p w:rsidR="0053654A" w:rsidRPr="0053654A" w:rsidRDefault="0053654A" w:rsidP="0053654A">
      <w:pPr>
        <w:widowControl/>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14. Congo</w:t>
      </w:r>
    </w:p>
    <w:p w:rsidR="0053654A" w:rsidRPr="0053654A" w:rsidRDefault="0053654A" w:rsidP="0053654A">
      <w:pPr>
        <w:widowControl/>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15. Guatemala</w:t>
      </w:r>
    </w:p>
    <w:p w:rsidR="0053654A" w:rsidRPr="0053654A" w:rsidRDefault="0053654A" w:rsidP="0053654A">
      <w:pPr>
        <w:widowControl/>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16. Guinee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rPr>
      </w:pPr>
      <w:r w:rsidRPr="0053654A">
        <w:rPr>
          <w:rFonts w:ascii="Palatino Linotype" w:eastAsia="Palatino Linotype" w:hAnsi="Palatino Linotype" w:cs="Palatino Linotype"/>
          <w:snapToGrid/>
          <w:sz w:val="22"/>
          <w:szCs w:val="22"/>
        </w:rPr>
        <w:t xml:space="preserve">17. Guinee-Bissau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18. </w:t>
      </w:r>
      <w:proofErr w:type="spellStart"/>
      <w:r w:rsidRPr="0053654A">
        <w:rPr>
          <w:rFonts w:ascii="Palatino Linotype" w:eastAsia="Palatino Linotype" w:hAnsi="Palatino Linotype" w:cs="Palatino Linotype"/>
          <w:snapToGrid/>
          <w:sz w:val="22"/>
          <w:szCs w:val="22"/>
          <w:lang w:val="es-ES"/>
        </w:rPr>
        <w:t>Haïti</w:t>
      </w:r>
      <w:proofErr w:type="spellEnd"/>
      <w:r w:rsidRPr="0053654A">
        <w:rPr>
          <w:rFonts w:ascii="Palatino Linotype" w:eastAsia="Palatino Linotype" w:hAnsi="Palatino Linotype" w:cs="Palatino Linotype"/>
          <w:snapToGrid/>
          <w:sz w:val="22"/>
          <w:szCs w:val="22"/>
          <w:lang w:val="es-ES"/>
        </w:rPr>
        <w:t xml:space="preserv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19. Hamas en de </w:t>
      </w:r>
      <w:proofErr w:type="spellStart"/>
      <w:r w:rsidRPr="0053654A">
        <w:rPr>
          <w:rFonts w:ascii="Palatino Linotype" w:eastAsia="Palatino Linotype" w:hAnsi="Palatino Linotype" w:cs="Palatino Linotype"/>
          <w:snapToGrid/>
          <w:sz w:val="22"/>
          <w:szCs w:val="22"/>
          <w:lang w:val="es-ES"/>
        </w:rPr>
        <w:t>Palestijnse</w:t>
      </w:r>
      <w:proofErr w:type="spellEnd"/>
      <w:r w:rsidRPr="0053654A">
        <w:rPr>
          <w:rFonts w:ascii="Palatino Linotype" w:eastAsia="Palatino Linotype" w:hAnsi="Palatino Linotype" w:cs="Palatino Linotype"/>
          <w:snapToGrid/>
          <w:sz w:val="22"/>
          <w:szCs w:val="22"/>
          <w:lang w:val="es-ES"/>
        </w:rPr>
        <w:t xml:space="preserve"> </w:t>
      </w:r>
      <w:proofErr w:type="spellStart"/>
      <w:r w:rsidRPr="0053654A">
        <w:rPr>
          <w:rFonts w:ascii="Palatino Linotype" w:eastAsia="Palatino Linotype" w:hAnsi="Palatino Linotype" w:cs="Palatino Linotype"/>
          <w:snapToGrid/>
          <w:sz w:val="22"/>
          <w:szCs w:val="22"/>
          <w:lang w:val="es-ES"/>
        </w:rPr>
        <w:t>Islamitische</w:t>
      </w:r>
      <w:proofErr w:type="spellEnd"/>
      <w:r w:rsidRPr="0053654A">
        <w:rPr>
          <w:rFonts w:ascii="Palatino Linotype" w:eastAsia="Palatino Linotype" w:hAnsi="Palatino Linotype" w:cs="Palatino Linotype"/>
          <w:snapToGrid/>
          <w:sz w:val="22"/>
          <w:szCs w:val="22"/>
          <w:lang w:val="es-ES"/>
        </w:rPr>
        <w:t xml:space="preserve"> </w:t>
      </w:r>
      <w:proofErr w:type="spellStart"/>
      <w:r w:rsidRPr="0053654A">
        <w:rPr>
          <w:rFonts w:ascii="Palatino Linotype" w:eastAsia="Palatino Linotype" w:hAnsi="Palatino Linotype" w:cs="Palatino Linotype"/>
          <w:snapToGrid/>
          <w:sz w:val="22"/>
          <w:szCs w:val="22"/>
          <w:lang w:val="es-ES"/>
        </w:rPr>
        <w:t>Jihad</w:t>
      </w:r>
      <w:proofErr w:type="spellEnd"/>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20. Irak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21. Iran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22. Jemen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23. Libanon en Syrië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24. </w:t>
      </w:r>
      <w:proofErr w:type="spellStart"/>
      <w:r w:rsidRPr="0053654A">
        <w:rPr>
          <w:rFonts w:ascii="Palatino Linotype" w:eastAsia="Palatino Linotype" w:hAnsi="Palatino Linotype" w:cs="Palatino Linotype"/>
          <w:snapToGrid/>
          <w:sz w:val="22"/>
          <w:szCs w:val="22"/>
          <w:lang w:val="es-ES"/>
        </w:rPr>
        <w:t>Libië</w:t>
      </w:r>
      <w:proofErr w:type="spellEnd"/>
      <w:r w:rsidRPr="0053654A">
        <w:rPr>
          <w:rFonts w:ascii="Palatino Linotype" w:eastAsia="Palatino Linotype" w:hAnsi="Palatino Linotype" w:cs="Palatino Linotype"/>
          <w:snapToGrid/>
          <w:sz w:val="22"/>
          <w:szCs w:val="22"/>
          <w:lang w:val="es-ES"/>
        </w:rPr>
        <w:t xml:space="preserv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25. Mali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26. </w:t>
      </w:r>
      <w:proofErr w:type="spellStart"/>
      <w:r w:rsidRPr="0053654A">
        <w:rPr>
          <w:rFonts w:ascii="Palatino Linotype" w:eastAsia="Palatino Linotype" w:hAnsi="Palatino Linotype" w:cs="Palatino Linotype"/>
          <w:snapToGrid/>
          <w:sz w:val="22"/>
          <w:szCs w:val="22"/>
          <w:lang w:val="es-ES"/>
        </w:rPr>
        <w:t>Moldavië</w:t>
      </w:r>
      <w:proofErr w:type="spellEnd"/>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t xml:space="preserve">27. Nicaragua </w:t>
      </w:r>
    </w:p>
    <w:p w:rsidR="0053654A" w:rsidRPr="0053654A" w:rsidRDefault="0053654A" w:rsidP="0053654A">
      <w:pPr>
        <w:widowControl/>
        <w:tabs>
          <w:tab w:val="left" w:pos="2400"/>
        </w:tabs>
        <w:contextualSpacing/>
        <w:jc w:val="both"/>
        <w:rPr>
          <w:rFonts w:ascii="Palatino Linotype" w:eastAsia="Palatino Linotype" w:hAnsi="Palatino Linotype" w:cs="Palatino Linotype"/>
          <w:snapToGrid/>
          <w:sz w:val="22"/>
          <w:szCs w:val="22"/>
          <w:lang w:val="es-ES"/>
        </w:rPr>
      </w:pPr>
      <w:r w:rsidRPr="0053654A">
        <w:rPr>
          <w:rFonts w:ascii="Palatino Linotype" w:eastAsia="Palatino Linotype" w:hAnsi="Palatino Linotype" w:cs="Palatino Linotype"/>
          <w:snapToGrid/>
          <w:sz w:val="22"/>
          <w:szCs w:val="22"/>
          <w:lang w:val="es-ES"/>
        </w:rPr>
        <w:lastRenderedPageBreak/>
        <w:t xml:space="preserve">28. </w:t>
      </w:r>
      <w:proofErr w:type="spellStart"/>
      <w:r w:rsidRPr="0053654A">
        <w:rPr>
          <w:rFonts w:ascii="Palatino Linotype" w:eastAsia="Palatino Linotype" w:hAnsi="Palatino Linotype" w:cs="Palatino Linotype"/>
          <w:snapToGrid/>
          <w:sz w:val="22"/>
          <w:szCs w:val="22"/>
          <w:lang w:val="es-ES"/>
        </w:rPr>
        <w:t>Niger</w:t>
      </w:r>
      <w:proofErr w:type="spellEnd"/>
      <w:r w:rsidRPr="0053654A">
        <w:rPr>
          <w:rFonts w:ascii="Palatino Linotype" w:eastAsia="Palatino Linotype" w:hAnsi="Palatino Linotype" w:cs="Palatino Linotype"/>
          <w:snapToGrid/>
          <w:sz w:val="22"/>
          <w:szCs w:val="22"/>
          <w:lang w:val="es-ES"/>
        </w:rPr>
        <w:tab/>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29. Noord-Korea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30. Oekraïne/Russische Federatie (3x)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31. Syrië</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32. Soedan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33. Somalië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34. Tunesië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35. Turkije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36. Venezuela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37. Zimbabwe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38. Zuid-Soedan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Voor een omschrijving van de reden en aard van de sancties voor elk van de hiervoor opgenomen landen, wordt verwezen naar het document getiteld: “Sanctieregeling: stand van zaken” te vinden op de website van de Nederlandse Rijksoverheid, in het bijzonder: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SANCTIEREGELINGEN: STAND VAN ZAKEN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 20 maart 2025</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https://www.rijksoverheid.nl/onderwerpen/internationale-sancties/documenten/regelingen/2025/05/06/sanctieregelingen-stand-van-zaken-20-maart-2025</w:t>
      </w:r>
    </w:p>
    <w:p w:rsidR="0053654A" w:rsidRPr="0053654A" w:rsidRDefault="0053654A" w:rsidP="0053654A">
      <w:pPr>
        <w:widowControl/>
        <w:contextualSpacing/>
        <w:jc w:val="both"/>
        <w:rPr>
          <w:rFonts w:ascii="Palatino Linotype" w:eastAsia="Palatino Linotype" w:hAnsi="Palatino Linotype" w:cs="Palatino Linotype"/>
          <w:b/>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b/>
          <w:snapToGrid/>
          <w:sz w:val="22"/>
          <w:szCs w:val="22"/>
          <w:highlight w:val="white"/>
          <w:lang w:val="nl-NL"/>
        </w:rPr>
      </w:pPr>
      <w:r w:rsidRPr="0053654A">
        <w:rPr>
          <w:rFonts w:ascii="Palatino Linotype" w:eastAsia="Palatino Linotype" w:hAnsi="Palatino Linotype" w:cs="Palatino Linotype"/>
          <w:b/>
          <w:snapToGrid/>
          <w:sz w:val="22"/>
          <w:szCs w:val="22"/>
          <w:highlight w:val="white"/>
          <w:lang w:val="nl-NL"/>
        </w:rPr>
        <w:t>2. Grondslag in nationale wetgeving voor dit Omnibus-Sanctiebesluit</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highlight w:val="white"/>
          <w:lang w:val="nl-NL"/>
        </w:rPr>
        <w:t>Het onderhavige landsbesluit, houdende algemene maatregelingen, een zogenoemd omnibusbesluit (hierna: Omnibus-Sanctiebesluit) strekt ertoe alle sanctiemaatregelen van zowel de Verenigde Naties als de Europese Unie (EU) in een keer “binnen te halen” in de rechtsorde van Curaçao. De volledige omzetting is echter een samenstel van bepalingen in zowel dit Omnibus-Sanctiebesluit, de Rijkssanctiewet</w:t>
      </w:r>
      <w:r w:rsidRPr="0053654A">
        <w:rPr>
          <w:rFonts w:ascii="Palatino Linotype" w:eastAsia="Palatino Linotype" w:hAnsi="Palatino Linotype" w:cs="Palatino Linotype"/>
          <w:snapToGrid/>
          <w:sz w:val="22"/>
          <w:szCs w:val="22"/>
          <w:highlight w:val="white"/>
          <w:vertAlign w:val="superscript"/>
          <w:lang w:val="nl-NL"/>
        </w:rPr>
        <w:footnoteReference w:id="8"/>
      </w:r>
      <w:r w:rsidRPr="0053654A">
        <w:rPr>
          <w:rFonts w:ascii="Palatino Linotype" w:eastAsia="Palatino Linotype" w:hAnsi="Palatino Linotype" w:cs="Palatino Linotype"/>
          <w:snapToGrid/>
          <w:sz w:val="22"/>
          <w:szCs w:val="22"/>
          <w:highlight w:val="white"/>
          <w:lang w:val="nl-NL"/>
        </w:rPr>
        <w:t xml:space="preserve"> en de Sanctielandsverordening.</w:t>
      </w:r>
      <w:r w:rsidRPr="0053654A">
        <w:rPr>
          <w:rFonts w:ascii="Palatino Linotype" w:eastAsia="Palatino Linotype" w:hAnsi="Palatino Linotype" w:cs="Palatino Linotype"/>
          <w:snapToGrid/>
          <w:sz w:val="22"/>
          <w:szCs w:val="22"/>
          <w:highlight w:val="white"/>
          <w:vertAlign w:val="superscript"/>
          <w:lang w:val="nl-NL"/>
        </w:rPr>
        <w:footnoteReference w:id="9"/>
      </w:r>
      <w:r w:rsidRPr="0053654A">
        <w:rPr>
          <w:rFonts w:ascii="Palatino Linotype" w:eastAsia="Palatino Linotype" w:hAnsi="Palatino Linotype" w:cs="Palatino Linotype"/>
          <w:snapToGrid/>
          <w:sz w:val="22"/>
          <w:szCs w:val="22"/>
          <w:highlight w:val="white"/>
          <w:lang w:val="nl-NL"/>
        </w:rPr>
        <w:t xml:space="preserve"> </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highlight w:val="white"/>
          <w:lang w:val="nl-NL"/>
        </w:rPr>
      </w:pPr>
      <w:r w:rsidRPr="0053654A">
        <w:rPr>
          <w:rFonts w:ascii="Palatino Linotype" w:eastAsia="Palatino Linotype" w:hAnsi="Palatino Linotype" w:cs="Palatino Linotype"/>
          <w:i/>
          <w:snapToGrid/>
          <w:sz w:val="22"/>
          <w:szCs w:val="22"/>
          <w:highlight w:val="white"/>
          <w:lang w:val="nl-NL"/>
        </w:rPr>
        <w:t xml:space="preserve">Rijkssanctiewet </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highlight w:val="white"/>
          <w:lang w:val="nl-NL"/>
        </w:rPr>
        <w:t>De Europese Unie zet alle Resoluties van de Verenigde Naties per direct om in Europese verordeningen en besluiten die rechtstreeks van toepassing zijn in de EU-landen. Omdat Curaçao geen EU-lidstaat is, zijn deze verordeningen niet rechtstreeks van toepassing in Curaçao. Echter, om de rechtstreekse toepassing voor Curaçao alsnog mogelijk te maken en wettelijk te verankeren in de rechtsorde van Curaçao, is op 15 juni 2016 de Rijkssanctiewet vastgesteld. Op grond van artikel 2 van de Rijkssanctiewet dient Curaçao alle voorzieningen te treffen die noodzakelijk zijn voor de uitvoering van de rechtshandelingen, bedoeld in </w:t>
      </w:r>
      <w:hyperlink r:id="rId14" w:anchor="Artikel1">
        <w:r w:rsidRPr="0053654A">
          <w:rPr>
            <w:rFonts w:ascii="Palatino Linotype" w:eastAsia="Palatino Linotype" w:hAnsi="Palatino Linotype" w:cs="Palatino Linotype"/>
            <w:snapToGrid/>
            <w:sz w:val="22"/>
            <w:szCs w:val="22"/>
            <w:highlight w:val="white"/>
            <w:lang w:val="nl-NL"/>
          </w:rPr>
          <w:t>artikel 1, eerste lid</w:t>
        </w:r>
      </w:hyperlink>
      <w:r w:rsidRPr="0053654A">
        <w:rPr>
          <w:rFonts w:ascii="Palatino Linotype" w:eastAsia="Palatino Linotype" w:hAnsi="Palatino Linotype" w:cs="Palatino Linotype"/>
          <w:snapToGrid/>
          <w:sz w:val="22"/>
          <w:szCs w:val="22"/>
          <w:highlight w:val="white"/>
          <w:lang w:val="nl-NL"/>
        </w:rPr>
        <w:t>, van de Rijkssanctiewet en de besluiten betreffende beperkende maatregelen, vastgesteld op voet van artikel 29 van het Verdrag betreffende de Europese Unie in het kader van het Gemeenschappelijk Buitenlands en Veiligheidsbeleid van de Europese Unie, onverminderd het overigens bij of krachtens Rijkswetgeving bepaalde.</w:t>
      </w:r>
    </w:p>
    <w:p w:rsidR="0053654A" w:rsidRPr="0053654A" w:rsidRDefault="0053654A" w:rsidP="0053654A">
      <w:pPr>
        <w:widowControl/>
        <w:spacing w:before="120"/>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lang w:val="nl-NL"/>
        </w:rPr>
        <w:t>In de memorie van toelichting behorende bij de Rijkssanctiewet wordt het volgende vermeld inzake d</w:t>
      </w:r>
      <w:r w:rsidRPr="0053654A">
        <w:rPr>
          <w:rFonts w:ascii="Palatino Linotype" w:eastAsia="Palatino Linotype" w:hAnsi="Palatino Linotype" w:cs="Palatino Linotype"/>
          <w:snapToGrid/>
          <w:sz w:val="22"/>
          <w:szCs w:val="22"/>
          <w:highlight w:val="white"/>
          <w:lang w:val="nl-NL"/>
        </w:rPr>
        <w:t xml:space="preserve">e gekozen aanpak: “De gekozen aanpak brengt met zich mee dat de wetgevingslast die voortvloeit uit de implementatie van Europese sancties voor Aruba, Curaçao en Sint Maarten wordt beperkt, aangezien geen noodzaak bestaat om de desbetreffende bepalingen ‘over te </w:t>
      </w:r>
      <w:r w:rsidRPr="0053654A">
        <w:rPr>
          <w:rFonts w:ascii="Palatino Linotype" w:eastAsia="Palatino Linotype" w:hAnsi="Palatino Linotype" w:cs="Palatino Linotype"/>
          <w:snapToGrid/>
          <w:sz w:val="22"/>
          <w:szCs w:val="22"/>
          <w:highlight w:val="white"/>
          <w:lang w:val="nl-NL"/>
        </w:rPr>
        <w:lastRenderedPageBreak/>
        <w:t>schrijven’. De effecten van deze constructie strekken zich mede uit tot sanctieresoluties van de Veiligheidsraad van de Verenigde Naties voor zover deze overgenomen zijn in Europese regelgeving. Door implementatie van een Europese Verordening waarin de inhoud van een resolutie is vervat, is de desbetreffende resolutie immers automatisch meegenomen. Door deze handelwijze behoeven de landen uitsluitend bepalingen inzake toezicht en - strafrechtelijke - handhaving vast te stellen”.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highlight w:val="white"/>
          <w:lang w:val="nl-NL"/>
        </w:rPr>
      </w:pPr>
      <w:r w:rsidRPr="0053654A">
        <w:rPr>
          <w:rFonts w:ascii="Palatino Linotype" w:eastAsia="Palatino Linotype" w:hAnsi="Palatino Linotype" w:cs="Palatino Linotype"/>
          <w:i/>
          <w:snapToGrid/>
          <w:sz w:val="22"/>
          <w:szCs w:val="22"/>
          <w:highlight w:val="white"/>
          <w:lang w:val="nl-NL"/>
        </w:rPr>
        <w:t>Sanctielandsverordening</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highlight w:val="white"/>
          <w:lang w:val="nl-NL"/>
        </w:rPr>
        <w:t xml:space="preserve">De Sanctielandsverordening bevat de hierboven bedoelde algemene bepalingen inzake toezicht en strafrechtelijke handhaving. Artikel 83, tweede lid, van de Staatsregeling van Curaçao, schrijft voor dat voorschriften, door straffen te handhaven, alleen worden gegeven krachtens landsverordening. In de Sanctielandsverordening is de bevoegdheid opgenomen om de voorschriften ter voldoening aan besluiten of aanbevelingen van organen van volkenrechtelijke organisaties, dan wel aan internationale afspraken, met betrekking tot de handhaving of het herstel van de internationale vrede en veiligheid of de bevordering van de internationale rechtsorde en tot de naleving waarvan het Koninkrijk der Nederlanden zich heeft verplicht, tijdelijk in een ministeriële regeling met algemene werking vast te leggen. Deze voorschriften, oftewel de sanctiemaatregelen die zijn opgenomen in ministeriële regelingen met algemene werking, blijven krachtens artikel 8, tweede lid, van de Sanctielandsverordening van kracht totdat een krachtens artikel 2 vastgesteld sanctielandsbesluit dat hetzelfde onderwerp betreft, in werking treedt, doch uiterlijk tot tien maanden na haar inwerkingtreding. Dit houdt in dat een ministeriële regeling met algemene werking, inhoudende sanctiemaatregelen, naderhand omgezet moet worden in een landsbesluit, houdende algemene maatregelen.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Dit landsbesluit, houdende algemene maatregelen, betreft de omzetting van een dergelijke regeling, te weten de Omnibus-Sanctieregeling Curaçao</w:t>
      </w:r>
      <w:r w:rsidRPr="0053654A">
        <w:rPr>
          <w:rFonts w:ascii="Palatino Linotype" w:eastAsia="Palatino Linotype" w:hAnsi="Palatino Linotype" w:cs="Palatino Linotype"/>
          <w:snapToGrid/>
          <w:sz w:val="22"/>
          <w:szCs w:val="22"/>
          <w:vertAlign w:val="superscript"/>
          <w:lang w:val="nl-NL"/>
        </w:rPr>
        <w:footnoteReference w:id="10"/>
      </w:r>
      <w:r w:rsidRPr="0053654A">
        <w:rPr>
          <w:rFonts w:ascii="Palatino Linotype" w:eastAsia="Palatino Linotype" w:hAnsi="Palatino Linotype" w:cs="Palatino Linotype"/>
          <w:snapToGrid/>
          <w:sz w:val="22"/>
          <w:szCs w:val="22"/>
          <w:lang w:val="nl-NL"/>
        </w:rPr>
        <w:t>, die op 23 februari 2024 in werking is getreden.</w:t>
      </w:r>
      <w:r w:rsidRPr="0053654A">
        <w:rPr>
          <w:rFonts w:ascii="Palatino Linotype" w:eastAsia="Palatino Linotype" w:hAnsi="Palatino Linotype" w:cs="Palatino Linotype"/>
          <w:snapToGrid/>
          <w:sz w:val="22"/>
          <w:szCs w:val="22"/>
          <w:vertAlign w:val="superscript"/>
          <w:lang w:val="nl-NL"/>
        </w:rPr>
        <w:footnoteReference w:id="11"/>
      </w:r>
      <w:r w:rsidRPr="0053654A">
        <w:rPr>
          <w:rFonts w:ascii="Palatino Linotype" w:eastAsia="Palatino Linotype" w:hAnsi="Palatino Linotype" w:cs="Palatino Linotype"/>
          <w:snapToGrid/>
          <w:sz w:val="22"/>
          <w:szCs w:val="22"/>
          <w:lang w:val="nl-NL"/>
        </w:rPr>
        <w:t xml:space="preserv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highlight w:val="white"/>
          <w:lang w:val="nl-NL"/>
        </w:rPr>
        <w:t xml:space="preserve">Curaçao heeft in het verleden een aantal sanctiemaatregelen/sanctieregimes op dezelfde wijze verwerkt in nationale wetgeving. Het gaat om </w:t>
      </w:r>
      <w:r w:rsidRPr="0053654A">
        <w:rPr>
          <w:rFonts w:ascii="Palatino Linotype" w:eastAsia="Palatino Linotype" w:hAnsi="Palatino Linotype" w:cs="Palatino Linotype"/>
          <w:snapToGrid/>
          <w:sz w:val="22"/>
          <w:szCs w:val="22"/>
          <w:lang w:val="nl-NL"/>
        </w:rPr>
        <w:t>het Sanctiebesluit Libië</w:t>
      </w:r>
      <w:r w:rsidRPr="0053654A">
        <w:rPr>
          <w:rFonts w:ascii="Palatino Linotype" w:eastAsia="Palatino Linotype" w:hAnsi="Palatino Linotype" w:cs="Palatino Linotype"/>
          <w:snapToGrid/>
          <w:sz w:val="22"/>
          <w:szCs w:val="22"/>
          <w:vertAlign w:val="superscript"/>
          <w:lang w:val="nl-NL"/>
        </w:rPr>
        <w:footnoteReference w:id="12"/>
      </w:r>
      <w:r w:rsidRPr="0053654A">
        <w:rPr>
          <w:rFonts w:ascii="Palatino Linotype" w:eastAsia="Palatino Linotype" w:hAnsi="Palatino Linotype" w:cs="Palatino Linotype"/>
          <w:snapToGrid/>
          <w:sz w:val="22"/>
          <w:szCs w:val="22"/>
          <w:lang w:val="nl-NL"/>
        </w:rPr>
        <w:t>, het Sanctiebesluit Al-Qaida c.s., de Taliban van Afghanistan c.s., ISIL c.s., ANF c.s. en lokaal aan te wijzen personen en organisaties, het Sanctiebesluit Democratische Volksrepubliek Korea 2005</w:t>
      </w:r>
      <w:r w:rsidRPr="0053654A">
        <w:rPr>
          <w:rFonts w:ascii="Palatino Linotype" w:eastAsia="Palatino Linotype" w:hAnsi="Palatino Linotype" w:cs="Palatino Linotype"/>
          <w:snapToGrid/>
          <w:sz w:val="22"/>
          <w:szCs w:val="22"/>
          <w:vertAlign w:val="superscript"/>
          <w:lang w:val="nl-NL"/>
        </w:rPr>
        <w:footnoteReference w:id="13"/>
      </w:r>
      <w:r w:rsidRPr="0053654A">
        <w:rPr>
          <w:rFonts w:ascii="Palatino Linotype" w:eastAsia="Palatino Linotype" w:hAnsi="Palatino Linotype" w:cs="Palatino Linotype"/>
          <w:snapToGrid/>
          <w:sz w:val="22"/>
          <w:szCs w:val="22"/>
          <w:lang w:val="nl-NL"/>
        </w:rPr>
        <w:t xml:space="preserve"> en het Sanctiebesluit Jemen.</w:t>
      </w:r>
      <w:r w:rsidRPr="0053654A">
        <w:rPr>
          <w:rFonts w:ascii="Palatino Linotype" w:eastAsia="Palatino Linotype" w:hAnsi="Palatino Linotype" w:cs="Palatino Linotype"/>
          <w:snapToGrid/>
          <w:sz w:val="22"/>
          <w:szCs w:val="22"/>
          <w:vertAlign w:val="superscript"/>
          <w:lang w:val="nl-NL"/>
        </w:rPr>
        <w:footnoteReference w:id="14"/>
      </w:r>
      <w:r w:rsidRPr="0053654A">
        <w:rPr>
          <w:rFonts w:ascii="Palatino Linotype" w:eastAsia="Palatino Linotype" w:hAnsi="Palatino Linotype" w:cs="Palatino Linotype"/>
          <w:snapToGrid/>
          <w:sz w:val="22"/>
          <w:szCs w:val="22"/>
          <w:lang w:val="nl-NL"/>
        </w:rPr>
        <w:t xml:space="preserve"> </w:t>
      </w:r>
      <w:r w:rsidRPr="0053654A">
        <w:rPr>
          <w:rFonts w:ascii="Palatino Linotype" w:eastAsia="Palatino Linotype" w:hAnsi="Palatino Linotype" w:cs="Palatino Linotype"/>
          <w:snapToGrid/>
          <w:sz w:val="22"/>
          <w:szCs w:val="22"/>
          <w:highlight w:val="white"/>
          <w:lang w:val="nl-NL"/>
        </w:rPr>
        <w:t>De hierboven genoemde besluiten zijn eerst bij ministeriële regeling, met algemene werking, vastgesteld en zijn daarna omgezet naar landsbesluiten, houdende algemene maatregelen. Ter illustratie kan verwezen worden naar de Sa</w:t>
      </w:r>
      <w:r w:rsidRPr="0053654A">
        <w:rPr>
          <w:rFonts w:ascii="Palatino Linotype" w:eastAsia="Palatino Linotype" w:hAnsi="Palatino Linotype" w:cs="Palatino Linotype"/>
          <w:snapToGrid/>
          <w:sz w:val="22"/>
          <w:szCs w:val="22"/>
          <w:lang w:val="nl-NL"/>
        </w:rPr>
        <w:t>nctieregeling Democratische Volksrepubliek Korea 2014.</w:t>
      </w:r>
      <w:r w:rsidRPr="0053654A">
        <w:rPr>
          <w:rFonts w:ascii="Palatino Linotype" w:eastAsia="Palatino Linotype" w:hAnsi="Palatino Linotype" w:cs="Palatino Linotype"/>
          <w:snapToGrid/>
          <w:sz w:val="22"/>
          <w:szCs w:val="22"/>
          <w:vertAlign w:val="superscript"/>
          <w:lang w:val="nl-NL"/>
        </w:rPr>
        <w:footnoteReference w:id="15"/>
      </w:r>
      <w:r w:rsidRPr="0053654A">
        <w:rPr>
          <w:rFonts w:ascii="Palatino Linotype" w:eastAsia="Palatino Linotype" w:hAnsi="Palatino Linotype" w:cs="Palatino Linotype"/>
          <w:snapToGrid/>
          <w:sz w:val="22"/>
          <w:szCs w:val="22"/>
          <w:lang w:val="nl-NL"/>
        </w:rPr>
        <w:t xml:space="preserve"> </w:t>
      </w:r>
      <w:r w:rsidRPr="0053654A">
        <w:rPr>
          <w:rFonts w:ascii="Palatino Linotype" w:eastAsia="Palatino Linotype" w:hAnsi="Palatino Linotype" w:cs="Palatino Linotype"/>
          <w:snapToGrid/>
          <w:sz w:val="22"/>
          <w:szCs w:val="22"/>
          <w:highlight w:val="white"/>
          <w:lang w:val="nl-NL"/>
        </w:rPr>
        <w:t xml:space="preserve">De geldigheid van deze landsbesluiten is krachtens </w:t>
      </w:r>
      <w:r w:rsidRPr="0053654A">
        <w:rPr>
          <w:rFonts w:ascii="Palatino Linotype" w:eastAsia="Palatino Linotype" w:hAnsi="Palatino Linotype" w:cs="Palatino Linotype"/>
          <w:snapToGrid/>
          <w:sz w:val="22"/>
          <w:szCs w:val="22"/>
          <w:lang w:val="nl-NL"/>
        </w:rPr>
        <w:t>Landsverordening verlenging geldigheidsduur sanctiebesluiten 2018</w:t>
      </w:r>
      <w:r w:rsidRPr="0053654A">
        <w:rPr>
          <w:rFonts w:ascii="Palatino Linotype" w:eastAsia="Palatino Linotype" w:hAnsi="Palatino Linotype" w:cs="Palatino Linotype"/>
          <w:snapToGrid/>
          <w:sz w:val="22"/>
          <w:szCs w:val="22"/>
          <w:vertAlign w:val="superscript"/>
          <w:lang w:val="nl-NL"/>
        </w:rPr>
        <w:footnoteReference w:id="16"/>
      </w:r>
      <w:r w:rsidRPr="0053654A">
        <w:rPr>
          <w:rFonts w:ascii="Palatino Linotype" w:eastAsia="Palatino Linotype" w:hAnsi="Palatino Linotype" w:cs="Palatino Linotype"/>
          <w:snapToGrid/>
          <w:sz w:val="22"/>
          <w:szCs w:val="22"/>
          <w:lang w:val="nl-NL"/>
        </w:rPr>
        <w:t xml:space="preserve"> verlengd. </w:t>
      </w:r>
      <w:r w:rsidRPr="0053654A">
        <w:rPr>
          <w:rFonts w:ascii="Palatino Linotype" w:eastAsia="Palatino Linotype" w:hAnsi="Palatino Linotype" w:cs="Palatino Linotype"/>
          <w:snapToGrid/>
          <w:sz w:val="22"/>
          <w:szCs w:val="22"/>
          <w:highlight w:val="white"/>
          <w:lang w:val="nl-NL"/>
        </w:rPr>
        <w:t xml:space="preserve">Om het geheel aan bestaande sancties op overzichtelijke wijze in de Curaçaose rechtsorde te implementeren, </w:t>
      </w:r>
      <w:r w:rsidRPr="0053654A">
        <w:rPr>
          <w:rFonts w:ascii="Palatino Linotype" w:eastAsia="Palatino Linotype" w:hAnsi="Palatino Linotype" w:cs="Palatino Linotype"/>
          <w:snapToGrid/>
          <w:sz w:val="22"/>
          <w:szCs w:val="22"/>
          <w:highlight w:val="white"/>
          <w:lang w:val="nl-NL"/>
        </w:rPr>
        <w:lastRenderedPageBreak/>
        <w:t xml:space="preserve">wordt de inhoud van de Omnibus-Sanctieregeling Curaçao nu omgezet in dit landsbesluit en </w:t>
      </w:r>
      <w:r w:rsidRPr="0053654A">
        <w:rPr>
          <w:rFonts w:ascii="Palatino Linotype" w:eastAsia="Palatino Linotype" w:hAnsi="Palatino Linotype" w:cs="Palatino Linotype"/>
          <w:snapToGrid/>
          <w:sz w:val="22"/>
          <w:szCs w:val="22"/>
          <w:lang w:val="nl-NL"/>
        </w:rPr>
        <w:t>worden deze oude sanctiebesluiten ingetrokken.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r w:rsidRPr="0053654A">
        <w:rPr>
          <w:rFonts w:ascii="Palatino Linotype" w:eastAsia="Palatino Linotype" w:hAnsi="Palatino Linotype" w:cs="Palatino Linotype"/>
          <w:snapToGrid/>
          <w:sz w:val="22"/>
          <w:szCs w:val="22"/>
          <w:highlight w:val="white"/>
          <w:lang w:val="nl-NL"/>
        </w:rPr>
        <w:t>Hierdoor worden alle geldige VN-Veiligheidsraad resoluties</w:t>
      </w:r>
      <w:r w:rsidRPr="0053654A">
        <w:rPr>
          <w:rFonts w:ascii="Palatino Linotype" w:eastAsia="Palatino Linotype" w:hAnsi="Palatino Linotype" w:cs="Palatino Linotype"/>
          <w:snapToGrid/>
          <w:sz w:val="22"/>
          <w:szCs w:val="22"/>
          <w:lang w:val="nl-NL"/>
        </w:rPr>
        <w:t xml:space="preserve"> in één keer</w:t>
      </w:r>
      <w:r w:rsidRPr="0053654A">
        <w:rPr>
          <w:rFonts w:ascii="Palatino Linotype" w:eastAsia="Palatino Linotype" w:hAnsi="Palatino Linotype" w:cs="Palatino Linotype"/>
          <w:snapToGrid/>
          <w:sz w:val="22"/>
          <w:szCs w:val="22"/>
          <w:highlight w:val="white"/>
          <w:lang w:val="nl-NL"/>
        </w:rPr>
        <w:t xml:space="preserve">, via de Europese verordeningen in de Curaçaose rechtsorde geïmplementeerd en daar waar al het een en ander was geïmplementeerd, de ontwikkelingen en aanvullingen vanaf 2015 meegenomen.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highlight w:val="white"/>
          <w:lang w:val="nl-NL"/>
        </w:rPr>
      </w:pPr>
    </w:p>
    <w:p w:rsidR="0053654A" w:rsidRPr="0053654A" w:rsidRDefault="0053654A" w:rsidP="0053654A">
      <w:pPr>
        <w:widowControl/>
        <w:contextualSpacing/>
        <w:rPr>
          <w:rFonts w:ascii="Palatino Linotype" w:eastAsia="Palatino Linotype" w:hAnsi="Palatino Linotype" w:cs="Palatino Linotype"/>
          <w:b/>
          <w:snapToGrid/>
          <w:sz w:val="22"/>
          <w:szCs w:val="22"/>
          <w:lang w:val="nl-NL"/>
        </w:rPr>
      </w:pPr>
      <w:r w:rsidRPr="0053654A">
        <w:rPr>
          <w:rFonts w:ascii="Palatino Linotype" w:eastAsia="Palatino Linotype" w:hAnsi="Palatino Linotype" w:cs="Palatino Linotype"/>
          <w:b/>
          <w:snapToGrid/>
          <w:sz w:val="22"/>
          <w:szCs w:val="22"/>
          <w:lang w:val="nl-NL"/>
        </w:rPr>
        <w:t xml:space="preserve">3. Systematiek omzetting van internationale besluiten en wetgeving  </w:t>
      </w:r>
    </w:p>
    <w:p w:rsidR="0053654A" w:rsidRPr="0053654A" w:rsidRDefault="0053654A" w:rsidP="0053654A">
      <w:pPr>
        <w:widowControl/>
        <w:contextualSpacing/>
        <w:rPr>
          <w:rFonts w:ascii="Palatino Linotype" w:eastAsia="Palatino Linotype" w:hAnsi="Palatino Linotype" w:cs="Palatino Linotype"/>
          <w:b/>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EU-regels ten aanzien van sanctieregimes</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Sanctiemaatregelen in EU-verband zijn neergelegd in raadsbesluiten en/of in verordeningen. Wanneer de maatregelen geen burgers bindende bepalingen bevatten, maar uitsluitend een opdracht aan de lidstaten inhouden (bv. visumrestricties), kan worden volstaan met een besluit van de Raad van de Europese Unie. Is de normstelling - mede - gericht op particulieren (bijvoorbeeld een bevriezing van tegoeden ten aanzien van een persoon die ook van toepassing is op alle burgers en alle (private) financiële instellingen), dan wordt tevens een Europese verordening vastgesteld. Gelet op de competentie van de Europese regelgever zijn wapenembargo’s uitsluitend verankerd in raadsbesluiten. (</w:t>
      </w:r>
      <w:hyperlink r:id="rId15">
        <w:r w:rsidRPr="0053654A">
          <w:rPr>
            <w:rFonts w:ascii="Palatino Linotype" w:eastAsia="Palatino Linotype" w:hAnsi="Palatino Linotype" w:cs="Palatino Linotype"/>
            <w:snapToGrid/>
            <w:sz w:val="22"/>
            <w:szCs w:val="22"/>
            <w:u w:val="single"/>
            <w:lang w:val="nl-NL"/>
          </w:rPr>
          <w:t>https://www.sanctionsmap.eu/</w:t>
        </w:r>
      </w:hyperlink>
      <w:r w:rsidRPr="0053654A">
        <w:rPr>
          <w:rFonts w:ascii="Palatino Linotype" w:eastAsia="Palatino Linotype" w:hAnsi="Palatino Linotype" w:cs="Palatino Linotype"/>
          <w:snapToGrid/>
          <w:sz w:val="22"/>
          <w:szCs w:val="22"/>
          <w:lang w:val="nl-NL"/>
        </w:rPr>
        <w:t>: op deze website is informatie over EU-sanctieregimes inzichtelijk gemaakt alsmede een zoekmachine om opgenomen entiteiten en personen op te kunnen zoeken).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Nationale regels ter uitvoering van EU-sancties in de landen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Noodzakelijke nationale regels ter uitvoering van EU-rechtshandelingenzijn bepalingen die noodzakelijk zijn voor de naleving en handhaving van de geboden en verboden die voortvloeien uit Europese sanctieregimes (Hoofdstuk I, III en IV). Voorts is het noodzakelijk om de autoriteiten aan te wijzen die belast zijn met de uitoefening van specifieke in de desbetreffende verordeningen voorziene bevoegdheden (Hoofdstuk II).</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Uitvoering en consultatie</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Om de effectieve uitvoering van de Rijkssanctiewet en de overige sanctiewetgeving te kunnen garanderen dienen de betrokken (</w:t>
      </w:r>
      <w:proofErr w:type="spellStart"/>
      <w:r w:rsidRPr="0053654A">
        <w:rPr>
          <w:rFonts w:ascii="Palatino Linotype" w:eastAsia="Palatino Linotype" w:hAnsi="Palatino Linotype" w:cs="Palatino Linotype"/>
          <w:snapToGrid/>
          <w:sz w:val="22"/>
          <w:szCs w:val="22"/>
          <w:lang w:val="nl-NL"/>
        </w:rPr>
        <w:t>uitvoerings</w:t>
      </w:r>
      <w:proofErr w:type="spellEnd"/>
      <w:r w:rsidRPr="0053654A">
        <w:rPr>
          <w:rFonts w:ascii="Palatino Linotype" w:eastAsia="Palatino Linotype" w:hAnsi="Palatino Linotype" w:cs="Palatino Linotype"/>
          <w:snapToGrid/>
          <w:sz w:val="22"/>
          <w:szCs w:val="22"/>
          <w:lang w:val="nl-NL"/>
        </w:rPr>
        <w:t xml:space="preserve">)organisaties, zowel gouvernementeel als non-gouvernementeel, kennis te hebben van de voorschriften van dit Omnibus-Sanctiebesluit. Deze organisaties dienen in staat te zijn om uitvoering te geven aan, dan wel toezicht uit te oefenen op de hierin vastgelegde regels. Ook in het kader van  de </w:t>
      </w:r>
      <w:proofErr w:type="spellStart"/>
      <w:r w:rsidRPr="0053654A">
        <w:rPr>
          <w:rFonts w:ascii="Palatino Linotype" w:eastAsia="Palatino Linotype" w:hAnsi="Palatino Linotype" w:cs="Palatino Linotype"/>
          <w:snapToGrid/>
          <w:sz w:val="22"/>
          <w:szCs w:val="22"/>
          <w:lang w:val="nl-NL"/>
        </w:rPr>
        <w:t>Fourth</w:t>
      </w:r>
      <w:proofErr w:type="spellEnd"/>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Round</w:t>
      </w:r>
      <w:proofErr w:type="spellEnd"/>
      <w:r w:rsidRPr="0053654A">
        <w:rPr>
          <w:rFonts w:ascii="Palatino Linotype" w:eastAsia="Palatino Linotype" w:hAnsi="Palatino Linotype" w:cs="Palatino Linotype"/>
          <w:snapToGrid/>
          <w:sz w:val="22"/>
          <w:szCs w:val="22"/>
          <w:lang w:val="nl-NL"/>
        </w:rPr>
        <w:t xml:space="preserve"> of Mutual Evaluation of de Caribbean Financial Action Taskforce (CFATF) zal Curaçao hierover worden doorgelicht. Ter voorbereiding op de totstandkoming en uitvoering van de  Omnibus-Sanctieregeling Curaçao heeft de Directie Buitenlandse Betrekkingen in samenwerking met de Directie Wetgeving en Juridische Zaken verschillende bijeenkomsten gehouden met de betrokken stakeholders. Dit stakeholdersoverleg is voortgezet en vindt op regelmatige plaats. Daarnaast zijn de betrokken instanties ook separaat bezocht door een medewerker van de Directie Buitenlandse Betrekkingen, met als doel informatieverschaffing en de mogelijkheden tot samenwerking te verkennen.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Advisering Sociaal Economische Raad</w:t>
      </w:r>
    </w:p>
    <w:p w:rsidR="0053654A" w:rsidRPr="0053654A" w:rsidRDefault="0053654A" w:rsidP="0053654A">
      <w:pPr>
        <w:widowControl/>
        <w:spacing w:before="120"/>
        <w:ind w:right="-36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Ingevolge artikel 5 van de Sanctielandsverordening, moet in beginsel het voornemen een sanctiebesluit te wijzigen of in te voeren, worden medegedeeld aan de Sociaal Economische Raad </w:t>
      </w:r>
      <w:r w:rsidRPr="0053654A">
        <w:rPr>
          <w:rFonts w:ascii="Palatino Linotype" w:eastAsia="Palatino Linotype" w:hAnsi="Palatino Linotype" w:cs="Palatino Linotype"/>
          <w:snapToGrid/>
          <w:sz w:val="22"/>
          <w:szCs w:val="22"/>
          <w:lang w:val="nl-NL"/>
        </w:rPr>
        <w:lastRenderedPageBreak/>
        <w:t xml:space="preserve">(hierna: SER) of aan naar het oordeel van de ministers bij dat besluit in belangrijke mate betrokken organisaties van belanghebbenden zodat deze in de gelegenheid worden gesteld hun mening daarover kenbaar te maken. Echter, betreft onderhavige regeling de uitvoering van het sanctieregime van de Veiligheidsraad van de Verenigde Naties en de Europese Unie. De regering heeft in deze weinig beleidsvrijheid, waardoor het inwinnen slechts van relatieve waarde zou zijn. Ook, zo valt te lezen in de memorie van toelichting bij artikel 5 van de Sanctielandsverordening, zal in de regel gebruik worden gemaakt van de spoedvoorziening, bedoeld in artikel 7 van de Sanctielandsverordening. Dit is inderdaad ook de procedure die in </w:t>
      </w:r>
      <w:proofErr w:type="spellStart"/>
      <w:r w:rsidRPr="0053654A">
        <w:rPr>
          <w:rFonts w:ascii="Palatino Linotype" w:eastAsia="Palatino Linotype" w:hAnsi="Palatino Linotype" w:cs="Palatino Linotype"/>
          <w:snapToGrid/>
          <w:sz w:val="22"/>
          <w:szCs w:val="22"/>
          <w:lang w:val="nl-NL"/>
        </w:rPr>
        <w:t>casu</w:t>
      </w:r>
      <w:proofErr w:type="spellEnd"/>
      <w:r w:rsidRPr="0053654A">
        <w:rPr>
          <w:rFonts w:ascii="Palatino Linotype" w:eastAsia="Palatino Linotype" w:hAnsi="Palatino Linotype" w:cs="Palatino Linotype"/>
          <w:snapToGrid/>
          <w:sz w:val="22"/>
          <w:szCs w:val="22"/>
          <w:lang w:val="nl-NL"/>
        </w:rPr>
        <w:t xml:space="preserve"> is gevolgd. Het sanctieregime is daardoor reeds ingevoerd. Gelet op het voorgaande zijn de SER evenals andere betrokken organisaties van belanghebbenden in het algemeen geïnformeerd over de geldende sanctieregimes.</w:t>
      </w:r>
    </w:p>
    <w:p w:rsidR="0053654A" w:rsidRPr="0053654A" w:rsidRDefault="0053654A" w:rsidP="0053654A">
      <w:pPr>
        <w:widowControl/>
        <w:contextualSpacing/>
        <w:jc w:val="both"/>
        <w:rPr>
          <w:rFonts w:ascii="Palatino Linotype" w:eastAsia="Palatino Linotype" w:hAnsi="Palatino Linotype" w:cs="Palatino Linotype"/>
          <w:b/>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b/>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b/>
          <w:snapToGrid/>
          <w:sz w:val="22"/>
          <w:szCs w:val="22"/>
          <w:lang w:val="nl-NL"/>
        </w:rPr>
        <w:t>4. Financiële consequenties</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Dit landbesluit bevat de nationaalrechtelijke juridische verankering van reeds bestaande verplichtingen voor  Curaçao, welke voortvloeien uit internationaalrechtelijke besluiten. Dit betekent dat Curaçao op dit moment al is gehouden de internationale sancties uit te voeren en dat de betrokken actoren de hiermee gemoeide werkzaamheden reeds zouden moeten verrichten binnen het daartoe begrote budget. Echter, betreft het bij sancties een beleidsveld dat steeds in beweging is. Het aantal en de soorten sancties wisselt. Hierdoor kan naar verloop van tijd blijken dat er een andere vraag is naar personeel (soort dan wel aantal FTE), opleidings- dan wel trainingsbehoefte of technische applicaties ter uitvoering van de toezichthoudende taken. De betrokken organisaties vangen dit in hun eigen begrotingen op en verkennen de mogelijkheden van samenwerking en gezamenlijk gebruik van technische middelen verder..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Voor het ministerie van Algemene Zaken zijn voor het begrotingsjaar 2024 de aanvullende kosten geïdentificeerd. Het betrof kosten die voortkomen uit de regiefunctie van de Minister van Algemene Zaken.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gaat om:</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 </w:t>
      </w:r>
      <w:proofErr w:type="spellStart"/>
      <w:r w:rsidRPr="0053654A">
        <w:rPr>
          <w:rFonts w:ascii="Palatino Linotype" w:eastAsia="Palatino Linotype" w:hAnsi="Palatino Linotype" w:cs="Palatino Linotype"/>
          <w:snapToGrid/>
          <w:sz w:val="22"/>
          <w:szCs w:val="22"/>
          <w:lang w:val="nl-NL"/>
        </w:rPr>
        <w:t>NAf</w:t>
      </w:r>
      <w:proofErr w:type="spellEnd"/>
      <w:r w:rsidRPr="0053654A">
        <w:rPr>
          <w:rFonts w:ascii="Palatino Linotype" w:eastAsia="Palatino Linotype" w:hAnsi="Palatino Linotype" w:cs="Palatino Linotype"/>
          <w:snapToGrid/>
          <w:sz w:val="22"/>
          <w:szCs w:val="22"/>
          <w:lang w:val="nl-NL"/>
        </w:rPr>
        <w:t xml:space="preserve"> 6.495 voor twee </w:t>
      </w:r>
      <w:proofErr w:type="spellStart"/>
      <w:r w:rsidRPr="0053654A">
        <w:rPr>
          <w:rFonts w:ascii="Palatino Linotype" w:eastAsia="Palatino Linotype" w:hAnsi="Palatino Linotype" w:cs="Palatino Linotype"/>
          <w:snapToGrid/>
          <w:sz w:val="22"/>
          <w:szCs w:val="22"/>
          <w:lang w:val="nl-NL"/>
        </w:rPr>
        <w:t>inhouse</w:t>
      </w:r>
      <w:proofErr w:type="spellEnd"/>
      <w:r w:rsidRPr="0053654A">
        <w:rPr>
          <w:rFonts w:ascii="Palatino Linotype" w:eastAsia="Palatino Linotype" w:hAnsi="Palatino Linotype" w:cs="Palatino Linotype"/>
          <w:snapToGrid/>
          <w:sz w:val="22"/>
          <w:szCs w:val="22"/>
          <w:lang w:val="nl-NL"/>
        </w:rPr>
        <w:t xml:space="preserve"> trainingssessies over de laatste ontwikkelingen ten aanzien van sanctieregelgeving en de benodigde uitvoerings- en handhavingsacties. De sessies zijn bedoeld voor medewerkers van alle overheidsinstellingen die in hun werkzaamheden met internationale sancties te maken hebben en kwam op begrotingspost 4334 “Opleiding en Training” van de kostenplaats Overig Uitgaven Algemeen Beheer.</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rPr>
        <w:t xml:space="preserve">- </w:t>
      </w:r>
      <w:proofErr w:type="spellStart"/>
      <w:r w:rsidRPr="0053654A">
        <w:rPr>
          <w:rFonts w:ascii="Palatino Linotype" w:eastAsia="Palatino Linotype" w:hAnsi="Palatino Linotype" w:cs="Palatino Linotype"/>
          <w:snapToGrid/>
          <w:sz w:val="22"/>
          <w:szCs w:val="22"/>
        </w:rPr>
        <w:t>NAf</w:t>
      </w:r>
      <w:proofErr w:type="spellEnd"/>
      <w:r w:rsidRPr="0053654A">
        <w:rPr>
          <w:rFonts w:ascii="Palatino Linotype" w:eastAsia="Palatino Linotype" w:hAnsi="Palatino Linotype" w:cs="Palatino Linotype"/>
          <w:snapToGrid/>
          <w:sz w:val="22"/>
          <w:szCs w:val="22"/>
        </w:rPr>
        <w:t xml:space="preserve">  </w:t>
      </w:r>
      <w:r w:rsidRPr="0053654A">
        <w:rPr>
          <w:rFonts w:ascii="Times New Roman" w:hAnsi="Times New Roman"/>
          <w:snapToGrid/>
          <w:sz w:val="20"/>
        </w:rPr>
        <w:t xml:space="preserve"> </w:t>
      </w:r>
      <w:r w:rsidRPr="0053654A">
        <w:rPr>
          <w:rFonts w:ascii="Palatino Linotype" w:eastAsia="Palatino Linotype" w:hAnsi="Palatino Linotype" w:cs="Palatino Linotype"/>
          <w:snapToGrid/>
          <w:sz w:val="22"/>
          <w:szCs w:val="22"/>
        </w:rPr>
        <w:t xml:space="preserve">2.566 per </w:t>
      </w:r>
      <w:proofErr w:type="spellStart"/>
      <w:r w:rsidRPr="0053654A">
        <w:rPr>
          <w:rFonts w:ascii="Palatino Linotype" w:eastAsia="Palatino Linotype" w:hAnsi="Palatino Linotype" w:cs="Palatino Linotype"/>
          <w:snapToGrid/>
          <w:sz w:val="22"/>
          <w:szCs w:val="22"/>
        </w:rPr>
        <w:t>deelnemer</w:t>
      </w:r>
      <w:proofErr w:type="spellEnd"/>
      <w:r w:rsidRPr="0053654A">
        <w:rPr>
          <w:rFonts w:ascii="Palatino Linotype" w:eastAsia="Palatino Linotype" w:hAnsi="Palatino Linotype" w:cs="Palatino Linotype"/>
          <w:snapToGrid/>
          <w:sz w:val="22"/>
          <w:szCs w:val="22"/>
        </w:rPr>
        <w:t xml:space="preserve"> </w:t>
      </w:r>
      <w:proofErr w:type="spellStart"/>
      <w:r w:rsidRPr="0053654A">
        <w:rPr>
          <w:rFonts w:ascii="Palatino Linotype" w:eastAsia="Palatino Linotype" w:hAnsi="Palatino Linotype" w:cs="Palatino Linotype"/>
          <w:snapToGrid/>
          <w:sz w:val="22"/>
          <w:szCs w:val="22"/>
        </w:rPr>
        <w:t>voor</w:t>
      </w:r>
      <w:proofErr w:type="spellEnd"/>
      <w:r w:rsidRPr="0053654A">
        <w:rPr>
          <w:rFonts w:ascii="Palatino Linotype" w:eastAsia="Palatino Linotype" w:hAnsi="Palatino Linotype" w:cs="Palatino Linotype"/>
          <w:snapToGrid/>
          <w:sz w:val="22"/>
          <w:szCs w:val="22"/>
        </w:rPr>
        <w:t xml:space="preserve"> de cursus “Making Sanctions Work, Political, Legal and Economic challenges of EU restrictive measures”. </w:t>
      </w:r>
      <w:r w:rsidRPr="0053654A">
        <w:rPr>
          <w:rFonts w:ascii="Palatino Linotype" w:eastAsia="Palatino Linotype" w:hAnsi="Palatino Linotype" w:cs="Palatino Linotype"/>
          <w:snapToGrid/>
          <w:sz w:val="22"/>
          <w:szCs w:val="22"/>
          <w:lang w:val="nl-NL"/>
        </w:rPr>
        <w:t xml:space="preserve">Dit trainingsprogramma werd in 2024 door drie medewerkers van de directie Wetgeving en Juridische Zaken (WJZ) en een medewerker van de Dienst Buitenlandse Betrekkingen (DBB)  bezocht. Ook dit kwam op begrotingspost 4334 “Opleiding en Training” van WJZ respectievelijk DBB.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Voor het begrotingsjaar 2025 zijn vergelijkbare trainingen voorzien.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b/>
          <w:snapToGrid/>
          <w:sz w:val="22"/>
          <w:szCs w:val="22"/>
          <w:lang w:val="nl-NL"/>
        </w:rPr>
      </w:pPr>
      <w:r w:rsidRPr="0053654A">
        <w:rPr>
          <w:rFonts w:ascii="Palatino Linotype" w:eastAsia="Palatino Linotype" w:hAnsi="Palatino Linotype" w:cs="Palatino Linotype"/>
          <w:b/>
          <w:snapToGrid/>
          <w:sz w:val="22"/>
          <w:szCs w:val="22"/>
          <w:lang w:val="nl-NL"/>
        </w:rPr>
        <w:lastRenderedPageBreak/>
        <w:t xml:space="preserve">5. Artikelsgewijs </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Hoofdstuk I Verbodsbepalingen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bookmarkStart w:id="9" w:name="_tyjcwt" w:colFirst="0" w:colLast="0"/>
      <w:bookmarkEnd w:id="9"/>
      <w:r w:rsidRPr="0053654A">
        <w:rPr>
          <w:rFonts w:ascii="Palatino Linotype" w:eastAsia="Palatino Linotype" w:hAnsi="Palatino Linotype" w:cs="Palatino Linotype"/>
          <w:snapToGrid/>
          <w:sz w:val="22"/>
          <w:szCs w:val="22"/>
          <w:lang w:val="nl-NL"/>
        </w:rPr>
        <w:t>In de bepalingen die overtreding van Europese sanctieverordeningen strafbaar stellen, wordt verwezen naar de desbetreffende EU-</w:t>
      </w:r>
      <w:proofErr w:type="spellStart"/>
      <w:r w:rsidRPr="0053654A">
        <w:rPr>
          <w:rFonts w:ascii="Palatino Linotype" w:eastAsia="Palatino Linotype" w:hAnsi="Palatino Linotype" w:cs="Palatino Linotype"/>
          <w:snapToGrid/>
          <w:sz w:val="22"/>
          <w:szCs w:val="22"/>
          <w:lang w:val="nl-NL"/>
        </w:rPr>
        <w:t>verordeningsartikelen</w:t>
      </w:r>
      <w:proofErr w:type="spellEnd"/>
      <w:r w:rsidRPr="0053654A">
        <w:rPr>
          <w:rFonts w:ascii="Palatino Linotype" w:eastAsia="Palatino Linotype" w:hAnsi="Palatino Linotype" w:cs="Palatino Linotype"/>
          <w:snapToGrid/>
          <w:sz w:val="22"/>
          <w:szCs w:val="22"/>
          <w:lang w:val="nl-NL"/>
        </w:rPr>
        <w:t>. In het strafrecht moeten delictsomschrijvingen immers helder zijn; een algemene verwijzing naar EU-verordeningen en besluiten, alsmede het niet actueel houden van de verwijzingen, brengt het risico mee dat de rechter dit te onbepaald acht om een veroordeling op te baseren. De artikelen 1.1 tot en met 1.35 strekken hiertoe. Per land of onderwerp wordt een link gelegd met de geldende verbodsbepalingen in de betreffende EU-verordening. In artikel 1.37 is geregeld dat de uitzonderingen op de verbodsbepalingen, indien die er zijn en in de verordening zijn opgenomen, van toepassing zijn. Dit houdt dus in dat in dit landsbesluit enkel de verbodsbepalingen staan, aangezien de verboden, zoals hiervoor reeds aangegeven, de voorschriften die door straffen moeten worden gehandhaafd, specifiek in nationale wetgeving moeten zijn opgenomen. Voor de uitzonderingen op de bepalingen, dus daar waar er geen verbod is, geldt deze verplichting niet. Ook bevatten veel EU-sanctieverordeningen specifieke bepalingen waarmee wordt beoogd de aansprakelijkheid van EU-partijen te begrenzen. Een voorbeeld van een dergelijke standaardbepaling luidt:</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“1.   De bevriezing van tegoeden of economische middelen of de weigering om tegoeden of economische middelen beschikbaar te stellen, die plaatsvindt in het vertrouwen dat die maatregel in overeenstemming is met deze verordening, geeft geen aanleiding tot enigerlei aansprakelijkheid van de natuurlijke persoon of rechtspersoon of entiteit of het lichaam die die maatregel uitvoert, of van directeuren of werknemers daarvan, tenzij het bewijs wordt geleverd dat de tegoeden of economische middelen als gevolg van nalatigheid zijn bevroren of ingehouden.</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2.   Handelingen van natuurlijke personen, rechtspersonen, entiteiten of lichamen geven geen aanleiding tot enigerlei aansprakelijkheid van de betrokkenen, indien zij niet wisten en geen gegronde reden hadden om te vermoeden dat hun handelingen een inbreuk zouden vormen op de bij deze verordening ingestelde maatregelen.”</w:t>
      </w:r>
      <w:r w:rsidRPr="0053654A">
        <w:rPr>
          <w:rFonts w:ascii="Palatino Linotype" w:eastAsia="Palatino Linotype" w:hAnsi="Palatino Linotype" w:cs="Palatino Linotype"/>
          <w:i/>
          <w:snapToGrid/>
          <w:sz w:val="22"/>
          <w:szCs w:val="22"/>
          <w:vertAlign w:val="superscript"/>
          <w:lang w:val="nl-NL"/>
        </w:rPr>
        <w:footnoteReference w:id="17"/>
      </w:r>
      <w:r w:rsidRPr="0053654A">
        <w:rPr>
          <w:rFonts w:ascii="Palatino Linotype" w:eastAsia="Palatino Linotype" w:hAnsi="Palatino Linotype" w:cs="Palatino Linotype"/>
          <w:i/>
          <w:snapToGrid/>
          <w:sz w:val="22"/>
          <w:szCs w:val="22"/>
          <w:lang w:val="nl-NL"/>
        </w:rPr>
        <w:t xml:space="preserve"> </w:t>
      </w:r>
      <w:r w:rsidRPr="0053654A">
        <w:rPr>
          <w:rFonts w:ascii="Palatino Linotype" w:eastAsia="Palatino Linotype" w:hAnsi="Palatino Linotype" w:cs="Palatino Linotype"/>
          <w:snapToGrid/>
          <w:sz w:val="22"/>
          <w:szCs w:val="22"/>
          <w:lang w:val="nl-NL"/>
        </w:rPr>
        <w:t>Het eerste artikel betreft zogenoemde ‘geen  vordering-clausules’, welke van toepassing zijn op vorderingen in relatie tot de toepassing van  het bevriezingsgebod. Het tweede artikel bevat en ‘niet-aansprakelijkheidsclausule’, bedoeld voor situaties waarin sprake is van een sanctieovertreding, maar de betrokkene niet wist of geen reden had te vermoeden dat inbreuk werd gemaakt op enig onderdeel van de EU-verordening. De bedoeling is in beide gevallen om partijen te beschermen die te goeder trouw handelden. Ook deze type bepalingen hoeven niet in nationale wetgeving te worden opgenomen. Ze zijn rechtsreeks van toepassing op basis van de betreffende EU-verordeningen.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 xml:space="preserve">Artikel 1.38 </w:t>
      </w:r>
      <w:proofErr w:type="spellStart"/>
      <w:r w:rsidRPr="0053654A">
        <w:rPr>
          <w:rFonts w:ascii="Palatino Linotype" w:eastAsia="Palatino Linotype" w:hAnsi="Palatino Linotype" w:cs="Palatino Linotype"/>
          <w:i/>
          <w:snapToGrid/>
          <w:sz w:val="22"/>
          <w:szCs w:val="22"/>
          <w:lang w:val="nl-NL"/>
        </w:rPr>
        <w:t>Undue</w:t>
      </w:r>
      <w:proofErr w:type="spellEnd"/>
      <w:r w:rsidRPr="0053654A">
        <w:rPr>
          <w:rFonts w:ascii="Palatino Linotype" w:eastAsia="Palatino Linotype" w:hAnsi="Palatino Linotype" w:cs="Palatino Linotype"/>
          <w:i/>
          <w:snapToGrid/>
          <w:sz w:val="22"/>
          <w:szCs w:val="22"/>
          <w:lang w:val="nl-NL"/>
        </w:rPr>
        <w:t xml:space="preserve"> delay</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Het voorkomen van “</w:t>
      </w:r>
      <w:proofErr w:type="spellStart"/>
      <w:r w:rsidRPr="0053654A">
        <w:rPr>
          <w:rFonts w:ascii="Palatino Linotype" w:eastAsia="Palatino Linotype" w:hAnsi="Palatino Linotype" w:cs="Palatino Linotype"/>
          <w:snapToGrid/>
          <w:sz w:val="22"/>
          <w:szCs w:val="22"/>
          <w:lang w:val="nl-NL"/>
        </w:rPr>
        <w:t>undue</w:t>
      </w:r>
      <w:proofErr w:type="spellEnd"/>
      <w:r w:rsidRPr="0053654A">
        <w:rPr>
          <w:rFonts w:ascii="Palatino Linotype" w:eastAsia="Palatino Linotype" w:hAnsi="Palatino Linotype" w:cs="Palatino Linotype"/>
          <w:snapToGrid/>
          <w:sz w:val="22"/>
          <w:szCs w:val="22"/>
          <w:lang w:val="nl-NL"/>
        </w:rPr>
        <w:t xml:space="preserve"> delay” is van belang in de handhaving en strafbaarstelling van bepaalde beperkende maatregelen van de VN-Veiligheidsraad. De bedoelde beperkende maatregelen van de VN-Veiligheidsraad zijn het bevriezen van tegoeden of economische middelen dan wel een verbod tot het verrichten van financiële diensten, waarop een in Hoofdstuk I van dit landsbesluit genoemde verordening van de Europese Unie betrekking heeft. Voorkomen moet worden dat financiële middelen worden weggesluisd na bekendmaking van VN-sancties jegens een persoon of entiteit, doch vóór de aanpassing van de EU-wetgeving. Ter </w:t>
      </w:r>
      <w:r w:rsidRPr="0053654A">
        <w:rPr>
          <w:rFonts w:ascii="Palatino Linotype" w:eastAsia="Palatino Linotype" w:hAnsi="Palatino Linotype" w:cs="Palatino Linotype"/>
          <w:snapToGrid/>
          <w:sz w:val="22"/>
          <w:szCs w:val="22"/>
          <w:lang w:val="nl-NL"/>
        </w:rPr>
        <w:lastRenderedPageBreak/>
        <w:t xml:space="preserve">overbrugging van het tijdvak tussen VN-Veiligheidsraad-besluitvorming en EU-implementatie stelt artikel 1.38 van dit landsbesluit overtreding van beperkende maatregelen strafbaar in samenhang met de in Hoofdstuk I van dit landsbesluit genoemde verwijzing naar artikelen in de EU-Verordening. </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Hoofdstuk II Bevoegde autoriteiten</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Door het aanwijzen van de bevoegde autoriteit staat buiten twijfel welke autoriteit  belast is met de uitoefening van specifieke bevoegdheden waar een verordening in kan voorzien. Te denken valt aan het toestaan van bepaalde handelstransacties of het verlenen van een ontheffing in het kader van financiële sancties. De artikelen 2.1 tot en met 2.5 wijzen de bevoegde autoriteiten aan. Daar waar in dit landsbesluit wordt gesproken van “de minister”, wordt daarmee de Minister van Algemene Zaken bedoeld en daar waar staat “ministers” wordt bedoeld de Minister van Algemene Zaken en de minister die het mede aangaat tezamen. Dit vloeit voort uit de definitiebepaling zoals te vinden in artikel 1, onderdelen c en d, van de Sanctielandsverordening. </w:t>
      </w: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Ontheffingen en vergunningen</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sanctieverordeningen voorzien in een aantal uitzonderingen van de financiële sancties. Deze afwijkingen maken het mogelijk bevroren tegoeden of economische middelen vrij te geven en/of tegoeden of economische middelen beschikbaar te stellen aan op de lijst geplaatste personen. Daartoe kan door de aangewezen nationale autoriteit  toestemming worden gegeven. Deze kan slechts onder strikte en specifieke voorwaarden worden verleend: </w:t>
      </w:r>
      <w:r w:rsidRPr="0053654A">
        <w:rPr>
          <w:rFonts w:ascii="Palatino Linotype" w:eastAsia="Palatino Linotype" w:hAnsi="Palatino Linotype" w:cs="Palatino Linotype"/>
          <w:snapToGrid/>
          <w:sz w:val="22"/>
          <w:szCs w:val="22"/>
          <w:vertAlign w:val="superscript"/>
          <w:lang w:val="nl-NL"/>
        </w:rPr>
        <w:footnoteReference w:id="18"/>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p>
    <w:p w:rsidR="0053654A" w:rsidRPr="0053654A" w:rsidRDefault="0053654A" w:rsidP="0053654A">
      <w:pPr>
        <w:widowControl/>
        <w:jc w:val="both"/>
        <w:rPr>
          <w:rFonts w:ascii="Palatino Linotype" w:eastAsia="Palatino Linotype" w:hAnsi="Palatino Linotype" w:cs="Palatino Linotype"/>
          <w:i/>
          <w:snapToGrid/>
          <w:sz w:val="22"/>
          <w:szCs w:val="22"/>
          <w:u w:val="single"/>
          <w:lang w:val="nl-NL"/>
        </w:rPr>
      </w:pPr>
      <w:r w:rsidRPr="0053654A">
        <w:rPr>
          <w:rFonts w:ascii="Palatino Linotype" w:eastAsia="Palatino Linotype" w:hAnsi="Palatino Linotype" w:cs="Palatino Linotype"/>
          <w:i/>
          <w:snapToGrid/>
          <w:sz w:val="22"/>
          <w:szCs w:val="22"/>
          <w:u w:val="single"/>
          <w:lang w:val="nl-NL"/>
        </w:rPr>
        <w:t xml:space="preserve">- Specifieke behoeften: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indien de vrijgave of beschikbaarstelling van tegoeden of economische middelen noodzakelijk is om te voorzien in de basisbehoeften van een op de lijst geplaatste persoon en leden van het gezin van deze natuurlijke personen die van hen afhankelijk zijn, met inbegrip van betalingen voor levensmiddelen, huur of hypotheeklasten, geneesmiddelen of geneeskundige behandelingen, belastingen, verzekeringspremies of nutsvoorzieningen; ter dekking van juridische kosten of buitengewone lasten van de op de lijst geplaatste persoon; voor het routinematig aanhouden of beheren van bevroren tegoeden of economische middelen; of om te worden gebruikt voor de officiële doelen van een diplomatieke of consulaire missie of een internationale organisatie die bescherming geniet op grond van het internationaal recht;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p>
    <w:p w:rsidR="0053654A" w:rsidRPr="0053654A" w:rsidRDefault="0053654A" w:rsidP="0053654A">
      <w:pPr>
        <w:widowControl/>
        <w:jc w:val="both"/>
        <w:rPr>
          <w:rFonts w:ascii="Palatino Linotype" w:eastAsia="Palatino Linotype" w:hAnsi="Palatino Linotype" w:cs="Palatino Linotype"/>
          <w:i/>
          <w:snapToGrid/>
          <w:sz w:val="22"/>
          <w:szCs w:val="22"/>
          <w:u w:val="single"/>
          <w:lang w:val="nl-NL"/>
        </w:rPr>
      </w:pPr>
      <w:r w:rsidRPr="0053654A">
        <w:rPr>
          <w:rFonts w:ascii="Palatino Linotype" w:eastAsia="Palatino Linotype" w:hAnsi="Palatino Linotype" w:cs="Palatino Linotype"/>
          <w:i/>
          <w:snapToGrid/>
          <w:sz w:val="22"/>
          <w:szCs w:val="22"/>
          <w:u w:val="single"/>
          <w:lang w:val="nl-NL"/>
        </w:rPr>
        <w:t xml:space="preserve">- Humanitaire hulp: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indien het verstrekken van die tegoeden of economische middelen noodzakelijk is voor humanitaire doeleinden, zoals de verlening van hulp of het vergemakkelijken daarvan, met inbegrip van medische benodigdheden, levensmiddelen, of de overbrenging van humanitaire hulpverleners en daarmee verband houdende hulp, of bijstand voor evacuaties;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p>
    <w:p w:rsidR="0053654A" w:rsidRPr="0053654A" w:rsidRDefault="0053654A" w:rsidP="0053654A">
      <w:pPr>
        <w:widowControl/>
        <w:jc w:val="both"/>
        <w:rPr>
          <w:rFonts w:ascii="Palatino Linotype" w:eastAsia="Palatino Linotype" w:hAnsi="Palatino Linotype" w:cs="Palatino Linotype"/>
          <w:i/>
          <w:snapToGrid/>
          <w:sz w:val="22"/>
          <w:szCs w:val="22"/>
          <w:u w:val="single"/>
          <w:lang w:val="nl-NL"/>
        </w:rPr>
      </w:pPr>
      <w:r w:rsidRPr="0053654A">
        <w:rPr>
          <w:rFonts w:ascii="Palatino Linotype" w:eastAsia="Palatino Linotype" w:hAnsi="Palatino Linotype" w:cs="Palatino Linotype"/>
          <w:i/>
          <w:snapToGrid/>
          <w:sz w:val="22"/>
          <w:szCs w:val="22"/>
          <w:u w:val="single"/>
          <w:lang w:val="nl-NL"/>
        </w:rPr>
        <w:t xml:space="preserve">- Beslissingen: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indien de vrijgave van bevroren tegoeden of economische middelen is voorgeschreven door bepaalde soorten arbitrale, rechterlijke of administratieve beslissingen die zijn gegeven vóór of </w:t>
      </w:r>
      <w:r w:rsidRPr="0053654A">
        <w:rPr>
          <w:rFonts w:ascii="Palatino Linotype" w:eastAsia="Palatino Linotype" w:hAnsi="Palatino Linotype" w:cs="Palatino Linotype"/>
          <w:snapToGrid/>
          <w:sz w:val="22"/>
          <w:szCs w:val="22"/>
          <w:lang w:val="nl-NL"/>
        </w:rPr>
        <w:lastRenderedPageBreak/>
        <w:t xml:space="preserve">in bepaalde gevallen na de oplegging van de sancties, alleen als de beslissing niet tot voordeel strekt van een op de lijst geplaatste persoon en de erkenning van de beslissing niet in strijd is met de openbare orde van de betrokken lidstaat;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i/>
          <w:snapToGrid/>
          <w:sz w:val="22"/>
          <w:szCs w:val="22"/>
          <w:u w:val="single"/>
          <w:lang w:val="nl-NL"/>
        </w:rPr>
        <w:t>- Eerdere contracten:</w:t>
      </w:r>
      <w:r w:rsidRPr="0053654A">
        <w:rPr>
          <w:rFonts w:ascii="Palatino Linotype" w:eastAsia="Palatino Linotype" w:hAnsi="Palatino Linotype" w:cs="Palatino Linotype"/>
          <w:snapToGrid/>
          <w:sz w:val="22"/>
          <w:szCs w:val="22"/>
          <w:lang w:val="nl-NL"/>
        </w:rPr>
        <w:t xml:space="preserve"> </w:t>
      </w:r>
    </w:p>
    <w:p w:rsidR="0053654A" w:rsidRPr="0053654A" w:rsidRDefault="0053654A" w:rsidP="0053654A">
      <w:pPr>
        <w:widowControl/>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indien een betaling verschuldigd is op grond van een contract dat of overeenkomst die is gesloten of een verplichting die is ontstaan vóór de datum waarop de op de lijst geplaatste persoon in bijlage IV is opgenomen, mits de tegoeden of economische middelen zullen worden gebruikt voor een betaling door een op de lijst geplaatste persoon en de betaling niet ter beschikking wordt gesteld aan of tot voordeel strekt van een op de lijst geplaatste persoon. Een ontheffing of vergunning is een beschikking waartegen bezwaar en beroep open staan. De bezwaar- en beroepsprocedure zoals omschreven in de Landsverordening administratieve rechtspraak zijn van toepassing. Hierbij geldt dat de invulling van wat als “redelijke termijn” moet worden aangemerkt, af dient te hangen van het belang van de belanghebbende. </w:t>
      </w:r>
    </w:p>
    <w:p w:rsidR="0053654A" w:rsidRPr="0053654A" w:rsidRDefault="0053654A" w:rsidP="0053654A">
      <w:pPr>
        <w:widowControl/>
        <w:jc w:val="both"/>
        <w:rPr>
          <w:rFonts w:ascii="Palatino Linotype" w:eastAsia="Palatino Linotype" w:hAnsi="Palatino Linotype" w:cs="Palatino Linotype"/>
          <w:i/>
          <w:snapToGrid/>
          <w:sz w:val="22"/>
          <w:szCs w:val="22"/>
          <w:lang w:val="nl-NL"/>
        </w:rPr>
      </w:pPr>
      <w:bookmarkStart w:id="10" w:name="_3dy6vkm" w:colFirst="0" w:colLast="0"/>
      <w:bookmarkEnd w:id="10"/>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 xml:space="preserve">Hoofdstuk III Wapenembargo’s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Indien het sanctieregime jegens een land onder andere bestaat uit een wapenembargo, dan dient het wapenembargo tevens te worden opgenomen in de sanctieregeling zelf. Het verbod om wapens te leveren betreft een norm die immers ook gericht is tot particulieren. De wapenembargo’s zijn per land, dan wel entiteit opgenomen in Hoofdstuk III. Artikel 3.1 omvat het standaardverbod, met per onderdeel het land dan wel entiteit waar het verbod voor geldt. De navolgende artikelen omvatten per land of entiteit de uitzonderingen op het verbod uit artikel 3.1.</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bookmarkStart w:id="11" w:name="_Hlk196920321"/>
      <w:r w:rsidRPr="0053654A">
        <w:rPr>
          <w:rFonts w:ascii="Palatino Linotype" w:eastAsia="Palatino Linotype" w:hAnsi="Palatino Linotype" w:cs="Palatino Linotype"/>
          <w:i/>
          <w:snapToGrid/>
          <w:sz w:val="22"/>
          <w:szCs w:val="22"/>
          <w:lang w:val="nl-NL"/>
        </w:rPr>
        <w:t>Nationale terrorismesancties in Hoofdstuk IV</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Ter uitvoering van Resolutie 1373 van de Veiligheidsraad van 28 september 2001 en het Gemeenschappelijk Standpunt van de Raad van de Europese Unie van 27 december 2001 (2001/930/GBVB) inzake terrorismebestrijding kunnen personen of organisaties op nationale terrorismelijsten worden geplaatst. Plaatsing op een nationale lijst kan aan de orde komen als de persoon of organisatie </w:t>
      </w:r>
      <w:bookmarkStart w:id="12" w:name="_Hlk197350249"/>
      <w:r w:rsidRPr="0053654A">
        <w:rPr>
          <w:rFonts w:ascii="Palatino Linotype" w:eastAsia="Palatino Linotype" w:hAnsi="Palatino Linotype" w:cs="Palatino Linotype"/>
          <w:snapToGrid/>
          <w:sz w:val="22"/>
          <w:szCs w:val="22"/>
          <w:lang w:val="nl-NL"/>
        </w:rPr>
        <w:t xml:space="preserve">als dader of facilitator niet voorkomt op de VN-lijst, maar wel betrokken is bij terroristische activiteiten en op grond van nationaliteit, woonplaats/vestigingsplaats of activiteiten </w:t>
      </w:r>
      <w:bookmarkEnd w:id="12"/>
      <w:r w:rsidRPr="0053654A">
        <w:rPr>
          <w:rFonts w:ascii="Palatino Linotype" w:eastAsia="Palatino Linotype" w:hAnsi="Palatino Linotype" w:cs="Palatino Linotype"/>
          <w:snapToGrid/>
          <w:sz w:val="22"/>
          <w:szCs w:val="22"/>
          <w:lang w:val="nl-NL"/>
        </w:rPr>
        <w:t>banden heeft met Curaçao.</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Een aanwijzing brengt mee dat betrokkenen - behoudens ontheffing - geen financiële transacties mogen verrichten en dat aan hen geen middelen ter beschikking mogen worden gesteld.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definities van middelen, bevriezing van middelen en financiële diensten zijn opgenomen in artikel 4.1 en zijn ontleend aan en hebben dezelfde betekenis als de omschrijvingen in artikel 1 van Verordening (EG) nr. 2580/2001</w:t>
      </w:r>
      <w:r w:rsidRPr="0053654A">
        <w:rPr>
          <w:rFonts w:ascii="Palatino Linotype" w:eastAsia="Palatino Linotype" w:hAnsi="Palatino Linotype" w:cs="Palatino Linotype"/>
          <w:snapToGrid/>
          <w:sz w:val="22"/>
          <w:szCs w:val="22"/>
          <w:vertAlign w:val="superscript"/>
          <w:lang w:val="nl-NL"/>
        </w:rPr>
        <w:footnoteReference w:id="19"/>
      </w:r>
      <w:r w:rsidRPr="0053654A">
        <w:rPr>
          <w:rFonts w:ascii="Palatino Linotype" w:eastAsia="Palatino Linotype" w:hAnsi="Palatino Linotype" w:cs="Palatino Linotype"/>
          <w:snapToGrid/>
          <w:sz w:val="22"/>
          <w:szCs w:val="22"/>
          <w:lang w:val="nl-NL"/>
        </w:rPr>
        <w:t xml:space="preserve">.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Artikel 4.2 bepaalt dat de personen en organisaties jegens wie de sancties van toepassing zijn, door middel van een afzonderlijk besluit worden aangewezen. Van de totstandkoming van een aanwijzingsbesluit wordt mededeling gedaan in het blad waarin van Landswege officiële berichten worden geplaatst, oftewel de Landscourant, zodat de kenbaarheid daarvan voor alle </w:t>
      </w:r>
      <w:r w:rsidRPr="0053654A">
        <w:rPr>
          <w:rFonts w:ascii="Palatino Linotype" w:eastAsia="Palatino Linotype" w:hAnsi="Palatino Linotype" w:cs="Palatino Linotype"/>
          <w:snapToGrid/>
          <w:sz w:val="22"/>
          <w:szCs w:val="22"/>
          <w:lang w:val="nl-NL"/>
        </w:rPr>
        <w:lastRenderedPageBreak/>
        <w:t xml:space="preserve">personen, bedrijven en diensten die financiële of economische relaties met betrokkene onderhouden of kunnen onderhouden gewaarborgd is. De gronden voor de totstandkoming van het aanwijzingsbesluit worden uit oogpunt van privacy uitsluitend aan de betrokken persoon of organisatie zelf bekendgemaakt. Door middel van het vierde en vijfde lid wordt de overtreding strafbaar gesteld van de financiële sancties die gelden ten aanzien van de personen en organisaties die op grond van de (Nederlandse) Sanctieregeling terrorisme 2007-II zijn aangewezen.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Artikel 4.3 vormt de koppeling tussen de Nederlandse nationale lijst met die van Curaçao en de andere landen van het Koninkrijk. Op deze wijze geldt in het Koninkrijk dezelfde lijst. </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De artikelen 4.4 tot en met 4.6 bevatten bepalingen over de Commissie aanwijzing personen en organisaties. Deze commissie is ingericht om de aanwijzingsbevoegdheid in goede banen te leiden en met de juiste waarborgen te omkleden. De wettelijke grondslag voor het aanwijzen van personen of organisaties en plaatsing op de nationale lijst, is artikel 1, juncto artikel 2, van de Rijkssanctiewet. Hieruit volgt immers </w:t>
      </w:r>
      <w:bookmarkStart w:id="13" w:name="_Hlk197349658"/>
      <w:r w:rsidRPr="0053654A">
        <w:rPr>
          <w:rFonts w:ascii="Palatino Linotype" w:eastAsia="Palatino Linotype" w:hAnsi="Palatino Linotype" w:cs="Palatino Linotype"/>
          <w:snapToGrid/>
          <w:sz w:val="22"/>
          <w:szCs w:val="22"/>
          <w:lang w:val="nl-NL"/>
        </w:rPr>
        <w:t xml:space="preserve">dat Curaçao is gehouden alle noodzakelijke voorzieningen te treffen ter uitvoering van bindende EU-rechtshandelingen op voet van artikel 215, eerste en tweede lid, van het Verdrag betreffende de werking van de Europese Unie, vastgesteld in het kader van het Gemeenschappelijk Buitenlands en Veiligheidsbeleid van de Europese Unie. Het instellen van een commissie om aanwijzingsbesluiten vast te stellen betreft de uitvoering van deze internationale verplichtingen. </w:t>
      </w:r>
      <w:bookmarkEnd w:id="13"/>
      <w:r w:rsidRPr="0053654A">
        <w:rPr>
          <w:rFonts w:ascii="Palatino Linotype" w:eastAsia="Palatino Linotype" w:hAnsi="Palatino Linotype" w:cs="Palatino Linotype"/>
          <w:snapToGrid/>
          <w:sz w:val="22"/>
          <w:szCs w:val="22"/>
          <w:lang w:val="nl-NL"/>
        </w:rPr>
        <w:t>Voor een deel was deze materie tot nu toe geregeld in het Sanctiebesluit Al-Qaida c.s., de Taliban van Afghanistan c.s., ISIL c.s., ANF c.s. en lokaal aan te wijzen personen en organisaties</w:t>
      </w:r>
      <w:r w:rsidRPr="0053654A">
        <w:rPr>
          <w:rFonts w:ascii="Palatino Linotype" w:eastAsia="Palatino Linotype" w:hAnsi="Palatino Linotype" w:cs="Palatino Linotype"/>
          <w:snapToGrid/>
          <w:sz w:val="22"/>
          <w:szCs w:val="22"/>
          <w:vertAlign w:val="superscript"/>
          <w:lang w:val="nl-NL"/>
        </w:rPr>
        <w:footnoteReference w:id="20"/>
      </w:r>
      <w:r w:rsidRPr="0053654A">
        <w:rPr>
          <w:rFonts w:ascii="Palatino Linotype" w:eastAsia="Palatino Linotype" w:hAnsi="Palatino Linotype" w:cs="Palatino Linotype"/>
          <w:snapToGrid/>
          <w:sz w:val="22"/>
          <w:szCs w:val="22"/>
          <w:lang w:val="nl-NL"/>
        </w:rPr>
        <w:t>. Nu dit landsbesluit, houdende algemene maatregelen, wordt ingetrokken, zijn de nog geldende relevante bepalingen uit dit besluit ook overgenomen in hoofdstuk IV. Ter uitvoering van artikel 13 van dat landsbesluit is bij ministeriële beschikking van de 8</w:t>
      </w:r>
      <w:r w:rsidRPr="0053654A">
        <w:rPr>
          <w:rFonts w:ascii="Palatino Linotype" w:eastAsia="Palatino Linotype" w:hAnsi="Palatino Linotype" w:cs="Palatino Linotype"/>
          <w:snapToGrid/>
          <w:sz w:val="22"/>
          <w:szCs w:val="22"/>
          <w:vertAlign w:val="superscript"/>
          <w:lang w:val="nl-NL"/>
        </w:rPr>
        <w:t>ste</w:t>
      </w:r>
      <w:r w:rsidRPr="0053654A">
        <w:rPr>
          <w:rFonts w:ascii="Palatino Linotype" w:eastAsia="Palatino Linotype" w:hAnsi="Palatino Linotype" w:cs="Palatino Linotype"/>
          <w:snapToGrid/>
          <w:sz w:val="22"/>
          <w:szCs w:val="22"/>
          <w:lang w:val="nl-NL"/>
        </w:rPr>
        <w:t xml:space="preserve"> juli 2016 een Commissie aanwijzing personen en organisaties ingesteld. Omdat het genoemde landsbesluit wordt ingetrokken, worden de bepalingen over de Commissie aanwijzingen personen en organisaties integraal overgenomen in dit landsbesluit in de artikelen 4.4 tot en met 4.6. De Commissie zal ten aanzien van haar werkwijze zo spoedig mogelijk na de inwerkingtreding van dit landsbesluit een procedure vaststellen voor de totstandkoming van een aanwijzingsbesluit. Deze procedure wordt in de Landscourant bekendgemaakt. Ook een aanwijzingsbesluit is een beschikking, waarvoor de gebruikelijke bezwaar- en beroepsprocedure gelden zoals omschreven in de Landsverordening administratieve rechtspraak.</w:t>
      </w:r>
      <w:r w:rsidRPr="0053654A">
        <w:rPr>
          <w:rFonts w:ascii="Times New Roman" w:hAnsi="Times New Roman"/>
          <w:snapToGrid/>
          <w:sz w:val="20"/>
          <w:lang w:val="nl-NL"/>
        </w:rPr>
        <w:t xml:space="preserve"> </w:t>
      </w:r>
      <w:r w:rsidRPr="0053654A">
        <w:rPr>
          <w:rFonts w:ascii="Palatino Linotype" w:eastAsia="Palatino Linotype" w:hAnsi="Palatino Linotype" w:cs="Palatino Linotype"/>
          <w:snapToGrid/>
          <w:sz w:val="22"/>
          <w:szCs w:val="22"/>
          <w:lang w:val="nl-NL"/>
        </w:rPr>
        <w:t xml:space="preserve">Hierbij geldt dat de invulling van wat als redelijke termijn moet worden aangemerkt, afhangt van het belang van de belanghebbende. </w:t>
      </w:r>
    </w:p>
    <w:bookmarkEnd w:id="11"/>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p>
    <w:p w:rsidR="0053654A" w:rsidRPr="0053654A" w:rsidRDefault="0053654A" w:rsidP="0053654A">
      <w:pPr>
        <w:widowControl/>
        <w:contextualSpacing/>
        <w:jc w:val="both"/>
        <w:rPr>
          <w:rFonts w:ascii="Palatino Linotype" w:eastAsia="Palatino Linotype" w:hAnsi="Palatino Linotype" w:cs="Palatino Linotype"/>
          <w:i/>
          <w:snapToGrid/>
          <w:sz w:val="22"/>
          <w:szCs w:val="22"/>
          <w:lang w:val="nl-NL"/>
        </w:rPr>
      </w:pPr>
      <w:r w:rsidRPr="0053654A">
        <w:rPr>
          <w:rFonts w:ascii="Palatino Linotype" w:eastAsia="Palatino Linotype" w:hAnsi="Palatino Linotype" w:cs="Palatino Linotype"/>
          <w:i/>
          <w:snapToGrid/>
          <w:sz w:val="22"/>
          <w:szCs w:val="22"/>
          <w:lang w:val="nl-NL"/>
        </w:rPr>
        <w:t>Artikel 6.1</w:t>
      </w:r>
    </w:p>
    <w:p w:rsidR="0053654A" w:rsidRPr="0053654A" w:rsidRDefault="0053654A" w:rsidP="0053654A">
      <w:pPr>
        <w:widowControl/>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 xml:space="preserve">Bij de inwerkingtreding van dit landsbesluit is geen toepassing gegeven aan Artikel 6, eerste lid, van de Sanctielandsverordening. De landsbesluit voorziet immers in de vervanging van de Omnibus-Sanctieregeling Curaçao. Deze regeling is door de werking van artikel 8  van de Sanctielandsverordening vervallen., niet van toepassing is op dit landsbesluit, houdende algemene maatregelen, aangezien er reeds bij ministeriële regeling met algemene werking spoedeisende maatregelen zijn genomen, echter is deze. De spoedeisendheid van de uitvoering van internationale verplichtingen verzet zich echter tegen een vertraagde inwerkingtreding en is </w:t>
      </w:r>
      <w:r w:rsidRPr="0053654A">
        <w:rPr>
          <w:rFonts w:ascii="Palatino Linotype" w:eastAsia="Palatino Linotype" w:hAnsi="Palatino Linotype" w:cs="Palatino Linotype"/>
          <w:snapToGrid/>
          <w:sz w:val="22"/>
          <w:szCs w:val="22"/>
          <w:lang w:val="nl-NL"/>
        </w:rPr>
        <w:lastRenderedPageBreak/>
        <w:t>de inwerkingtreding gesteld op de dag na bekendmaking. De memorie van toelichting bij artikel 6 van de Sanctielandsverordening ondersteunt dit uitgangspunt.</w:t>
      </w: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53654A" w:rsidRPr="0053654A" w:rsidRDefault="0053654A" w:rsidP="0053654A">
      <w:pPr>
        <w:widowControl/>
        <w:tabs>
          <w:tab w:val="left" w:pos="4590"/>
        </w:tabs>
        <w:ind w:firstLine="5130"/>
        <w:contextualSpacing/>
        <w:jc w:val="both"/>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De Minister van Algemene Zaken,</w:t>
      </w:r>
    </w:p>
    <w:p w:rsidR="0053654A" w:rsidRPr="0053654A" w:rsidRDefault="0053654A" w:rsidP="0053654A">
      <w:pPr>
        <w:autoSpaceDE w:val="0"/>
        <w:autoSpaceDN w:val="0"/>
        <w:ind w:left="5130" w:right="850"/>
        <w:jc w:val="center"/>
        <w:rPr>
          <w:rFonts w:ascii="Palatino Linotype" w:eastAsia="Palatino Linotype" w:hAnsi="Palatino Linotype" w:cs="Palatino Linotype"/>
          <w:snapToGrid/>
          <w:sz w:val="22"/>
          <w:szCs w:val="22"/>
          <w:lang w:val="nl-NL"/>
        </w:rPr>
      </w:pPr>
      <w:r w:rsidRPr="0053654A">
        <w:rPr>
          <w:rFonts w:ascii="Palatino Linotype" w:eastAsia="Palatino Linotype" w:hAnsi="Palatino Linotype" w:cs="Palatino Linotype"/>
          <w:snapToGrid/>
          <w:sz w:val="22"/>
          <w:szCs w:val="22"/>
          <w:lang w:val="nl-NL"/>
        </w:rPr>
        <w:t>G.S. PISAS</w:t>
      </w:r>
    </w:p>
    <w:p w:rsidR="0053654A" w:rsidRPr="0053654A" w:rsidRDefault="0053654A" w:rsidP="0053654A">
      <w:pPr>
        <w:tabs>
          <w:tab w:val="left" w:pos="3330"/>
        </w:tabs>
        <w:ind w:right="7685"/>
        <w:contextualSpacing/>
        <w:jc w:val="center"/>
        <w:rPr>
          <w:rFonts w:ascii="Palatino Linotype" w:eastAsia="Palatino Linotype" w:hAnsi="Palatino Linotype" w:cs="Palatino Linotype"/>
          <w:snapToGrid/>
          <w:sz w:val="22"/>
          <w:szCs w:val="22"/>
          <w:lang w:val="nl-NL"/>
        </w:rPr>
      </w:pPr>
    </w:p>
    <w:p w:rsidR="0053654A" w:rsidRPr="0053654A" w:rsidRDefault="0053654A" w:rsidP="0053654A">
      <w:pPr>
        <w:widowControl/>
        <w:contextualSpacing/>
        <w:rPr>
          <w:rFonts w:ascii="Palatino Linotype" w:eastAsia="Palatino Linotype" w:hAnsi="Palatino Linotype" w:cs="Palatino Linotype"/>
          <w:snapToGrid/>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6"/>
      <w:headerReference w:type="default" r:id="rId17"/>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3654A" w:rsidRPr="00B87522" w:rsidRDefault="0053654A" w:rsidP="0053654A">
      <w:pPr>
        <w:pBdr>
          <w:top w:val="nil"/>
          <w:left w:val="nil"/>
          <w:bottom w:val="nil"/>
          <w:right w:val="nil"/>
          <w:between w:val="nil"/>
        </w:pBdr>
        <w:rPr>
          <w:rFonts w:ascii="Palatino Linotype" w:hAnsi="Palatino Linotype"/>
          <w:color w:val="000000"/>
          <w:sz w:val="18"/>
          <w:szCs w:val="18"/>
          <w:lang w:val="es-ES"/>
        </w:rPr>
      </w:pPr>
      <w:r w:rsidRPr="008A7EE5">
        <w:rPr>
          <w:rFonts w:ascii="Palatino Linotype" w:hAnsi="Palatino Linotype"/>
          <w:sz w:val="18"/>
          <w:szCs w:val="18"/>
          <w:vertAlign w:val="superscript"/>
        </w:rPr>
        <w:footnoteRef/>
      </w:r>
      <w:r w:rsidRPr="00B87522">
        <w:rPr>
          <w:rFonts w:ascii="Palatino Linotype" w:hAnsi="Palatino Linotype"/>
          <w:color w:val="000000"/>
          <w:sz w:val="18"/>
          <w:szCs w:val="18"/>
          <w:lang w:val="es-ES"/>
        </w:rPr>
        <w:t xml:space="preserve"> P.B. 2016, no. 54.</w:t>
      </w:r>
    </w:p>
  </w:footnote>
  <w:footnote w:id="2">
    <w:p w:rsidR="0053654A" w:rsidRPr="00B87522" w:rsidRDefault="0053654A" w:rsidP="0053654A">
      <w:pPr>
        <w:pBdr>
          <w:top w:val="nil"/>
          <w:left w:val="nil"/>
          <w:bottom w:val="nil"/>
          <w:right w:val="nil"/>
          <w:between w:val="nil"/>
        </w:pBdr>
        <w:rPr>
          <w:rFonts w:ascii="Palatino Linotype" w:hAnsi="Palatino Linotype"/>
          <w:color w:val="000000"/>
          <w:sz w:val="18"/>
          <w:szCs w:val="18"/>
          <w:lang w:val="es-ES"/>
        </w:rPr>
      </w:pPr>
      <w:r w:rsidRPr="008A7EE5">
        <w:rPr>
          <w:rFonts w:ascii="Palatino Linotype" w:hAnsi="Palatino Linotype"/>
          <w:sz w:val="18"/>
          <w:szCs w:val="18"/>
          <w:vertAlign w:val="superscript"/>
        </w:rPr>
        <w:footnoteRef/>
      </w:r>
      <w:r w:rsidRPr="00B87522">
        <w:rPr>
          <w:rFonts w:ascii="Palatino Linotype" w:hAnsi="Palatino Linotype"/>
          <w:color w:val="000000"/>
          <w:sz w:val="18"/>
          <w:szCs w:val="18"/>
          <w:lang w:val="es-ES"/>
        </w:rPr>
        <w:t xml:space="preserve"> P.B. 2014, no. 55</w:t>
      </w:r>
      <w:r>
        <w:rPr>
          <w:rFonts w:ascii="Palatino Linotype" w:hAnsi="Palatino Linotype"/>
          <w:color w:val="000000"/>
          <w:sz w:val="18"/>
          <w:szCs w:val="18"/>
          <w:lang w:val="es-ES"/>
        </w:rPr>
        <w:t xml:space="preserve"> G.T</w:t>
      </w:r>
      <w:r w:rsidRPr="00B87522">
        <w:rPr>
          <w:rFonts w:ascii="Palatino Linotype" w:hAnsi="Palatino Linotype"/>
          <w:color w:val="000000"/>
          <w:sz w:val="18"/>
          <w:szCs w:val="18"/>
          <w:lang w:val="es-ES"/>
        </w:rPr>
        <w:t>.</w:t>
      </w:r>
    </w:p>
  </w:footnote>
  <w:footnote w:id="3">
    <w:p w:rsidR="0053654A" w:rsidRPr="0053654A"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nl-NL"/>
        </w:rPr>
      </w:pPr>
      <w:r>
        <w:rPr>
          <w:vertAlign w:val="superscript"/>
        </w:rPr>
        <w:footnoteRef/>
      </w:r>
      <w:r w:rsidRPr="0053654A">
        <w:rPr>
          <w:rFonts w:ascii="Palatino Linotype" w:eastAsia="Palatino Linotype" w:hAnsi="Palatino Linotype" w:cs="Palatino Linotype"/>
          <w:color w:val="000000"/>
          <w:sz w:val="18"/>
          <w:szCs w:val="18"/>
          <w:lang w:val="nl-NL"/>
        </w:rPr>
        <w:t xml:space="preserve"> P.B. 1949, no. 62.</w:t>
      </w:r>
    </w:p>
  </w:footnote>
  <w:footnote w:id="4">
    <w:p w:rsidR="0053654A" w:rsidRPr="0053654A" w:rsidRDefault="0053654A" w:rsidP="0053654A">
      <w:pPr>
        <w:pStyle w:val="FootnoteText"/>
        <w:rPr>
          <w:rFonts w:ascii="Palatino Linotype" w:hAnsi="Palatino Linotype"/>
          <w:sz w:val="18"/>
          <w:szCs w:val="18"/>
          <w:lang w:val="nl-NL"/>
        </w:rPr>
      </w:pPr>
      <w:r w:rsidRPr="009709B3">
        <w:rPr>
          <w:rStyle w:val="FootnoteReference"/>
          <w:rFonts w:ascii="Palatino Linotype" w:hAnsi="Palatino Linotype"/>
          <w:sz w:val="18"/>
          <w:szCs w:val="18"/>
        </w:rPr>
        <w:footnoteRef/>
      </w:r>
      <w:r w:rsidRPr="0053654A">
        <w:rPr>
          <w:rFonts w:ascii="Palatino Linotype" w:hAnsi="Palatino Linotype"/>
          <w:sz w:val="18"/>
          <w:szCs w:val="18"/>
          <w:lang w:val="nl-NL"/>
        </w:rPr>
        <w:t xml:space="preserve"> Verdrag tot verbod van de ontwikkeling, de productie, de aanleg van voorraden en het gebruik van chemische wapens en inzake de vernietiging van deze wapens, </w:t>
      </w:r>
      <w:proofErr w:type="spellStart"/>
      <w:r w:rsidRPr="0053654A">
        <w:rPr>
          <w:rFonts w:ascii="Palatino Linotype" w:hAnsi="Palatino Linotype"/>
          <w:sz w:val="18"/>
          <w:szCs w:val="18"/>
          <w:lang w:val="nl-NL"/>
        </w:rPr>
        <w:t>Trb</w:t>
      </w:r>
      <w:proofErr w:type="spellEnd"/>
      <w:r w:rsidRPr="0053654A">
        <w:rPr>
          <w:rFonts w:ascii="Palatino Linotype" w:hAnsi="Palatino Linotype"/>
          <w:sz w:val="18"/>
          <w:szCs w:val="18"/>
          <w:lang w:val="nl-NL"/>
        </w:rPr>
        <w:t>. 1993, 162.</w:t>
      </w:r>
    </w:p>
  </w:footnote>
  <w:footnote w:id="5">
    <w:p w:rsidR="0053654A" w:rsidRPr="009709B3" w:rsidRDefault="0053654A" w:rsidP="0053654A">
      <w:pPr>
        <w:pStyle w:val="FootnoteText"/>
        <w:rPr>
          <w:rFonts w:ascii="Palatino Linotype" w:hAnsi="Palatino Linotype"/>
          <w:sz w:val="18"/>
          <w:szCs w:val="18"/>
          <w:lang w:val="es-ES"/>
        </w:rPr>
      </w:pPr>
      <w:r w:rsidRPr="009709B3">
        <w:rPr>
          <w:rStyle w:val="FootnoteReference"/>
          <w:rFonts w:ascii="Palatino Linotype" w:hAnsi="Palatino Linotype"/>
          <w:sz w:val="18"/>
          <w:szCs w:val="18"/>
        </w:rPr>
        <w:footnoteRef/>
      </w:r>
      <w:r w:rsidRPr="009709B3">
        <w:rPr>
          <w:rFonts w:ascii="Palatino Linotype" w:hAnsi="Palatino Linotype"/>
          <w:sz w:val="18"/>
          <w:szCs w:val="18"/>
          <w:lang w:val="es-ES"/>
        </w:rPr>
        <w:t xml:space="preserve"> PB 2015, no. 29.</w:t>
      </w:r>
    </w:p>
  </w:footnote>
  <w:footnote w:id="6">
    <w:p w:rsidR="0053654A" w:rsidRPr="009709B3" w:rsidRDefault="0053654A" w:rsidP="0053654A">
      <w:pPr>
        <w:pStyle w:val="FootnoteText"/>
        <w:rPr>
          <w:rFonts w:ascii="Palatino Linotype" w:hAnsi="Palatino Linotype"/>
          <w:sz w:val="18"/>
          <w:szCs w:val="18"/>
          <w:lang w:val="es-ES"/>
        </w:rPr>
      </w:pPr>
      <w:r w:rsidRPr="009709B3">
        <w:rPr>
          <w:rStyle w:val="FootnoteReference"/>
          <w:rFonts w:ascii="Palatino Linotype" w:hAnsi="Palatino Linotype"/>
          <w:sz w:val="18"/>
          <w:szCs w:val="18"/>
        </w:rPr>
        <w:footnoteRef/>
      </w:r>
      <w:r w:rsidRPr="009709B3">
        <w:rPr>
          <w:rFonts w:ascii="Palatino Linotype" w:hAnsi="Palatino Linotype"/>
          <w:sz w:val="18"/>
          <w:szCs w:val="18"/>
          <w:lang w:val="es-ES"/>
        </w:rPr>
        <w:t xml:space="preserve"> PB 2015, no.30.</w:t>
      </w:r>
    </w:p>
  </w:footnote>
  <w:footnote w:id="7">
    <w:p w:rsidR="0053654A" w:rsidRPr="00831209" w:rsidRDefault="0053654A" w:rsidP="0053654A">
      <w:pPr>
        <w:pStyle w:val="FootnoteText"/>
        <w:rPr>
          <w:lang w:val="es-ES"/>
        </w:rPr>
      </w:pPr>
      <w:r w:rsidRPr="009709B3">
        <w:rPr>
          <w:rStyle w:val="FootnoteReference"/>
          <w:rFonts w:ascii="Palatino Linotype" w:hAnsi="Palatino Linotype"/>
          <w:sz w:val="18"/>
          <w:szCs w:val="18"/>
        </w:rPr>
        <w:footnoteRef/>
      </w:r>
      <w:r w:rsidRPr="009709B3">
        <w:rPr>
          <w:rFonts w:ascii="Palatino Linotype" w:hAnsi="Palatino Linotype"/>
          <w:sz w:val="18"/>
          <w:szCs w:val="18"/>
          <w:lang w:val="es-ES"/>
        </w:rPr>
        <w:t xml:space="preserve"> PB 2017, no.46.</w:t>
      </w:r>
    </w:p>
  </w:footnote>
  <w:footnote w:id="8">
    <w:p w:rsidR="0053654A" w:rsidRPr="00831209"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es-ES"/>
        </w:rPr>
      </w:pPr>
      <w:r>
        <w:rPr>
          <w:vertAlign w:val="superscript"/>
        </w:rPr>
        <w:footnoteRef/>
      </w:r>
      <w:r w:rsidRPr="00831209">
        <w:rPr>
          <w:rFonts w:ascii="Palatino Linotype" w:eastAsia="Palatino Linotype" w:hAnsi="Palatino Linotype" w:cs="Palatino Linotype"/>
          <w:color w:val="000000"/>
          <w:sz w:val="18"/>
          <w:szCs w:val="18"/>
          <w:lang w:val="es-ES"/>
        </w:rPr>
        <w:t xml:space="preserve"> P.B. 2016, no. 54.</w:t>
      </w:r>
    </w:p>
  </w:footnote>
  <w:footnote w:id="9">
    <w:p w:rsidR="0053654A" w:rsidRPr="00594F9C"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es-ES"/>
        </w:rPr>
      </w:pPr>
      <w:r>
        <w:rPr>
          <w:vertAlign w:val="superscript"/>
        </w:rPr>
        <w:footnoteRef/>
      </w:r>
      <w:r w:rsidRPr="00594F9C">
        <w:rPr>
          <w:rFonts w:ascii="Palatino Linotype" w:eastAsia="Palatino Linotype" w:hAnsi="Palatino Linotype" w:cs="Palatino Linotype"/>
          <w:color w:val="000000"/>
          <w:sz w:val="18"/>
          <w:szCs w:val="18"/>
          <w:lang w:val="es-ES"/>
        </w:rPr>
        <w:t xml:space="preserve"> P.B. 2014, no. 55 (G.T.).</w:t>
      </w:r>
    </w:p>
  </w:footnote>
  <w:footnote w:id="10">
    <w:p w:rsidR="0053654A" w:rsidRPr="0053654A" w:rsidRDefault="0053654A" w:rsidP="0053654A">
      <w:pPr>
        <w:pStyle w:val="FootnoteText"/>
        <w:rPr>
          <w:lang w:val="nl-NL"/>
        </w:rPr>
      </w:pPr>
      <w:r w:rsidRPr="00061709">
        <w:rPr>
          <w:rStyle w:val="FootnoteReference"/>
          <w:rFonts w:ascii="Palatino Linotype" w:hAnsi="Palatino Linotype"/>
          <w:sz w:val="18"/>
          <w:szCs w:val="18"/>
        </w:rPr>
        <w:footnoteRef/>
      </w:r>
      <w:r w:rsidRPr="0053654A">
        <w:rPr>
          <w:rFonts w:ascii="Palatino Linotype" w:hAnsi="Palatino Linotype"/>
          <w:sz w:val="18"/>
          <w:szCs w:val="18"/>
          <w:lang w:val="nl-NL"/>
        </w:rPr>
        <w:t xml:space="preserve"> </w:t>
      </w:r>
      <w:r w:rsidRPr="0053654A">
        <w:rPr>
          <w:rFonts w:ascii="Palatino Linotype" w:eastAsia="Palatino Linotype" w:hAnsi="Palatino Linotype" w:cs="Palatino Linotype"/>
          <w:color w:val="000000"/>
          <w:sz w:val="18"/>
          <w:szCs w:val="18"/>
          <w:lang w:val="nl-NL"/>
        </w:rPr>
        <w:t>P.B. 2024, no. 22.</w:t>
      </w:r>
    </w:p>
  </w:footnote>
  <w:footnote w:id="11">
    <w:p w:rsidR="0053654A" w:rsidRPr="0053654A" w:rsidRDefault="0053654A" w:rsidP="0053654A">
      <w:pPr>
        <w:pStyle w:val="FootnoteText"/>
        <w:rPr>
          <w:rFonts w:ascii="Palatino Linotype" w:eastAsia="Palatino Linotype" w:hAnsi="Palatino Linotype" w:cs="Palatino Linotype"/>
          <w:color w:val="000000"/>
          <w:sz w:val="18"/>
          <w:szCs w:val="18"/>
          <w:lang w:val="nl-NL"/>
        </w:rPr>
      </w:pPr>
      <w:r>
        <w:rPr>
          <w:rStyle w:val="FootnoteReference"/>
        </w:rPr>
        <w:footnoteRef/>
      </w:r>
      <w:r w:rsidRPr="0053654A">
        <w:rPr>
          <w:lang w:val="nl-NL"/>
        </w:rPr>
        <w:t xml:space="preserve"> </w:t>
      </w:r>
      <w:r w:rsidRPr="0053654A">
        <w:rPr>
          <w:rFonts w:ascii="Palatino Linotype" w:eastAsia="Palatino Linotype" w:hAnsi="Palatino Linotype" w:cs="Palatino Linotype"/>
          <w:color w:val="000000"/>
          <w:sz w:val="18"/>
          <w:szCs w:val="18"/>
          <w:lang w:val="nl-NL"/>
        </w:rPr>
        <w:t>De wetgevingsprocedure om onderhavig besluit tot stand te brengen heeft langer geduurd dan de datum waarop de  Omnibus-Sanctieregeling Curaçao is vervallen. Desalniettemin bevat dit Omnibus-Sanctiebesluit de omzetting van deze ministeriële regeling.</w:t>
      </w:r>
    </w:p>
  </w:footnote>
  <w:footnote w:id="12">
    <w:p w:rsidR="0053654A" w:rsidRPr="00D260DC"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es-ES"/>
        </w:rPr>
      </w:pPr>
      <w:r>
        <w:rPr>
          <w:vertAlign w:val="superscript"/>
        </w:rPr>
        <w:footnoteRef/>
      </w:r>
      <w:r w:rsidRPr="00D260DC">
        <w:rPr>
          <w:rFonts w:ascii="Palatino Linotype" w:eastAsia="Palatino Linotype" w:hAnsi="Palatino Linotype" w:cs="Palatino Linotype"/>
          <w:color w:val="000000"/>
          <w:sz w:val="18"/>
          <w:szCs w:val="18"/>
          <w:lang w:val="es-ES"/>
        </w:rPr>
        <w:t xml:space="preserve"> P.B. 2015, no. 28.</w:t>
      </w:r>
    </w:p>
  </w:footnote>
  <w:footnote w:id="13">
    <w:p w:rsidR="0053654A" w:rsidRPr="00594F9C"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es-ES"/>
        </w:rPr>
      </w:pPr>
      <w:r>
        <w:rPr>
          <w:vertAlign w:val="superscript"/>
        </w:rPr>
        <w:footnoteRef/>
      </w:r>
      <w:r w:rsidRPr="00594F9C">
        <w:rPr>
          <w:rFonts w:ascii="Palatino Linotype" w:eastAsia="Palatino Linotype" w:hAnsi="Palatino Linotype" w:cs="Palatino Linotype"/>
          <w:color w:val="000000"/>
          <w:sz w:val="18"/>
          <w:szCs w:val="18"/>
          <w:lang w:val="es-ES"/>
        </w:rPr>
        <w:t xml:space="preserve"> P.B. 2015, no. 30.</w:t>
      </w:r>
    </w:p>
  </w:footnote>
  <w:footnote w:id="14">
    <w:p w:rsidR="0053654A" w:rsidRPr="006C2AB0" w:rsidRDefault="0053654A" w:rsidP="0053654A">
      <w:pPr>
        <w:pStyle w:val="FootnoteText"/>
        <w:rPr>
          <w:lang w:val="es-ES"/>
        </w:rPr>
      </w:pPr>
      <w:r>
        <w:rPr>
          <w:rStyle w:val="FootnoteReference"/>
        </w:rPr>
        <w:footnoteRef/>
      </w:r>
      <w:r w:rsidRPr="006C2AB0">
        <w:rPr>
          <w:lang w:val="es-ES"/>
        </w:rPr>
        <w:t xml:space="preserve"> </w:t>
      </w:r>
      <w:r w:rsidRPr="00E118D2">
        <w:rPr>
          <w:rFonts w:ascii="Palatino Linotype" w:eastAsia="Palatino Linotype" w:hAnsi="Palatino Linotype" w:cs="Palatino Linotype"/>
          <w:color w:val="000000"/>
          <w:sz w:val="18"/>
          <w:szCs w:val="18"/>
          <w:lang w:val="es-ES"/>
        </w:rPr>
        <w:t>P.B. 2017, no. 46.</w:t>
      </w:r>
    </w:p>
  </w:footnote>
  <w:footnote w:id="15">
    <w:p w:rsidR="0053654A" w:rsidRPr="0053654A"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nl-NL"/>
        </w:rPr>
      </w:pPr>
      <w:r>
        <w:rPr>
          <w:vertAlign w:val="superscript"/>
        </w:rPr>
        <w:footnoteRef/>
      </w:r>
      <w:r w:rsidRPr="0053654A">
        <w:rPr>
          <w:rFonts w:ascii="Palatino Linotype" w:eastAsia="Palatino Linotype" w:hAnsi="Palatino Linotype" w:cs="Palatino Linotype"/>
          <w:color w:val="000000"/>
          <w:sz w:val="18"/>
          <w:szCs w:val="18"/>
          <w:lang w:val="nl-NL"/>
        </w:rPr>
        <w:t xml:space="preserve"> P.B. 2014, no. 71.</w:t>
      </w:r>
    </w:p>
  </w:footnote>
  <w:footnote w:id="16">
    <w:p w:rsidR="0053654A" w:rsidRPr="0053654A" w:rsidRDefault="0053654A" w:rsidP="0053654A">
      <w:pPr>
        <w:pBdr>
          <w:top w:val="nil"/>
          <w:left w:val="nil"/>
          <w:bottom w:val="nil"/>
          <w:right w:val="nil"/>
          <w:between w:val="nil"/>
        </w:pBdr>
        <w:rPr>
          <w:rFonts w:ascii="Palatino Linotype" w:eastAsia="Palatino Linotype" w:hAnsi="Palatino Linotype" w:cs="Palatino Linotype"/>
          <w:color w:val="000000"/>
          <w:sz w:val="18"/>
          <w:szCs w:val="18"/>
          <w:lang w:val="nl-NL"/>
        </w:rPr>
      </w:pPr>
      <w:r>
        <w:rPr>
          <w:vertAlign w:val="superscript"/>
        </w:rPr>
        <w:footnoteRef/>
      </w:r>
      <w:r w:rsidRPr="0053654A">
        <w:rPr>
          <w:rFonts w:ascii="Palatino Linotype" w:eastAsia="Palatino Linotype" w:hAnsi="Palatino Linotype" w:cs="Palatino Linotype"/>
          <w:color w:val="000000"/>
          <w:sz w:val="18"/>
          <w:szCs w:val="18"/>
          <w:lang w:val="nl-NL"/>
        </w:rPr>
        <w:t xml:space="preserve"> P.B. 2018, no. 34.</w:t>
      </w:r>
    </w:p>
  </w:footnote>
  <w:footnote w:id="17">
    <w:p w:rsidR="0053654A" w:rsidRPr="0053654A" w:rsidRDefault="0053654A" w:rsidP="0053654A">
      <w:pPr>
        <w:pStyle w:val="FootnoteText"/>
        <w:rPr>
          <w:lang w:val="nl-NL"/>
        </w:rPr>
      </w:pPr>
      <w:r>
        <w:rPr>
          <w:rStyle w:val="FootnoteReference"/>
        </w:rPr>
        <w:footnoteRef/>
      </w:r>
      <w:r w:rsidRPr="0053654A">
        <w:rPr>
          <w:lang w:val="nl-NL"/>
        </w:rPr>
        <w:t xml:space="preserve"> </w:t>
      </w:r>
      <w:r w:rsidRPr="0053654A">
        <w:rPr>
          <w:rFonts w:ascii="Palatino Linotype" w:hAnsi="Palatino Linotype"/>
          <w:sz w:val="18"/>
          <w:szCs w:val="18"/>
          <w:lang w:val="nl-NL"/>
        </w:rPr>
        <w:t>Zie artikel 10 van Verordening 269/2014 (individuele Sanctieverordening inzake Rusland).</w:t>
      </w:r>
    </w:p>
  </w:footnote>
  <w:footnote w:id="18">
    <w:p w:rsidR="0053654A" w:rsidRPr="0053654A" w:rsidRDefault="0053654A" w:rsidP="0053654A">
      <w:pPr>
        <w:pStyle w:val="FootnoteText"/>
        <w:rPr>
          <w:rFonts w:ascii="Palatino Linotype" w:hAnsi="Palatino Linotype"/>
          <w:sz w:val="18"/>
          <w:szCs w:val="18"/>
          <w:lang w:val="nl-NL"/>
        </w:rPr>
      </w:pPr>
      <w:r w:rsidRPr="009709B3">
        <w:rPr>
          <w:rStyle w:val="FootnoteReference"/>
          <w:rFonts w:ascii="Palatino Linotype" w:hAnsi="Palatino Linotype"/>
          <w:sz w:val="18"/>
          <w:szCs w:val="18"/>
        </w:rPr>
        <w:footnoteRef/>
      </w:r>
      <w:r w:rsidRPr="0053654A">
        <w:rPr>
          <w:rFonts w:ascii="Palatino Linotype" w:hAnsi="Palatino Linotype"/>
          <w:sz w:val="18"/>
          <w:szCs w:val="18"/>
          <w:lang w:val="nl-NL"/>
        </w:rPr>
        <w:t xml:space="preserve"> Voor een uitgebreide uiteenzetting over de mogelijke gronden voor het verlenen van een ontheffing of  vergunning zie: Richtsnoernota van de Commissie over de uitvoering van een aantal bepalingen van verordening (EU) Nr. 401/2013 van de Raad, Brussel, 11.5.2021 C(2021) 3361 </w:t>
      </w:r>
      <w:proofErr w:type="spellStart"/>
      <w:r w:rsidRPr="0053654A">
        <w:rPr>
          <w:rFonts w:ascii="Palatino Linotype" w:hAnsi="Palatino Linotype"/>
          <w:sz w:val="18"/>
          <w:szCs w:val="18"/>
          <w:lang w:val="nl-NL"/>
        </w:rPr>
        <w:t>final</w:t>
      </w:r>
      <w:proofErr w:type="spellEnd"/>
      <w:r w:rsidRPr="0053654A">
        <w:rPr>
          <w:rFonts w:ascii="Palatino Linotype" w:hAnsi="Palatino Linotype"/>
          <w:sz w:val="18"/>
          <w:szCs w:val="18"/>
          <w:lang w:val="nl-NL"/>
        </w:rPr>
        <w:t>.</w:t>
      </w:r>
    </w:p>
  </w:footnote>
  <w:footnote w:id="19">
    <w:p w:rsidR="0053654A" w:rsidRPr="009709B3" w:rsidRDefault="0053654A" w:rsidP="0053654A">
      <w:pPr>
        <w:pStyle w:val="FootnoteText"/>
        <w:rPr>
          <w:rFonts w:ascii="Palatino Linotype" w:hAnsi="Palatino Linotype"/>
          <w:sz w:val="18"/>
          <w:szCs w:val="18"/>
        </w:rPr>
      </w:pPr>
      <w:r w:rsidRPr="009709B3">
        <w:rPr>
          <w:rStyle w:val="FootnoteReference"/>
          <w:rFonts w:ascii="Palatino Linotype" w:hAnsi="Palatino Linotype"/>
          <w:sz w:val="18"/>
          <w:szCs w:val="18"/>
        </w:rPr>
        <w:footnoteRef/>
      </w:r>
      <w:r w:rsidRPr="0053654A">
        <w:rPr>
          <w:rFonts w:ascii="Palatino Linotype" w:hAnsi="Palatino Linotype"/>
          <w:sz w:val="18"/>
          <w:szCs w:val="18"/>
          <w:lang w:val="nl-NL"/>
        </w:rPr>
        <w:t xml:space="preserve"> Verordening (EG) nr. 2580/2001 van de Raad van 27 december 2001 inzake specifieke beperkende maatregelen tegen bepaalde personen en entiteiten met het oog op de </w:t>
      </w:r>
      <w:proofErr w:type="spellStart"/>
      <w:r w:rsidRPr="0053654A">
        <w:rPr>
          <w:rFonts w:ascii="Palatino Linotype" w:hAnsi="Palatino Linotype"/>
          <w:sz w:val="18"/>
          <w:szCs w:val="18"/>
          <w:lang w:val="nl-NL"/>
        </w:rPr>
        <w:t>strĳd</w:t>
      </w:r>
      <w:proofErr w:type="spellEnd"/>
      <w:r w:rsidRPr="0053654A">
        <w:rPr>
          <w:rFonts w:ascii="Palatino Linotype" w:hAnsi="Palatino Linotype"/>
          <w:sz w:val="18"/>
          <w:szCs w:val="18"/>
          <w:lang w:val="nl-NL"/>
        </w:rPr>
        <w:t xml:space="preserve"> tegen het terrorisme, Publicatieblad Nr. </w:t>
      </w:r>
      <w:r w:rsidRPr="009709B3">
        <w:rPr>
          <w:rFonts w:ascii="Palatino Linotype" w:hAnsi="Palatino Linotype"/>
          <w:sz w:val="18"/>
          <w:szCs w:val="18"/>
        </w:rPr>
        <w:t xml:space="preserve">L 344 van 28/12/2001 </w:t>
      </w:r>
      <w:proofErr w:type="spellStart"/>
      <w:r w:rsidRPr="009709B3">
        <w:rPr>
          <w:rFonts w:ascii="Palatino Linotype" w:hAnsi="Palatino Linotype"/>
          <w:sz w:val="18"/>
          <w:szCs w:val="18"/>
        </w:rPr>
        <w:t>blz</w:t>
      </w:r>
      <w:proofErr w:type="spellEnd"/>
      <w:r w:rsidRPr="009709B3">
        <w:rPr>
          <w:rFonts w:ascii="Palatino Linotype" w:hAnsi="Palatino Linotype"/>
          <w:sz w:val="18"/>
          <w:szCs w:val="18"/>
        </w:rPr>
        <w:t xml:space="preserve">. 0070 </w:t>
      </w:r>
      <w:r>
        <w:rPr>
          <w:rFonts w:ascii="Palatino Linotype" w:hAnsi="Palatino Linotype"/>
          <w:sz w:val="18"/>
          <w:szCs w:val="18"/>
        </w:rPr>
        <w:t>-</w:t>
      </w:r>
      <w:r w:rsidRPr="009709B3">
        <w:rPr>
          <w:rFonts w:ascii="Palatino Linotype" w:hAnsi="Palatino Linotype"/>
          <w:sz w:val="18"/>
          <w:szCs w:val="18"/>
        </w:rPr>
        <w:t xml:space="preserve"> 0075.</w:t>
      </w:r>
    </w:p>
  </w:footnote>
  <w:footnote w:id="20">
    <w:p w:rsidR="0053654A" w:rsidRPr="009709B3" w:rsidRDefault="0053654A" w:rsidP="0053654A">
      <w:pPr>
        <w:pStyle w:val="FootnoteText"/>
        <w:rPr>
          <w:rFonts w:ascii="Palatino Linotype" w:hAnsi="Palatino Linotype"/>
          <w:sz w:val="18"/>
          <w:szCs w:val="18"/>
        </w:rPr>
      </w:pPr>
      <w:r w:rsidRPr="009709B3">
        <w:rPr>
          <w:rStyle w:val="FootnoteReference"/>
          <w:rFonts w:ascii="Palatino Linotype" w:hAnsi="Palatino Linotype"/>
          <w:sz w:val="18"/>
          <w:szCs w:val="18"/>
        </w:rPr>
        <w:footnoteRef/>
      </w:r>
      <w:r w:rsidRPr="009709B3">
        <w:rPr>
          <w:rFonts w:ascii="Palatino Linotype" w:hAnsi="Palatino Linotype"/>
          <w:sz w:val="18"/>
          <w:szCs w:val="18"/>
        </w:rPr>
        <w:t xml:space="preserve"> P.B. 2015, no.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3654A">
      <w:rPr>
        <w:rFonts w:ascii="Times New Roman" w:hAnsi="Times New Roman"/>
        <w:b/>
        <w:spacing w:val="-4"/>
        <w:sz w:val="36"/>
      </w:rPr>
      <w:t>52</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3654A">
      <w:rPr>
        <w:rFonts w:ascii="Times New Roman" w:hAnsi="Times New Roman"/>
        <w:b/>
        <w:spacing w:val="-4"/>
        <w:sz w:val="36"/>
      </w:rPr>
      <w:t>5</w:t>
    </w:r>
    <w:r w:rsidR="00876FF6">
      <w:rPr>
        <w:rFonts w:ascii="Times New Roman" w:hAnsi="Times New Roman"/>
        <w:b/>
        <w:spacing w:val="-4"/>
        <w:sz w:val="36"/>
      </w:rPr>
      <w:t>2</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37A8"/>
    <w:multiLevelType w:val="multilevel"/>
    <w:tmpl w:val="EA7632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17E50AE"/>
    <w:multiLevelType w:val="multilevel"/>
    <w:tmpl w:val="D818A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E01512"/>
    <w:multiLevelType w:val="multilevel"/>
    <w:tmpl w:val="26421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081A93"/>
    <w:multiLevelType w:val="multilevel"/>
    <w:tmpl w:val="817602D0"/>
    <w:lvl w:ilvl="0">
      <w:start w:val="1"/>
      <w:numFmt w:val="decimal"/>
      <w:lvlText w:val="%1."/>
      <w:lvlJc w:val="left"/>
      <w:pPr>
        <w:ind w:left="986" w:hanging="360"/>
      </w:p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852DD"/>
    <w:multiLevelType w:val="multilevel"/>
    <w:tmpl w:val="7402CE84"/>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2A7E62C6"/>
    <w:multiLevelType w:val="multilevel"/>
    <w:tmpl w:val="0488546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30E62B2C"/>
    <w:multiLevelType w:val="multilevel"/>
    <w:tmpl w:val="D9A42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5F7B61"/>
    <w:multiLevelType w:val="multilevel"/>
    <w:tmpl w:val="F1BE8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5B7246"/>
    <w:multiLevelType w:val="multilevel"/>
    <w:tmpl w:val="51581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B91F6F"/>
    <w:multiLevelType w:val="hybridMultilevel"/>
    <w:tmpl w:val="373EC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9F4552"/>
    <w:multiLevelType w:val="hybridMultilevel"/>
    <w:tmpl w:val="4DDA3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7422F"/>
    <w:multiLevelType w:val="multilevel"/>
    <w:tmpl w:val="88BE86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4C1292"/>
    <w:multiLevelType w:val="multilevel"/>
    <w:tmpl w:val="4B7AF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AB5EF6"/>
    <w:multiLevelType w:val="hybridMultilevel"/>
    <w:tmpl w:val="9A02EE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EF54C6"/>
    <w:multiLevelType w:val="multilevel"/>
    <w:tmpl w:val="0FEE7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C26F32"/>
    <w:multiLevelType w:val="multilevel"/>
    <w:tmpl w:val="4B52F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A3F3C"/>
    <w:multiLevelType w:val="multilevel"/>
    <w:tmpl w:val="63A8A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736A79"/>
    <w:multiLevelType w:val="multilevel"/>
    <w:tmpl w:val="FA6A773C"/>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F72376"/>
    <w:multiLevelType w:val="multilevel"/>
    <w:tmpl w:val="7560754E"/>
    <w:lvl w:ilvl="0">
      <w:start w:val="5"/>
      <w:numFmt w:val="decimal"/>
      <w:lvlText w:val="%1."/>
      <w:lvlJc w:val="left"/>
      <w:pPr>
        <w:ind w:left="986" w:hanging="360"/>
      </w:pPr>
      <w:rPr>
        <w:rFonts w:hint="default"/>
      </w:rPr>
    </w:lvl>
    <w:lvl w:ilvl="1">
      <w:start w:val="1"/>
      <w:numFmt w:val="lowerLetter"/>
      <w:lvlText w:val="%2."/>
      <w:lvlJc w:val="left"/>
      <w:pPr>
        <w:ind w:left="1706" w:hanging="360"/>
      </w:pPr>
      <w:rPr>
        <w:rFonts w:hint="default"/>
      </w:rPr>
    </w:lvl>
    <w:lvl w:ilvl="2">
      <w:start w:val="1"/>
      <w:numFmt w:val="lowerRoman"/>
      <w:lvlText w:val="%3."/>
      <w:lvlJc w:val="right"/>
      <w:pPr>
        <w:ind w:left="2426" w:hanging="180"/>
      </w:pPr>
      <w:rPr>
        <w:rFonts w:hint="default"/>
      </w:rPr>
    </w:lvl>
    <w:lvl w:ilvl="3">
      <w:start w:val="1"/>
      <w:numFmt w:val="decimal"/>
      <w:lvlText w:val="%4."/>
      <w:lvlJc w:val="left"/>
      <w:pPr>
        <w:ind w:left="3146" w:hanging="360"/>
      </w:pPr>
      <w:rPr>
        <w:rFonts w:hint="default"/>
      </w:rPr>
    </w:lvl>
    <w:lvl w:ilvl="4">
      <w:start w:val="1"/>
      <w:numFmt w:val="lowerLetter"/>
      <w:lvlText w:val="%5."/>
      <w:lvlJc w:val="left"/>
      <w:pPr>
        <w:ind w:left="3866" w:hanging="360"/>
      </w:pPr>
      <w:rPr>
        <w:rFonts w:hint="default"/>
      </w:rPr>
    </w:lvl>
    <w:lvl w:ilvl="5">
      <w:start w:val="1"/>
      <w:numFmt w:val="lowerRoman"/>
      <w:lvlText w:val="%6."/>
      <w:lvlJc w:val="right"/>
      <w:pPr>
        <w:ind w:left="4586" w:hanging="180"/>
      </w:pPr>
      <w:rPr>
        <w:rFonts w:hint="default"/>
      </w:rPr>
    </w:lvl>
    <w:lvl w:ilvl="6">
      <w:start w:val="1"/>
      <w:numFmt w:val="decimal"/>
      <w:lvlText w:val="%7."/>
      <w:lvlJc w:val="left"/>
      <w:pPr>
        <w:ind w:left="5306" w:hanging="360"/>
      </w:pPr>
      <w:rPr>
        <w:rFonts w:hint="default"/>
      </w:rPr>
    </w:lvl>
    <w:lvl w:ilvl="7">
      <w:start w:val="1"/>
      <w:numFmt w:val="lowerLetter"/>
      <w:lvlText w:val="%8."/>
      <w:lvlJc w:val="left"/>
      <w:pPr>
        <w:ind w:left="6026" w:hanging="360"/>
      </w:pPr>
      <w:rPr>
        <w:rFonts w:hint="default"/>
      </w:rPr>
    </w:lvl>
    <w:lvl w:ilvl="8">
      <w:start w:val="1"/>
      <w:numFmt w:val="lowerRoman"/>
      <w:lvlText w:val="%9."/>
      <w:lvlJc w:val="right"/>
      <w:pPr>
        <w:ind w:left="6746" w:hanging="180"/>
      </w:pPr>
      <w:rPr>
        <w:rFonts w:hint="default"/>
      </w:rPr>
    </w:lvl>
  </w:abstractNum>
  <w:abstractNum w:abstractNumId="23" w15:restartNumberingAfterBreak="0">
    <w:nsid w:val="6A6626F1"/>
    <w:multiLevelType w:val="multilevel"/>
    <w:tmpl w:val="63A8A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98694E"/>
    <w:multiLevelType w:val="multilevel"/>
    <w:tmpl w:val="39E8CB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26"/>
  </w:num>
  <w:num w:numId="4">
    <w:abstractNumId w:val="24"/>
  </w:num>
  <w:num w:numId="5">
    <w:abstractNumId w:val="1"/>
  </w:num>
  <w:num w:numId="6">
    <w:abstractNumId w:val="17"/>
  </w:num>
  <w:num w:numId="7">
    <w:abstractNumId w:val="21"/>
  </w:num>
  <w:num w:numId="8">
    <w:abstractNumId w:val="19"/>
  </w:num>
  <w:num w:numId="9">
    <w:abstractNumId w:val="15"/>
  </w:num>
  <w:num w:numId="10">
    <w:abstractNumId w:val="23"/>
  </w:num>
  <w:num w:numId="11">
    <w:abstractNumId w:val="25"/>
  </w:num>
  <w:num w:numId="12">
    <w:abstractNumId w:val="4"/>
  </w:num>
  <w:num w:numId="13">
    <w:abstractNumId w:val="14"/>
  </w:num>
  <w:num w:numId="14">
    <w:abstractNumId w:val="0"/>
  </w:num>
  <w:num w:numId="15">
    <w:abstractNumId w:val="3"/>
  </w:num>
  <w:num w:numId="16">
    <w:abstractNumId w:val="5"/>
  </w:num>
  <w:num w:numId="17">
    <w:abstractNumId w:val="8"/>
  </w:num>
  <w:num w:numId="18">
    <w:abstractNumId w:val="18"/>
  </w:num>
  <w:num w:numId="19">
    <w:abstractNumId w:val="10"/>
  </w:num>
  <w:num w:numId="20">
    <w:abstractNumId w:val="11"/>
  </w:num>
  <w:num w:numId="21">
    <w:abstractNumId w:val="7"/>
  </w:num>
  <w:num w:numId="22">
    <w:abstractNumId w:val="13"/>
  </w:num>
  <w:num w:numId="23">
    <w:abstractNumId w:val="22"/>
  </w:num>
  <w:num w:numId="24">
    <w:abstractNumId w:val="9"/>
  </w:num>
  <w:num w:numId="25">
    <w:abstractNumId w:val="12"/>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3654A"/>
    <w:rsid w:val="00573A17"/>
    <w:rsid w:val="00593143"/>
    <w:rsid w:val="005B7EA9"/>
    <w:rsid w:val="005D0989"/>
    <w:rsid w:val="005D39A3"/>
    <w:rsid w:val="005E7D87"/>
    <w:rsid w:val="006147F1"/>
    <w:rsid w:val="006169E6"/>
    <w:rsid w:val="006725E6"/>
    <w:rsid w:val="006C19FE"/>
    <w:rsid w:val="006F659E"/>
    <w:rsid w:val="00781AD6"/>
    <w:rsid w:val="007A1CB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B0BC4C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semiHidden/>
    <w:unhideWhenUsed/>
    <w:qFormat/>
    <w:rsid w:val="0053654A"/>
    <w:pPr>
      <w:keepNext/>
      <w:keepLines/>
      <w:widowControl/>
      <w:spacing w:before="280" w:after="80"/>
      <w:outlineLvl w:val="2"/>
    </w:pPr>
    <w:rPr>
      <w:rFonts w:ascii="Times New Roman" w:hAnsi="Times New Roman"/>
      <w:b/>
      <w:snapToGrid/>
      <w:sz w:val="28"/>
      <w:szCs w:val="28"/>
      <w:lang w:val="nl-NL"/>
    </w:rPr>
  </w:style>
  <w:style w:type="paragraph" w:styleId="Heading4">
    <w:name w:val="heading 4"/>
    <w:basedOn w:val="Normal"/>
    <w:next w:val="Normal"/>
    <w:link w:val="Heading4Char"/>
    <w:uiPriority w:val="9"/>
    <w:semiHidden/>
    <w:unhideWhenUsed/>
    <w:qFormat/>
    <w:rsid w:val="0053654A"/>
    <w:pPr>
      <w:keepNext/>
      <w:keepLines/>
      <w:widowControl/>
      <w:spacing w:before="240" w:after="40"/>
      <w:outlineLvl w:val="3"/>
    </w:pPr>
    <w:rPr>
      <w:rFonts w:ascii="Times New Roman" w:hAnsi="Times New Roman"/>
      <w:b/>
      <w:snapToGrid/>
      <w:szCs w:val="24"/>
      <w:lang w:val="nl-NL"/>
    </w:rPr>
  </w:style>
  <w:style w:type="paragraph" w:styleId="Heading5">
    <w:name w:val="heading 5"/>
    <w:basedOn w:val="Normal"/>
    <w:next w:val="Normal"/>
    <w:link w:val="Heading5Char"/>
    <w:uiPriority w:val="9"/>
    <w:semiHidden/>
    <w:unhideWhenUsed/>
    <w:qFormat/>
    <w:rsid w:val="0053654A"/>
    <w:pPr>
      <w:keepNext/>
      <w:keepLines/>
      <w:widowControl/>
      <w:spacing w:before="220" w:after="40"/>
      <w:outlineLvl w:val="4"/>
    </w:pPr>
    <w:rPr>
      <w:rFonts w:ascii="Times New Roman" w:hAnsi="Times New Roman"/>
      <w:b/>
      <w:snapToGrid/>
      <w:sz w:val="22"/>
      <w:szCs w:val="22"/>
      <w:lang w:val="nl-NL"/>
    </w:rPr>
  </w:style>
  <w:style w:type="paragraph" w:styleId="Heading6">
    <w:name w:val="heading 6"/>
    <w:basedOn w:val="Normal"/>
    <w:next w:val="Normal"/>
    <w:link w:val="Heading6Char"/>
    <w:uiPriority w:val="9"/>
    <w:semiHidden/>
    <w:unhideWhenUsed/>
    <w:qFormat/>
    <w:rsid w:val="0053654A"/>
    <w:pPr>
      <w:keepNext/>
      <w:keepLines/>
      <w:widowControl/>
      <w:spacing w:before="200" w:after="40"/>
      <w:outlineLvl w:val="5"/>
    </w:pPr>
    <w:rPr>
      <w:rFonts w:ascii="Times New Roman" w:hAnsi="Times New Roman"/>
      <w:b/>
      <w:snapToGrid/>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uiPriority w:val="9"/>
    <w:semiHidden/>
    <w:rsid w:val="0053654A"/>
    <w:rPr>
      <w:b/>
      <w:sz w:val="28"/>
      <w:szCs w:val="28"/>
      <w:lang w:val="nl-NL"/>
    </w:rPr>
  </w:style>
  <w:style w:type="character" w:customStyle="1" w:styleId="Heading4Char">
    <w:name w:val="Heading 4 Char"/>
    <w:basedOn w:val="DefaultParagraphFont"/>
    <w:link w:val="Heading4"/>
    <w:uiPriority w:val="9"/>
    <w:semiHidden/>
    <w:rsid w:val="0053654A"/>
    <w:rPr>
      <w:b/>
      <w:sz w:val="24"/>
      <w:szCs w:val="24"/>
      <w:lang w:val="nl-NL"/>
    </w:rPr>
  </w:style>
  <w:style w:type="character" w:customStyle="1" w:styleId="Heading5Char">
    <w:name w:val="Heading 5 Char"/>
    <w:basedOn w:val="DefaultParagraphFont"/>
    <w:link w:val="Heading5"/>
    <w:uiPriority w:val="9"/>
    <w:semiHidden/>
    <w:rsid w:val="0053654A"/>
    <w:rPr>
      <w:b/>
      <w:sz w:val="22"/>
      <w:szCs w:val="22"/>
      <w:lang w:val="nl-NL"/>
    </w:rPr>
  </w:style>
  <w:style w:type="character" w:customStyle="1" w:styleId="Heading6Char">
    <w:name w:val="Heading 6 Char"/>
    <w:basedOn w:val="DefaultParagraphFont"/>
    <w:link w:val="Heading6"/>
    <w:uiPriority w:val="9"/>
    <w:semiHidden/>
    <w:rsid w:val="0053654A"/>
    <w:rPr>
      <w:b/>
      <w:lang w:val="nl-NL"/>
    </w:rPr>
  </w:style>
  <w:style w:type="numbering" w:customStyle="1" w:styleId="NoList1">
    <w:name w:val="No List1"/>
    <w:next w:val="NoList"/>
    <w:uiPriority w:val="99"/>
    <w:semiHidden/>
    <w:unhideWhenUsed/>
    <w:rsid w:val="0053654A"/>
  </w:style>
  <w:style w:type="character" w:customStyle="1" w:styleId="Heading1Char">
    <w:name w:val="Heading 1 Char"/>
    <w:basedOn w:val="DefaultParagraphFont"/>
    <w:link w:val="Heading1"/>
    <w:uiPriority w:val="9"/>
    <w:rsid w:val="0053654A"/>
    <w:rPr>
      <w:rFonts w:ascii="Arial" w:hAnsi="Arial"/>
      <w:b/>
      <w:sz w:val="40"/>
      <w:u w:val="single"/>
    </w:rPr>
  </w:style>
  <w:style w:type="character" w:customStyle="1" w:styleId="Heading2Char">
    <w:name w:val="Heading 2 Char"/>
    <w:basedOn w:val="DefaultParagraphFont"/>
    <w:link w:val="Heading2"/>
    <w:uiPriority w:val="9"/>
    <w:rsid w:val="0053654A"/>
    <w:rPr>
      <w:sz w:val="32"/>
    </w:rPr>
  </w:style>
  <w:style w:type="paragraph" w:styleId="Title">
    <w:name w:val="Title"/>
    <w:basedOn w:val="Normal"/>
    <w:next w:val="Normal"/>
    <w:link w:val="TitleChar"/>
    <w:uiPriority w:val="10"/>
    <w:qFormat/>
    <w:rsid w:val="0053654A"/>
    <w:pPr>
      <w:keepNext/>
      <w:keepLines/>
      <w:widowControl/>
      <w:spacing w:before="480" w:after="120"/>
    </w:pPr>
    <w:rPr>
      <w:rFonts w:ascii="Times New Roman" w:hAnsi="Times New Roman"/>
      <w:b/>
      <w:snapToGrid/>
      <w:sz w:val="72"/>
      <w:szCs w:val="72"/>
      <w:lang w:val="nl-NL"/>
    </w:rPr>
  </w:style>
  <w:style w:type="character" w:customStyle="1" w:styleId="TitleChar">
    <w:name w:val="Title Char"/>
    <w:basedOn w:val="DefaultParagraphFont"/>
    <w:link w:val="Title"/>
    <w:uiPriority w:val="10"/>
    <w:rsid w:val="0053654A"/>
    <w:rPr>
      <w:b/>
      <w:sz w:val="72"/>
      <w:szCs w:val="72"/>
      <w:lang w:val="nl-NL"/>
    </w:rPr>
  </w:style>
  <w:style w:type="paragraph" w:styleId="Subtitle">
    <w:name w:val="Subtitle"/>
    <w:basedOn w:val="Normal"/>
    <w:next w:val="Normal"/>
    <w:link w:val="SubtitleChar"/>
    <w:uiPriority w:val="11"/>
    <w:qFormat/>
    <w:rsid w:val="0053654A"/>
    <w:pPr>
      <w:keepNext/>
      <w:keepLines/>
      <w:widowControl/>
      <w:spacing w:before="360" w:after="80"/>
    </w:pPr>
    <w:rPr>
      <w:rFonts w:ascii="Georgia" w:eastAsia="Georgia" w:hAnsi="Georgia" w:cs="Georgia"/>
      <w:i/>
      <w:snapToGrid/>
      <w:color w:val="666666"/>
      <w:sz w:val="48"/>
      <w:szCs w:val="48"/>
      <w:lang w:val="nl-NL"/>
    </w:rPr>
  </w:style>
  <w:style w:type="character" w:customStyle="1" w:styleId="SubtitleChar">
    <w:name w:val="Subtitle Char"/>
    <w:basedOn w:val="DefaultParagraphFont"/>
    <w:link w:val="Subtitle"/>
    <w:uiPriority w:val="11"/>
    <w:rsid w:val="0053654A"/>
    <w:rPr>
      <w:rFonts w:ascii="Georgia" w:eastAsia="Georgia" w:hAnsi="Georgia" w:cs="Georgia"/>
      <w:i/>
      <w:color w:val="666666"/>
      <w:sz w:val="48"/>
      <w:szCs w:val="48"/>
      <w:lang w:val="nl-NL"/>
    </w:rPr>
  </w:style>
  <w:style w:type="paragraph" w:styleId="CommentText">
    <w:name w:val="annotation text"/>
    <w:basedOn w:val="Normal"/>
    <w:link w:val="CommentTextChar"/>
    <w:uiPriority w:val="99"/>
    <w:unhideWhenUsed/>
    <w:rsid w:val="0053654A"/>
    <w:pPr>
      <w:widowControl/>
    </w:pPr>
    <w:rPr>
      <w:rFonts w:ascii="Times New Roman" w:hAnsi="Times New Roman"/>
      <w:snapToGrid/>
      <w:sz w:val="20"/>
      <w:lang w:val="nl-NL"/>
    </w:rPr>
  </w:style>
  <w:style w:type="character" w:customStyle="1" w:styleId="CommentTextChar">
    <w:name w:val="Comment Text Char"/>
    <w:basedOn w:val="DefaultParagraphFont"/>
    <w:link w:val="CommentText"/>
    <w:uiPriority w:val="99"/>
    <w:rsid w:val="0053654A"/>
    <w:rPr>
      <w:lang w:val="nl-NL"/>
    </w:rPr>
  </w:style>
  <w:style w:type="character" w:styleId="CommentReference">
    <w:name w:val="annotation reference"/>
    <w:basedOn w:val="DefaultParagraphFont"/>
    <w:uiPriority w:val="99"/>
    <w:unhideWhenUsed/>
    <w:rsid w:val="0053654A"/>
    <w:rPr>
      <w:sz w:val="16"/>
      <w:szCs w:val="16"/>
    </w:rPr>
  </w:style>
  <w:style w:type="paragraph" w:styleId="BalloonText">
    <w:name w:val="Balloon Text"/>
    <w:basedOn w:val="Normal"/>
    <w:link w:val="BalloonTextChar"/>
    <w:uiPriority w:val="99"/>
    <w:unhideWhenUsed/>
    <w:rsid w:val="0053654A"/>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uiPriority w:val="99"/>
    <w:rsid w:val="0053654A"/>
    <w:rPr>
      <w:rFonts w:ascii="Segoe UI" w:hAnsi="Segoe UI" w:cs="Segoe UI"/>
      <w:sz w:val="18"/>
      <w:szCs w:val="18"/>
      <w:lang w:val="nl-NL"/>
    </w:rPr>
  </w:style>
  <w:style w:type="paragraph" w:styleId="NoSpacing">
    <w:name w:val="No Spacing"/>
    <w:uiPriority w:val="1"/>
    <w:qFormat/>
    <w:rsid w:val="0053654A"/>
    <w:rPr>
      <w:lang w:val="nl-NL"/>
    </w:rPr>
  </w:style>
  <w:style w:type="character" w:styleId="UnresolvedMention">
    <w:name w:val="Unresolved Mention"/>
    <w:basedOn w:val="DefaultParagraphFont"/>
    <w:uiPriority w:val="99"/>
    <w:semiHidden/>
    <w:unhideWhenUsed/>
    <w:rsid w:val="0053654A"/>
    <w:rPr>
      <w:color w:val="605E5C"/>
      <w:shd w:val="clear" w:color="auto" w:fill="E1DFDD"/>
    </w:rPr>
  </w:style>
  <w:style w:type="paragraph" w:styleId="CommentSubject">
    <w:name w:val="annotation subject"/>
    <w:basedOn w:val="CommentText"/>
    <w:next w:val="CommentText"/>
    <w:link w:val="CommentSubjectChar"/>
    <w:uiPriority w:val="99"/>
    <w:unhideWhenUsed/>
    <w:rsid w:val="0053654A"/>
    <w:rPr>
      <w:b/>
      <w:bCs/>
    </w:rPr>
  </w:style>
  <w:style w:type="character" w:customStyle="1" w:styleId="CommentSubjectChar">
    <w:name w:val="Comment Subject Char"/>
    <w:basedOn w:val="CommentTextChar"/>
    <w:link w:val="CommentSubject"/>
    <w:uiPriority w:val="99"/>
    <w:rsid w:val="0053654A"/>
    <w:rPr>
      <w:b/>
      <w:bCs/>
      <w:lang w:val="nl-NL"/>
    </w:rPr>
  </w:style>
  <w:style w:type="paragraph" w:styleId="Revision">
    <w:name w:val="Revision"/>
    <w:hidden/>
    <w:uiPriority w:val="99"/>
    <w:semiHidden/>
    <w:rsid w:val="0053654A"/>
    <w:rPr>
      <w:lang w:val="nl-NL"/>
    </w:rPr>
  </w:style>
  <w:style w:type="paragraph" w:customStyle="1" w:styleId="Standaard1">
    <w:name w:val="Standaard1"/>
    <w:basedOn w:val="Normal"/>
    <w:rsid w:val="0053654A"/>
    <w:pPr>
      <w:widowControl/>
      <w:spacing w:before="100" w:beforeAutospacing="1" w:after="100" w:afterAutospacing="1"/>
    </w:pPr>
    <w:rPr>
      <w:rFonts w:ascii="Times New Roman" w:hAnsi="Times New Roman"/>
      <w:snapToGrid/>
      <w:szCs w:val="24"/>
      <w:lang w:val="nl-NL"/>
    </w:rPr>
  </w:style>
  <w:style w:type="character" w:customStyle="1" w:styleId="FollowedHyperlink1">
    <w:name w:val="FollowedHyperlink1"/>
    <w:basedOn w:val="DefaultParagraphFont"/>
    <w:uiPriority w:val="99"/>
    <w:semiHidden/>
    <w:unhideWhenUsed/>
    <w:rsid w:val="0053654A"/>
    <w:rPr>
      <w:color w:val="800080"/>
      <w:u w:val="single"/>
    </w:rPr>
  </w:style>
  <w:style w:type="paragraph" w:styleId="BodyText">
    <w:name w:val="Body Text"/>
    <w:basedOn w:val="Normal"/>
    <w:link w:val="BodyTextChar"/>
    <w:uiPriority w:val="1"/>
    <w:unhideWhenUsed/>
    <w:qFormat/>
    <w:rsid w:val="0053654A"/>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53654A"/>
    <w:rPr>
      <w:rFonts w:ascii="Palatino Linotype" w:eastAsia="Palatino Linotype" w:hAnsi="Palatino Linotype" w:cs="Palatino Linotype"/>
      <w:sz w:val="22"/>
      <w:szCs w:val="22"/>
    </w:rPr>
  </w:style>
  <w:style w:type="character" w:styleId="FollowedHyperlink">
    <w:name w:val="FollowedHyperlink"/>
    <w:basedOn w:val="DefaultParagraphFont"/>
    <w:rsid w:val="00536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32002R0881" TargetMode="External"/><Relationship Id="rId13" Type="http://schemas.openxmlformats.org/officeDocument/2006/relationships/hyperlink" Target="https://eur-lex.europa.eu/legal-content/NL/TXT/?uri=CELEX:32004R03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lex.europa.eu/legal-content/NL/TXT/?uri=CELEX:32005R118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NL/TXT/?uri=CELEX:32014R0224" TargetMode="External"/><Relationship Id="rId5" Type="http://schemas.openxmlformats.org/officeDocument/2006/relationships/footnotes" Target="footnotes.xml"/><Relationship Id="rId15" Type="http://schemas.openxmlformats.org/officeDocument/2006/relationships/hyperlink" Target="https://www.sanctionsmap.eu/" TargetMode="External"/><Relationship Id="rId10" Type="http://schemas.openxmlformats.org/officeDocument/2006/relationships/hyperlink" Target="https://eur-lex.europa.eu/legal-content/NL/TXT/?uri=CELEX:33655R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NL/TXT/?uri=CELEX:33586R2016" TargetMode="External"/><Relationship Id="rId14" Type="http://schemas.openxmlformats.org/officeDocument/2006/relationships/hyperlink" Target="https://wetten.overheid.nl/BWBR0038211/2017-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12624</Words>
  <Characters>73184</Characters>
  <Application>Microsoft Office Word</Application>
  <DocSecurity>0</DocSecurity>
  <Lines>1434</Lines>
  <Paragraphs>504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2025-05-22T22:00:00Z</dcterms:created>
  <dcterms:modified xsi:type="dcterms:W3CDTF">2025-05-22T22:00:00Z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20250522180027285</vt:lpwstr>
  </property>
</Properties>
</file>