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721940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12 (GT)"/>
            </w:textInput>
          </w:ffData>
        </w:fldChar>
      </w:r>
      <w:bookmarkStart w:id="0" w:name="Text2"/>
      <w:r w:rsidR="00721940" w:rsidRPr="00303DE1">
        <w:rPr>
          <w:b/>
          <w:sz w:val="36"/>
          <w:szCs w:val="36"/>
          <w:lang w:val="nl-NL"/>
        </w:rPr>
        <w:instrText xml:space="preserve"> FORMTEXT </w:instrText>
      </w:r>
      <w:r w:rsidR="00721940">
        <w:rPr>
          <w:b/>
          <w:sz w:val="36"/>
          <w:szCs w:val="36"/>
        </w:rPr>
      </w:r>
      <w:r w:rsidR="00721940">
        <w:rPr>
          <w:b/>
          <w:sz w:val="36"/>
          <w:szCs w:val="36"/>
        </w:rPr>
        <w:fldChar w:fldCharType="separate"/>
      </w:r>
      <w:r w:rsidR="00721940" w:rsidRPr="00303DE1">
        <w:rPr>
          <w:b/>
          <w:noProof/>
          <w:sz w:val="36"/>
          <w:szCs w:val="36"/>
          <w:lang w:val="nl-NL"/>
        </w:rPr>
        <w:t>112 (GT)</w:t>
      </w:r>
      <w:r w:rsidR="00721940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 w:rsidP="00454327">
      <w:pPr>
        <w:pStyle w:val="Header"/>
        <w:tabs>
          <w:tab w:val="clear" w:pos="4320"/>
          <w:tab w:val="clear" w:pos="8640"/>
        </w:tabs>
        <w:spacing w:line="220" w:lineRule="exact"/>
        <w:rPr>
          <w:sz w:val="24"/>
          <w:szCs w:val="24"/>
          <w:lang w:val="nl-NL"/>
        </w:rPr>
      </w:pPr>
    </w:p>
    <w:p w:rsidR="003D25AC" w:rsidRPr="00022D76" w:rsidRDefault="003D25AC" w:rsidP="00454327">
      <w:pPr>
        <w:pStyle w:val="Header"/>
        <w:tabs>
          <w:tab w:val="clear" w:pos="4320"/>
          <w:tab w:val="clear" w:pos="8640"/>
        </w:tabs>
        <w:spacing w:line="220" w:lineRule="exact"/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454327" w:rsidRPr="00454327" w:rsidRDefault="00454327" w:rsidP="00454327">
      <w:pPr>
        <w:widowControl/>
        <w:jc w:val="both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454327">
        <w:rPr>
          <w:rFonts w:ascii="Palatino Linotype" w:hAnsi="Palatino Linotype"/>
          <w:b/>
          <w:snapToGrid/>
          <w:sz w:val="22"/>
          <w:szCs w:val="22"/>
          <w:lang w:val="nl-NL"/>
        </w:rPr>
        <w:t>LANDSBESLUIT</w:t>
      </w:r>
      <w:r w:rsidRPr="00454327">
        <w:rPr>
          <w:rFonts w:ascii="Palatino Linotype" w:hAnsi="Palatino Linotype"/>
          <w:b/>
          <w:snapToGrid/>
          <w:spacing w:val="46"/>
          <w:sz w:val="22"/>
          <w:szCs w:val="22"/>
          <w:lang w:val="nl-NL"/>
        </w:rPr>
        <w:t xml:space="preserve"> </w:t>
      </w:r>
      <w:r w:rsidRPr="00454327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van de </w:t>
      </w:r>
      <w:r w:rsidR="00721940" w:rsidRPr="00721940">
        <w:rPr>
          <w:rFonts w:ascii="Palatino Linotype" w:hAnsi="Palatino Linotype"/>
          <w:b/>
          <w:snapToGrid/>
          <w:sz w:val="22"/>
          <w:szCs w:val="22"/>
          <w:lang w:val="nl-NL"/>
        </w:rPr>
        <w:t>8</w:t>
      </w:r>
      <w:r w:rsidR="00721940" w:rsidRPr="00721940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ste</w:t>
      </w:r>
      <w:r w:rsidR="00721940" w:rsidRPr="00721940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juli 2025</w:t>
      </w:r>
      <w:r w:rsidRPr="00454327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, no. </w:t>
      </w:r>
      <w:r w:rsidR="00721940" w:rsidRPr="00721940">
        <w:rPr>
          <w:rFonts w:ascii="Palatino Linotype" w:hAnsi="Palatino Linotype"/>
          <w:b/>
          <w:snapToGrid/>
          <w:sz w:val="22"/>
          <w:szCs w:val="22"/>
          <w:lang w:val="nl-NL"/>
        </w:rPr>
        <w:t>25/1690</w:t>
      </w:r>
      <w:r w:rsidRPr="00454327">
        <w:rPr>
          <w:rFonts w:ascii="Palatino Linotype" w:hAnsi="Palatino Linotype"/>
          <w:b/>
          <w:snapToGrid/>
          <w:sz w:val="22"/>
          <w:szCs w:val="22"/>
          <w:lang w:val="nl-NL"/>
        </w:rPr>
        <w:t>, houdende vaststelling van de geconsolideerde tekst van het Landsbesluit, houdende algemene maatregelen, van de 13</w:t>
      </w:r>
      <w:r w:rsidRPr="00454327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de</w:t>
      </w:r>
      <w:r w:rsidRPr="00454327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november 2006, houdende erkenning van kennisbewijzen in de zin van het Bemanningsbesluit Nederlands-Antilliaanse en Arubaanse zeeschepen</w:t>
      </w:r>
      <w:r w:rsidRPr="00721940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footnoteReference w:id="1"/>
      </w:r>
    </w:p>
    <w:p w:rsidR="00454327" w:rsidRPr="00454327" w:rsidRDefault="00454327" w:rsidP="00454327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54327" w:rsidRPr="00454327" w:rsidRDefault="00454327" w:rsidP="00454327">
      <w:pPr>
        <w:widowControl/>
        <w:jc w:val="center"/>
        <w:rPr>
          <w:rFonts w:ascii="Palatino Linotype" w:hAnsi="Palatino Linotype"/>
          <w:b/>
          <w:snapToGrid/>
          <w:sz w:val="22"/>
          <w:szCs w:val="22"/>
          <w:lang w:val="nl-NL"/>
        </w:rPr>
      </w:pPr>
      <w:r w:rsidRPr="00454327">
        <w:rPr>
          <w:rFonts w:ascii="Palatino Linotype" w:hAnsi="Palatino Linotype"/>
          <w:b/>
          <w:snapToGrid/>
          <w:sz w:val="22"/>
          <w:szCs w:val="22"/>
          <w:lang w:val="nl-NL"/>
        </w:rPr>
        <w:t>____________</w:t>
      </w:r>
    </w:p>
    <w:p w:rsidR="00454327" w:rsidRPr="00454327" w:rsidRDefault="00454327" w:rsidP="00454327">
      <w:pPr>
        <w:widowControl/>
        <w:spacing w:line="22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54327" w:rsidRPr="00454327" w:rsidRDefault="00454327" w:rsidP="00454327">
      <w:pPr>
        <w:widowControl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454327">
        <w:rPr>
          <w:rFonts w:ascii="Palatino Linotype" w:hAnsi="Palatino Linotype"/>
          <w:snapToGrid/>
          <w:sz w:val="22"/>
          <w:szCs w:val="22"/>
          <w:lang w:val="nl-NL"/>
        </w:rPr>
        <w:t xml:space="preserve">De </w:t>
      </w:r>
      <w:r w:rsidR="00ED07BB">
        <w:rPr>
          <w:rFonts w:ascii="Palatino Linotype" w:hAnsi="Palatino Linotype"/>
          <w:snapToGrid/>
          <w:sz w:val="22"/>
          <w:szCs w:val="22"/>
          <w:lang w:val="nl-NL"/>
        </w:rPr>
        <w:t xml:space="preserve">waarnemende </w:t>
      </w:r>
      <w:r w:rsidRPr="00454327">
        <w:rPr>
          <w:rFonts w:ascii="Palatino Linotype" w:hAnsi="Palatino Linotype"/>
          <w:snapToGrid/>
          <w:sz w:val="22"/>
          <w:szCs w:val="22"/>
          <w:lang w:val="nl-NL"/>
        </w:rPr>
        <w:t>Gouverneur van Curaçao,</w:t>
      </w:r>
    </w:p>
    <w:p w:rsidR="00454327" w:rsidRPr="00454327" w:rsidRDefault="00454327" w:rsidP="00454327">
      <w:pPr>
        <w:widowControl/>
        <w:spacing w:line="220" w:lineRule="exact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54327" w:rsidRPr="00454327" w:rsidRDefault="00454327" w:rsidP="00454327">
      <w:pPr>
        <w:widowControl/>
        <w:spacing w:line="220" w:lineRule="exact"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454327" w:rsidRPr="00454327" w:rsidRDefault="00454327" w:rsidP="00454327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454327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Op voordracht van de Minister van Justitie;</w:t>
      </w:r>
    </w:p>
    <w:p w:rsidR="00454327" w:rsidRPr="00454327" w:rsidRDefault="00454327" w:rsidP="00454327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454327" w:rsidRPr="00454327" w:rsidRDefault="00454327" w:rsidP="00454327">
      <w:pPr>
        <w:widowControl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454327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Gelet op:</w:t>
      </w:r>
    </w:p>
    <w:p w:rsidR="00454327" w:rsidRPr="00454327" w:rsidRDefault="00454327" w:rsidP="00454327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</w:p>
    <w:p w:rsidR="00454327" w:rsidRPr="00454327" w:rsidRDefault="00454327" w:rsidP="00454327">
      <w:pPr>
        <w:widowControl/>
        <w:ind w:firstLine="3"/>
        <w:jc w:val="both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454327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de Algemene overgangsregeling wetgeving en bestuur Land Curaçao</w:t>
      </w:r>
      <w:r w:rsidRPr="00454327">
        <w:rPr>
          <w:rFonts w:ascii="Palatino Linotype" w:hAnsi="Palatino Linotype"/>
          <w:snapToGrid/>
          <w:spacing w:val="-3"/>
          <w:sz w:val="22"/>
          <w:szCs w:val="22"/>
          <w:vertAlign w:val="superscript"/>
          <w:lang w:val="nl-NL"/>
        </w:rPr>
        <w:footnoteReference w:id="2"/>
      </w:r>
      <w:r w:rsidRPr="00454327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;</w:t>
      </w:r>
    </w:p>
    <w:p w:rsidR="00454327" w:rsidRPr="00454327" w:rsidRDefault="00454327" w:rsidP="00454327">
      <w:pPr>
        <w:spacing w:line="22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454327" w:rsidRPr="00454327" w:rsidRDefault="00454327" w:rsidP="00454327">
      <w:pPr>
        <w:widowControl/>
        <w:ind w:right="-46" w:firstLine="3"/>
        <w:jc w:val="center"/>
        <w:rPr>
          <w:rFonts w:ascii="Palatino Linotype" w:hAnsi="Palatino Linotype"/>
          <w:snapToGrid/>
          <w:spacing w:val="-3"/>
          <w:sz w:val="22"/>
          <w:szCs w:val="22"/>
          <w:lang w:val="nl-NL"/>
        </w:rPr>
      </w:pPr>
      <w:r w:rsidRPr="00454327">
        <w:rPr>
          <w:rFonts w:ascii="Palatino Linotype" w:hAnsi="Palatino Linotype"/>
          <w:snapToGrid/>
          <w:spacing w:val="-3"/>
          <w:sz w:val="22"/>
          <w:szCs w:val="22"/>
          <w:lang w:val="nl-NL"/>
        </w:rPr>
        <w:t>Heeft goedgevonden:</w:t>
      </w:r>
    </w:p>
    <w:p w:rsidR="00454327" w:rsidRPr="00454327" w:rsidRDefault="00454327" w:rsidP="00454327">
      <w:pPr>
        <w:spacing w:line="22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454327" w:rsidRPr="00454327" w:rsidRDefault="00454327" w:rsidP="00454327">
      <w:pPr>
        <w:spacing w:line="22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>De geconsolideerde tekst van het Landsbesluit, houdende algemene maatregelen, van de 13</w:t>
      </w:r>
      <w:r w:rsidRPr="00454327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454327">
        <w:rPr>
          <w:rFonts w:ascii="Palatino Linotype" w:hAnsi="Palatino Linotype"/>
          <w:sz w:val="22"/>
          <w:szCs w:val="22"/>
          <w:lang w:val="nl-NL"/>
        </w:rPr>
        <w:t xml:space="preserve"> november 2006, houdende erkenning van kennisbewijzen in de zin van het Bemanningsbesluit Nederlands-Antilliaanse en Arubaanse zeeschepen</w:t>
      </w:r>
      <w:r w:rsidRPr="00454327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3"/>
      </w:r>
      <w:r w:rsidRPr="00454327">
        <w:rPr>
          <w:rFonts w:ascii="Palatino Linotype" w:hAnsi="Palatino Linotype"/>
          <w:sz w:val="22"/>
          <w:szCs w:val="22"/>
          <w:lang w:val="nl-NL"/>
        </w:rPr>
        <w:t xml:space="preserve"> opgenomen in de bijlage bij dit landsbesluit wordt vastgesteld.</w:t>
      </w:r>
    </w:p>
    <w:p w:rsidR="00454327" w:rsidRPr="00454327" w:rsidRDefault="00454327" w:rsidP="00454327">
      <w:pPr>
        <w:spacing w:line="22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454327" w:rsidRPr="00454327" w:rsidRDefault="00454327" w:rsidP="00454327">
      <w:pPr>
        <w:spacing w:line="22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454327" w:rsidRPr="00454327" w:rsidRDefault="00454327" w:rsidP="00454327">
      <w:pPr>
        <w:spacing w:line="22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454327" w:rsidRDefault="00454327" w:rsidP="00454327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ab/>
        <w:t xml:space="preserve">Gegeven te Willemstad, </w:t>
      </w:r>
      <w:r>
        <w:rPr>
          <w:rFonts w:ascii="Palatino Linotype" w:hAnsi="Palatino Linotype"/>
          <w:sz w:val="22"/>
          <w:szCs w:val="22"/>
          <w:lang w:val="nl-NL"/>
        </w:rPr>
        <w:t>8 juli 2025</w:t>
      </w:r>
    </w:p>
    <w:p w:rsidR="00454327" w:rsidRPr="00454327" w:rsidRDefault="00454327" w:rsidP="00721940">
      <w:pPr>
        <w:tabs>
          <w:tab w:val="left" w:pos="5387"/>
        </w:tabs>
        <w:spacing w:after="120"/>
        <w:ind w:left="5400" w:right="576"/>
        <w:jc w:val="center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>M. RUSSEL - CAPRILES</w:t>
      </w:r>
    </w:p>
    <w:p w:rsidR="00454327" w:rsidRDefault="00454327" w:rsidP="00454327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454327" w:rsidRPr="00454327" w:rsidRDefault="00454327" w:rsidP="00721940">
      <w:pPr>
        <w:spacing w:after="120"/>
        <w:ind w:right="697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454327" w:rsidRPr="00454327" w:rsidRDefault="00454327" w:rsidP="00454327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ab/>
        <w:t xml:space="preserve">Uitgegeven de </w:t>
      </w:r>
      <w:r>
        <w:rPr>
          <w:rFonts w:ascii="Palatino Linotype" w:hAnsi="Palatino Linotype"/>
          <w:sz w:val="22"/>
          <w:szCs w:val="22"/>
          <w:lang w:val="nl-NL"/>
        </w:rPr>
        <w:t>15</w:t>
      </w:r>
      <w:r w:rsidRPr="00454327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augustus 2025</w:t>
      </w:r>
    </w:p>
    <w:p w:rsidR="00454327" w:rsidRDefault="00454327" w:rsidP="00454327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ab/>
        <w:t>De Minister van Algemene Zaken,</w:t>
      </w:r>
    </w:p>
    <w:p w:rsidR="00454327" w:rsidRDefault="00454327" w:rsidP="00721940">
      <w:pPr>
        <w:tabs>
          <w:tab w:val="left" w:pos="5387"/>
        </w:tabs>
        <w:ind w:left="5400" w:right="58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>G.S. PISAS</w:t>
      </w: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454327" w:rsidRPr="00454327" w:rsidRDefault="00454327" w:rsidP="00454327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lastRenderedPageBreak/>
        <w:t xml:space="preserve">BIJLAGE behorende bij het Landsbesluit van de </w:t>
      </w:r>
      <w:r w:rsidR="00721940" w:rsidRPr="00721940">
        <w:rPr>
          <w:rFonts w:ascii="Palatino Linotype" w:hAnsi="Palatino Linotype"/>
          <w:snapToGrid/>
          <w:sz w:val="22"/>
          <w:szCs w:val="22"/>
          <w:lang w:val="nl-NL"/>
        </w:rPr>
        <w:t>8</w:t>
      </w:r>
      <w:r w:rsidR="00721940" w:rsidRPr="00721940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 w:rsidR="00721940" w:rsidRPr="00721940">
        <w:rPr>
          <w:rFonts w:ascii="Palatino Linotype" w:hAnsi="Palatino Linotype"/>
          <w:snapToGrid/>
          <w:sz w:val="22"/>
          <w:szCs w:val="22"/>
          <w:lang w:val="nl-NL"/>
        </w:rPr>
        <w:t xml:space="preserve"> juli 2025</w:t>
      </w:r>
      <w:r w:rsidR="00721940" w:rsidRPr="00454327">
        <w:rPr>
          <w:rFonts w:ascii="Palatino Linotype" w:hAnsi="Palatino Linotype"/>
          <w:snapToGrid/>
          <w:sz w:val="22"/>
          <w:szCs w:val="22"/>
          <w:lang w:val="nl-NL"/>
        </w:rPr>
        <w:t xml:space="preserve">, no. </w:t>
      </w:r>
      <w:r w:rsidR="00721940" w:rsidRPr="00721940">
        <w:rPr>
          <w:rFonts w:ascii="Palatino Linotype" w:hAnsi="Palatino Linotype"/>
          <w:snapToGrid/>
          <w:sz w:val="22"/>
          <w:szCs w:val="22"/>
          <w:lang w:val="nl-NL"/>
        </w:rPr>
        <w:t>25/1690</w:t>
      </w:r>
      <w:r w:rsidRPr="00454327">
        <w:rPr>
          <w:rFonts w:ascii="Palatino Linotype" w:hAnsi="Palatino Linotype"/>
          <w:sz w:val="22"/>
          <w:szCs w:val="22"/>
          <w:lang w:val="nl-NL"/>
        </w:rPr>
        <w:t>, houdende vaststelling van de geconsolideerde tekst van het Landsbesluit, houdende algemene maatregelen, van de 13</w:t>
      </w:r>
      <w:r w:rsidRPr="00454327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454327">
        <w:rPr>
          <w:rFonts w:ascii="Palatino Linotype" w:hAnsi="Palatino Linotype"/>
          <w:sz w:val="22"/>
          <w:szCs w:val="22"/>
          <w:lang w:val="nl-NL"/>
        </w:rPr>
        <w:t xml:space="preserve"> november 2006, houdende erkenning van kennisbewijzen in de zin van het Bemanningsbesluit Nederlands-Antilliaanse en Arubaanse zeeschepen</w:t>
      </w:r>
      <w:r w:rsidRPr="00454327">
        <w:rPr>
          <w:rFonts w:ascii="Palatino Linotype" w:hAnsi="Palatino Linotype"/>
          <w:sz w:val="22"/>
          <w:szCs w:val="22"/>
          <w:vertAlign w:val="superscript"/>
          <w:lang w:val="nl-NL"/>
        </w:rPr>
        <w:footnoteReference w:id="4"/>
      </w:r>
    </w:p>
    <w:p w:rsidR="00454327" w:rsidRPr="00454327" w:rsidRDefault="00454327" w:rsidP="00454327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>Geconsolideerde tekst van het Landsbesluit, houdende algemene maatregelen, van de 13</w:t>
      </w:r>
      <w:r w:rsidRPr="00454327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454327">
        <w:rPr>
          <w:rFonts w:ascii="Palatino Linotype" w:hAnsi="Palatino Linotype"/>
          <w:sz w:val="22"/>
          <w:szCs w:val="22"/>
          <w:lang w:val="nl-NL"/>
        </w:rPr>
        <w:t xml:space="preserve"> november 2006, houdende erkenning van kennisbewijzen in de zin van het Bemanningsbesluit Nederlands-Antilliaanse en Arubaanse zeeschepen (P.B. 2006, no. 95),</w:t>
      </w:r>
      <w:r w:rsidRPr="00454327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 w:rsidRPr="00454327">
        <w:rPr>
          <w:rFonts w:ascii="Palatino Linotype" w:hAnsi="Palatino Linotype"/>
          <w:sz w:val="22"/>
          <w:szCs w:val="22"/>
          <w:lang w:val="nl-NL"/>
        </w:rPr>
        <w:t>zoals deze luidt na in overeenstemming te zijn gebracht met de aanwijzingen van de Algemene overgangsregeling wetgeving en bestuur Land Curaçao (A.B. 2010, no. 87, bijlage a).</w:t>
      </w:r>
    </w:p>
    <w:p w:rsidR="00454327" w:rsidRPr="00454327" w:rsidRDefault="00454327" w:rsidP="00454327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>-----</w:t>
      </w:r>
    </w:p>
    <w:p w:rsidR="00454327" w:rsidRPr="00454327" w:rsidRDefault="00454327" w:rsidP="00454327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454327" w:rsidRPr="00454327" w:rsidRDefault="00454327" w:rsidP="00454327">
      <w:pPr>
        <w:rPr>
          <w:rFonts w:ascii="Times New Roman" w:hAnsi="Times New Roman"/>
          <w:szCs w:val="24"/>
          <w:lang w:val="nl-NL"/>
        </w:rPr>
      </w:pPr>
    </w:p>
    <w:p w:rsidR="00454327" w:rsidRPr="00454327" w:rsidRDefault="00454327" w:rsidP="00454327">
      <w:pPr>
        <w:widowControl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454327">
        <w:rPr>
          <w:rFonts w:ascii="Palatino Linotype" w:hAnsi="Palatino Linotype"/>
          <w:snapToGrid/>
          <w:sz w:val="22"/>
          <w:szCs w:val="22"/>
          <w:lang w:val="nl-NL"/>
        </w:rPr>
        <w:t>De volgende kennisbewijzen, welke worden uitgegeven door de Stichting Nederlands Antilliaans Zeevaart Instituut, worden erkend als kennisbewijs in de zin van het Bemanningsbesluit Arubaanse, Curaçaose en Sint Maartense zeeschepen: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6"/>
        <w:gridCol w:w="4924"/>
      </w:tblGrid>
      <w:tr w:rsidR="00454327" w:rsidRPr="009F2B2E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jc w:val="both"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Naam kennisbewijs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Artikel Bemanningsbesluit Arubaanse, Curaçaose en Sint Maartense zeeschepen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Middelbaar maritiem officier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37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Wachtstuurman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38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Aanvulling stuurman handelsvaart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39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Wachtwerktuigkundige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40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Stuurman-werktuigkundige kleine schepen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41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Wachtstuurman tot 3000 GT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42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Wachtwerktuigkundige tot 3000 kW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43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Schipper-machinist reizen nabij de kust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44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 xml:space="preserve">Gezel met de beperking </w:t>
            </w:r>
            <w:proofErr w:type="spellStart"/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dekdienst</w:t>
            </w:r>
            <w:proofErr w:type="spellEnd"/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45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Gezel met de beperking machinekamerdienst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46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Scheepsmanagement-N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47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Scheepsmanagement-W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48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Radarnavigator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49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Basisveiligheid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65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Sloepsgast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66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Brandbestrijding voor gevorderden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68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Scheepsgezondheidszorg-B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69</w:t>
            </w:r>
          </w:p>
        </w:tc>
      </w:tr>
      <w:tr w:rsidR="00454327" w:rsidRPr="00454327" w:rsidTr="00AA684E">
        <w:tc>
          <w:tcPr>
            <w:tcW w:w="4436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Scheepsgezondheidszorg-O</w:t>
            </w:r>
          </w:p>
        </w:tc>
        <w:tc>
          <w:tcPr>
            <w:tcW w:w="4924" w:type="dxa"/>
          </w:tcPr>
          <w:p w:rsidR="00454327" w:rsidRPr="00454327" w:rsidRDefault="00454327" w:rsidP="00454327">
            <w:pPr>
              <w:widowControl/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</w:pPr>
            <w:r w:rsidRPr="00454327">
              <w:rPr>
                <w:rFonts w:ascii="Palatino Linotype" w:hAnsi="Palatino Linotype"/>
                <w:snapToGrid/>
                <w:sz w:val="22"/>
                <w:szCs w:val="22"/>
                <w:lang w:val="nl-NL"/>
              </w:rPr>
              <w:t>69</w:t>
            </w:r>
          </w:p>
        </w:tc>
      </w:tr>
    </w:tbl>
    <w:p w:rsidR="00454327" w:rsidRDefault="00454327" w:rsidP="00454327">
      <w:r>
        <w:br w:type="page"/>
      </w:r>
    </w:p>
    <w:p w:rsidR="00454327" w:rsidRPr="00454327" w:rsidRDefault="00454327" w:rsidP="00454327">
      <w:pPr>
        <w:jc w:val="center"/>
        <w:rPr>
          <w:rFonts w:ascii="Palatino Linotype" w:hAnsi="Palatino Linotype"/>
          <w:sz w:val="22"/>
          <w:szCs w:val="22"/>
        </w:rPr>
      </w:pPr>
      <w:proofErr w:type="spellStart"/>
      <w:r w:rsidRPr="00454327">
        <w:rPr>
          <w:rFonts w:ascii="Palatino Linotype" w:hAnsi="Palatino Linotype"/>
          <w:sz w:val="22"/>
          <w:szCs w:val="22"/>
        </w:rPr>
        <w:lastRenderedPageBreak/>
        <w:t>Artikel</w:t>
      </w:r>
      <w:proofErr w:type="spellEnd"/>
      <w:r w:rsidRPr="00454327">
        <w:rPr>
          <w:rFonts w:ascii="Palatino Linotype" w:hAnsi="Palatino Linotype"/>
          <w:sz w:val="22"/>
          <w:szCs w:val="22"/>
        </w:rPr>
        <w:t xml:space="preserve"> 2</w:t>
      </w:r>
    </w:p>
    <w:p w:rsidR="00454327" w:rsidRPr="00454327" w:rsidRDefault="00454327" w:rsidP="00454327">
      <w:pPr>
        <w:jc w:val="center"/>
        <w:rPr>
          <w:rFonts w:ascii="Palatino Linotype" w:hAnsi="Palatino Linotype"/>
          <w:sz w:val="22"/>
          <w:szCs w:val="22"/>
        </w:rPr>
      </w:pPr>
    </w:p>
    <w:p w:rsidR="00454327" w:rsidRPr="00454327" w:rsidRDefault="00454327" w:rsidP="00454327">
      <w:pPr>
        <w:keepNext/>
        <w:widowControl/>
        <w:numPr>
          <w:ilvl w:val="0"/>
          <w:numId w:val="7"/>
        </w:numPr>
        <w:ind w:left="360"/>
        <w:jc w:val="both"/>
        <w:outlineLvl w:val="0"/>
        <w:rPr>
          <w:rFonts w:ascii="Palatino Linotype" w:hAnsi="Palatino Linotype"/>
          <w:snapToGrid/>
          <w:sz w:val="22"/>
          <w:szCs w:val="22"/>
          <w:lang w:val="nl-NL"/>
        </w:rPr>
      </w:pPr>
      <w:r w:rsidRPr="00454327">
        <w:rPr>
          <w:rFonts w:ascii="Palatino Linotype" w:hAnsi="Palatino Linotype"/>
          <w:snapToGrid/>
          <w:sz w:val="22"/>
          <w:szCs w:val="22"/>
          <w:lang w:val="nl-NL"/>
        </w:rPr>
        <w:t>De opleidingen die ten grondslag liggen aan de in artikel 1 genoemde kennisbewijzen dienen te voldoen aan de voorwaarden, genoemd in de achter de desbetreffende kennisbewijzen vermelde bepalingen van het Bemanningsbesluit Arubaanse, Curaçaose en Sint Maartense zeeschepen.</w:t>
      </w:r>
    </w:p>
    <w:p w:rsidR="00454327" w:rsidRPr="00454327" w:rsidRDefault="00454327" w:rsidP="00454327">
      <w:pPr>
        <w:keepNext/>
        <w:widowControl/>
        <w:numPr>
          <w:ilvl w:val="0"/>
          <w:numId w:val="7"/>
        </w:numPr>
        <w:ind w:left="360"/>
        <w:jc w:val="both"/>
        <w:outlineLvl w:val="0"/>
        <w:rPr>
          <w:rFonts w:ascii="Palatino Linotype" w:hAnsi="Palatino Linotype"/>
          <w:snapToGrid/>
          <w:sz w:val="22"/>
          <w:szCs w:val="22"/>
          <w:lang w:val="nl-NL"/>
        </w:rPr>
      </w:pPr>
      <w:r w:rsidRPr="00454327">
        <w:rPr>
          <w:rFonts w:ascii="Palatino Linotype" w:hAnsi="Palatino Linotype"/>
          <w:snapToGrid/>
          <w:sz w:val="22"/>
          <w:szCs w:val="22"/>
          <w:lang w:val="nl-NL"/>
        </w:rPr>
        <w:t xml:space="preserve">De examens ter afsluiting van de opleidingen voor de in artikel 1 genoemde kennisbewijzen, worden afgenomen onder de auspiciën van een </w:t>
      </w:r>
      <w:proofErr w:type="spellStart"/>
      <w:r w:rsidRPr="00454327">
        <w:rPr>
          <w:rFonts w:ascii="Palatino Linotype" w:hAnsi="Palatino Linotype"/>
          <w:snapToGrid/>
          <w:sz w:val="22"/>
          <w:szCs w:val="22"/>
          <w:lang w:val="nl-NL"/>
        </w:rPr>
        <w:t>klassebureau</w:t>
      </w:r>
      <w:proofErr w:type="spellEnd"/>
      <w:r w:rsidRPr="00454327">
        <w:rPr>
          <w:rFonts w:ascii="Palatino Linotype" w:hAnsi="Palatino Linotype"/>
          <w:snapToGrid/>
          <w:sz w:val="22"/>
          <w:szCs w:val="22"/>
          <w:lang w:val="nl-NL"/>
        </w:rPr>
        <w:t xml:space="preserve"> voor de scheepvaart waarbij Curaçao is aangesloten dan wel van het Expertisecentrum voor Toetsen en Examens van het Ministerie van Onderwijs, Wetenschap, Cultuu</w:t>
      </w:r>
      <w:bookmarkStart w:id="1" w:name="_GoBack"/>
      <w:bookmarkEnd w:id="1"/>
      <w:r w:rsidRPr="00454327">
        <w:rPr>
          <w:rFonts w:ascii="Palatino Linotype" w:hAnsi="Palatino Linotype"/>
          <w:snapToGrid/>
          <w:sz w:val="22"/>
          <w:szCs w:val="22"/>
          <w:lang w:val="nl-NL"/>
        </w:rPr>
        <w:t>r en Sport.</w:t>
      </w:r>
    </w:p>
    <w:p w:rsidR="00454327" w:rsidRPr="00454327" w:rsidRDefault="00454327" w:rsidP="00454327">
      <w:pPr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keepNext/>
        <w:widowControl/>
        <w:jc w:val="center"/>
        <w:outlineLvl w:val="1"/>
        <w:rPr>
          <w:rFonts w:ascii="Palatino Linotype" w:hAnsi="Palatino Linotype"/>
          <w:snapToGrid/>
          <w:sz w:val="22"/>
          <w:szCs w:val="22"/>
          <w:lang w:val="nl-NL"/>
        </w:rPr>
      </w:pPr>
      <w:r w:rsidRPr="00454327">
        <w:rPr>
          <w:rFonts w:ascii="Palatino Linotype" w:hAnsi="Palatino Linotype"/>
          <w:snapToGrid/>
          <w:sz w:val="22"/>
          <w:szCs w:val="22"/>
          <w:lang w:val="nl-NL"/>
        </w:rPr>
        <w:t>Artikel 3</w:t>
      </w:r>
    </w:p>
    <w:p w:rsidR="00454327" w:rsidRPr="00454327" w:rsidRDefault="00454327" w:rsidP="00454327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>(vervallen)</w:t>
      </w:r>
    </w:p>
    <w:p w:rsidR="00454327" w:rsidRPr="00454327" w:rsidRDefault="00454327" w:rsidP="00454327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454327">
        <w:rPr>
          <w:rFonts w:ascii="Palatino Linotype" w:hAnsi="Palatino Linotype"/>
          <w:sz w:val="22"/>
          <w:szCs w:val="22"/>
          <w:lang w:val="nl-NL"/>
        </w:rPr>
        <w:t>***</w:t>
      </w:r>
    </w:p>
    <w:p w:rsidR="00454327" w:rsidRPr="00454327" w:rsidRDefault="00454327" w:rsidP="00454327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454327" w:rsidRPr="00454327" w:rsidRDefault="00454327" w:rsidP="00454327">
      <w:pPr>
        <w:rPr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454327" w:rsidRPr="002B11FC" w:rsidRDefault="00454327" w:rsidP="00454327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van </w:t>
      </w:r>
      <w:r w:rsidRPr="00D62A41">
        <w:rPr>
          <w:rFonts w:ascii="Palatino Linotype" w:hAnsi="Palatino Linotype"/>
          <w:sz w:val="18"/>
          <w:szCs w:val="18"/>
          <w:lang w:val="nl-NL"/>
        </w:rPr>
        <w:t>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D62A41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:rsidR="00454327" w:rsidRPr="00454327" w:rsidRDefault="00454327" w:rsidP="00454327">
      <w:pPr>
        <w:pStyle w:val="FootnoteText"/>
        <w:tabs>
          <w:tab w:val="left" w:pos="142"/>
        </w:tabs>
        <w:ind w:left="142" w:hanging="142"/>
        <w:jc w:val="both"/>
        <w:rPr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454327"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454327">
        <w:rPr>
          <w:rFonts w:ascii="Palatino Linotype" w:hAnsi="Palatino Linotype"/>
          <w:sz w:val="18"/>
          <w:szCs w:val="18"/>
          <w:lang w:val="nl-NL"/>
        </w:rPr>
        <w:tab/>
        <w:t>A.B. 2010, no. 87, bijlage a.</w:t>
      </w:r>
    </w:p>
  </w:footnote>
  <w:footnote w:id="3">
    <w:p w:rsidR="00454327" w:rsidRPr="00D4144B" w:rsidRDefault="00454327" w:rsidP="00454327">
      <w:pPr>
        <w:pStyle w:val="FootnoteText"/>
        <w:ind w:left="180" w:hanging="180"/>
        <w:jc w:val="both"/>
        <w:rPr>
          <w:rFonts w:ascii="Palatino Linotype" w:hAnsi="Palatino Linotype"/>
          <w:sz w:val="18"/>
          <w:szCs w:val="18"/>
          <w:lang w:val="nl-NL"/>
        </w:rPr>
      </w:pPr>
      <w:r w:rsidRPr="00D4144B">
        <w:rPr>
          <w:rStyle w:val="FootnoteReference"/>
          <w:rFonts w:ascii="Palatino Linotype" w:hAnsi="Palatino Linotype"/>
          <w:sz w:val="18"/>
          <w:szCs w:val="18"/>
          <w:lang w:val="nl-NL"/>
        </w:rPr>
        <w:footnoteRef/>
      </w:r>
      <w:r w:rsidRPr="00D4144B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 xml:space="preserve"> </w:t>
      </w:r>
      <w:r w:rsidRPr="00D4144B">
        <w:rPr>
          <w:rFonts w:ascii="Palatino Linotype" w:hAnsi="Palatino Linotype"/>
          <w:sz w:val="18"/>
          <w:szCs w:val="18"/>
          <w:lang w:val="nl-NL"/>
        </w:rPr>
        <w:t xml:space="preserve">De aanhaling van </w:t>
      </w:r>
      <w:r>
        <w:rPr>
          <w:rFonts w:ascii="Palatino Linotype" w:hAnsi="Palatino Linotype"/>
          <w:sz w:val="18"/>
          <w:szCs w:val="18"/>
          <w:lang w:val="nl-NL"/>
        </w:rPr>
        <w:t>het Bemanningsbesluit zelf</w:t>
      </w:r>
      <w:r w:rsidRPr="00D4144B">
        <w:rPr>
          <w:rFonts w:ascii="Palatino Linotype" w:hAnsi="Palatino Linotype"/>
          <w:sz w:val="18"/>
          <w:szCs w:val="18"/>
          <w:lang w:val="nl-NL"/>
        </w:rPr>
        <w:t xml:space="preserve"> is bij P.B. 2010, no. 63 gewijzigd in: Beman</w:t>
      </w:r>
      <w:r>
        <w:rPr>
          <w:rFonts w:ascii="Palatino Linotype" w:hAnsi="Palatino Linotype"/>
          <w:sz w:val="18"/>
          <w:szCs w:val="18"/>
          <w:lang w:val="nl-NL"/>
        </w:rPr>
        <w:t>n</w:t>
      </w:r>
      <w:r w:rsidRPr="00D4144B">
        <w:rPr>
          <w:rFonts w:ascii="Palatino Linotype" w:hAnsi="Palatino Linotype"/>
          <w:sz w:val="18"/>
          <w:szCs w:val="18"/>
          <w:lang w:val="nl-NL"/>
        </w:rPr>
        <w:t>ingsbesluit Arubaanse, Curaçaose en Sint Maartense zeeschepen.</w:t>
      </w:r>
    </w:p>
  </w:footnote>
  <w:footnote w:id="4">
    <w:p w:rsidR="00454327" w:rsidRPr="00F8329B" w:rsidRDefault="00454327" w:rsidP="00454327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D62A41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D62A41">
        <w:rPr>
          <w:rFonts w:ascii="Palatino Linotype" w:hAnsi="Palatino Linotype"/>
          <w:sz w:val="18"/>
          <w:szCs w:val="18"/>
          <w:lang w:val="nl-NL"/>
        </w:rPr>
        <w:t xml:space="preserve"> P.B. 2006, no. 95.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721940">
      <w:rPr>
        <w:rFonts w:ascii="Times New Roman" w:hAnsi="Times New Roman"/>
        <w:b/>
        <w:spacing w:val="-4"/>
        <w:sz w:val="36"/>
      </w:rPr>
      <w:t>11</w:t>
    </w:r>
    <w:r w:rsidR="001C4DF2">
      <w:rPr>
        <w:rFonts w:ascii="Times New Roman" w:hAnsi="Times New Roman"/>
        <w:b/>
        <w:spacing w:val="-4"/>
        <w:sz w:val="36"/>
      </w:rPr>
      <w:t>2</w:t>
    </w:r>
    <w:r w:rsidR="00721940">
      <w:rPr>
        <w:rFonts w:ascii="Times New Roman" w:hAnsi="Times New Roman"/>
        <w:b/>
        <w:spacing w:val="-4"/>
        <w:sz w:val="36"/>
      </w:rPr>
      <w:t xml:space="preserve">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721940">
      <w:rPr>
        <w:rFonts w:ascii="Times New Roman" w:hAnsi="Times New Roman"/>
        <w:b/>
        <w:spacing w:val="-4"/>
        <w:sz w:val="36"/>
      </w:rPr>
      <w:t>11</w:t>
    </w:r>
    <w:r w:rsidR="00876FF6">
      <w:rPr>
        <w:rFonts w:ascii="Times New Roman" w:hAnsi="Times New Roman"/>
        <w:b/>
        <w:spacing w:val="-4"/>
        <w:sz w:val="36"/>
      </w:rPr>
      <w:t>2</w:t>
    </w:r>
    <w:r w:rsidR="00303DE1">
      <w:rPr>
        <w:rFonts w:ascii="Times New Roman" w:hAnsi="Times New Roman"/>
        <w:b/>
        <w:spacing w:val="-4"/>
        <w:sz w:val="36"/>
      </w:rPr>
      <w:t xml:space="preserve"> (GT)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82454"/>
    <w:multiLevelType w:val="hybridMultilevel"/>
    <w:tmpl w:val="66008C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03DE1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54327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021E"/>
    <w:rsid w:val="006725E6"/>
    <w:rsid w:val="006C19FE"/>
    <w:rsid w:val="006F659E"/>
    <w:rsid w:val="00721940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9F2B2E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07BB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WJZ10</cp:lastModifiedBy>
  <cp:revision>2</cp:revision>
  <cp:lastPrinted>2011-07-22T21:19:00Z</cp:lastPrinted>
  <dcterms:created xsi:type="dcterms:W3CDTF">2025-08-15T21:36:00Z</dcterms:created>
  <dcterms:modified xsi:type="dcterms:W3CDTF">2025-08-15T21:36:00Z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20250815173053110</vt:lpwstr>
  </property>
</Properties>
</file>