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B131B">
        <w:rPr>
          <w:b/>
          <w:sz w:val="36"/>
          <w:szCs w:val="36"/>
        </w:rPr>
        <w:fldChar w:fldCharType="begin">
          <w:ffData>
            <w:name w:val="Text2"/>
            <w:enabled/>
            <w:calcOnExit w:val="0"/>
            <w:textInput>
              <w:default w:val="142"/>
            </w:textInput>
          </w:ffData>
        </w:fldChar>
      </w:r>
      <w:bookmarkStart w:id="0" w:name="Text2"/>
      <w:r w:rsidR="006B131B" w:rsidRPr="005C7CA2">
        <w:rPr>
          <w:b/>
          <w:sz w:val="36"/>
          <w:szCs w:val="36"/>
          <w:lang w:val="nl-NL"/>
        </w:rPr>
        <w:instrText xml:space="preserve"> FORMTEXT </w:instrText>
      </w:r>
      <w:r w:rsidR="006B131B">
        <w:rPr>
          <w:b/>
          <w:sz w:val="36"/>
          <w:szCs w:val="36"/>
        </w:rPr>
      </w:r>
      <w:r w:rsidR="006B131B">
        <w:rPr>
          <w:b/>
          <w:sz w:val="36"/>
          <w:szCs w:val="36"/>
        </w:rPr>
        <w:fldChar w:fldCharType="separate"/>
      </w:r>
      <w:r w:rsidR="006B131B" w:rsidRPr="005C7CA2">
        <w:rPr>
          <w:b/>
          <w:noProof/>
          <w:sz w:val="36"/>
          <w:szCs w:val="36"/>
          <w:lang w:val="nl-NL"/>
        </w:rPr>
        <w:t>142</w:t>
      </w:r>
      <w:r w:rsidR="006B131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B131B" w:rsidRPr="006B131B" w:rsidRDefault="006B131B" w:rsidP="006B131B">
      <w:pPr>
        <w:widowControl/>
        <w:spacing w:after="120"/>
        <w:jc w:val="both"/>
        <w:rPr>
          <w:rFonts w:ascii="Palatino Linotype" w:hAnsi="Palatino Linotype"/>
          <w:b/>
          <w:snapToGrid/>
          <w:sz w:val="22"/>
          <w:szCs w:val="22"/>
          <w:lang w:val="nl-NL"/>
        </w:rPr>
      </w:pPr>
      <w:r w:rsidRPr="006B131B">
        <w:rPr>
          <w:rFonts w:ascii="Palatino Linotype" w:hAnsi="Palatino Linotype"/>
          <w:b/>
          <w:snapToGrid/>
          <w:sz w:val="22"/>
          <w:szCs w:val="22"/>
          <w:lang w:val="nl-NL"/>
        </w:rPr>
        <w:t>MINISTERIËLE REGELING MET ALGEMENE WERKING, van de 31</w:t>
      </w:r>
      <w:r w:rsidRPr="006B131B">
        <w:rPr>
          <w:rFonts w:ascii="Palatino Linotype" w:hAnsi="Palatino Linotype"/>
          <w:b/>
          <w:snapToGrid/>
          <w:sz w:val="22"/>
          <w:szCs w:val="22"/>
          <w:vertAlign w:val="superscript"/>
          <w:lang w:val="nl-NL"/>
        </w:rPr>
        <w:t>ste</w:t>
      </w:r>
      <w:r w:rsidRPr="006B131B">
        <w:rPr>
          <w:rFonts w:ascii="Palatino Linotype" w:hAnsi="Palatino Linotype"/>
          <w:b/>
          <w:snapToGrid/>
          <w:sz w:val="22"/>
          <w:szCs w:val="22"/>
          <w:lang w:val="nl-NL"/>
        </w:rPr>
        <w:t xml:space="preserve"> oktober 2025 ter uitvoering van artikel 20a van het Landsbesluit methodiek bepaling passagiersfaciliteitengelden en landings- en parkeergelden (Ministeri</w:t>
      </w:r>
      <w:r w:rsidRPr="006B131B">
        <w:rPr>
          <w:rFonts w:ascii="Calibri" w:hAnsi="Calibri" w:cs="Calibri"/>
          <w:b/>
          <w:snapToGrid/>
          <w:sz w:val="22"/>
          <w:szCs w:val="22"/>
          <w:lang w:val="nl-NL"/>
        </w:rPr>
        <w:t>ë</w:t>
      </w:r>
      <w:r w:rsidRPr="006B131B">
        <w:rPr>
          <w:rFonts w:ascii="Palatino Linotype" w:hAnsi="Palatino Linotype"/>
          <w:b/>
          <w:snapToGrid/>
          <w:sz w:val="22"/>
          <w:szCs w:val="22"/>
          <w:lang w:val="nl-NL"/>
        </w:rPr>
        <w:t>le regeling APIS 2026)</w:t>
      </w: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____________</w:t>
      </w:r>
    </w:p>
    <w:p w:rsidR="006B131B" w:rsidRPr="006B131B" w:rsidRDefault="006B131B" w:rsidP="006B131B">
      <w:pPr>
        <w:widowControl/>
        <w:spacing w:line="220" w:lineRule="exact"/>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De Minister van Verkeer, Vervoer en Ruimtelijke Planning,</w:t>
      </w: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tabs>
          <w:tab w:val="left" w:pos="567"/>
        </w:tabs>
        <w:ind w:left="567" w:hanging="567"/>
        <w:rPr>
          <w:rFonts w:ascii="Palatino Linotype" w:hAnsi="Palatino Linotype"/>
          <w:snapToGrid/>
          <w:sz w:val="22"/>
          <w:szCs w:val="22"/>
          <w:lang w:val="nl-NL"/>
        </w:rPr>
      </w:pPr>
      <w:r w:rsidRPr="006B131B">
        <w:rPr>
          <w:rFonts w:ascii="Palatino Linotype" w:hAnsi="Palatino Linotype"/>
          <w:snapToGrid/>
          <w:sz w:val="22"/>
          <w:szCs w:val="22"/>
          <w:lang w:val="nl-NL"/>
        </w:rPr>
        <w:t>Overwegende:</w:t>
      </w: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keepNext/>
        <w:widowControl/>
        <w:jc w:val="both"/>
        <w:outlineLvl w:val="0"/>
        <w:rPr>
          <w:rFonts w:ascii="Palatino Linotype" w:hAnsi="Palatino Linotype"/>
          <w:snapToGrid/>
          <w:sz w:val="22"/>
          <w:szCs w:val="22"/>
          <w:lang w:val="nl-NL"/>
        </w:rPr>
      </w:pPr>
      <w:r w:rsidRPr="006B131B">
        <w:rPr>
          <w:rFonts w:ascii="Palatino Linotype" w:hAnsi="Palatino Linotype"/>
          <w:snapToGrid/>
          <w:sz w:val="22"/>
          <w:szCs w:val="22"/>
          <w:lang w:val="nl-NL"/>
        </w:rPr>
        <w:t>dat krachtens artikel 20a van het Landsbesluit methodiek bepaling passagiersfaciliteitengelden en landings- en parkeergelden</w:t>
      </w:r>
      <w:r w:rsidRPr="006B131B">
        <w:rPr>
          <w:rFonts w:ascii="Palatino Linotype" w:hAnsi="Palatino Linotype"/>
          <w:snapToGrid/>
          <w:sz w:val="22"/>
          <w:szCs w:val="22"/>
          <w:vertAlign w:val="superscript"/>
          <w:lang w:val="nl-NL"/>
        </w:rPr>
        <w:footnoteReference w:id="1"/>
      </w:r>
      <w:r w:rsidRPr="006B131B">
        <w:rPr>
          <w:rFonts w:ascii="Palatino Linotype" w:hAnsi="Palatino Linotype"/>
          <w:snapToGrid/>
          <w:sz w:val="22"/>
          <w:szCs w:val="22"/>
          <w:lang w:val="nl-NL"/>
        </w:rPr>
        <w:t xml:space="preserve"> de Minister van Verkeer, Vervoer en Ruimtelijke Planning, op voordracht van de Minister van Justitie, bevoegd is het tarief vast te stellen voor de uitvoering van de Advance Passenger Information System (APIS);</w:t>
      </w:r>
    </w:p>
    <w:p w:rsidR="006B131B" w:rsidRPr="006B131B" w:rsidRDefault="006B131B" w:rsidP="006B131B">
      <w:pPr>
        <w:widowControl/>
        <w:rPr>
          <w:rFonts w:ascii="Times New Roman" w:hAnsi="Times New Roman"/>
          <w:snapToGrid/>
          <w:sz w:val="20"/>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 xml:space="preserve">dat de Minister van Justitie bij brief van 30 oktober 2025, zaaknummer 2025/048869, de voordracht, bedoeld in artikel 20a van het Landsbesluit methodiek bepaling passagiersfaciliteitengelden en landings- en parkeergelden, heeft gedaan;  </w:t>
      </w: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Gelet op artikel 20a van het Landsbesluit methodiek bepaling passagiersfaciliteitengelden en landings- en parkeergelden;</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Heeft besloten:</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Artikel 1</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keepNext/>
        <w:widowControl/>
        <w:numPr>
          <w:ilvl w:val="0"/>
          <w:numId w:val="7"/>
        </w:numPr>
        <w:ind w:left="360" w:right="75"/>
        <w:jc w:val="both"/>
        <w:outlineLvl w:val="0"/>
        <w:rPr>
          <w:rFonts w:ascii="Palatino Linotype" w:hAnsi="Palatino Linotype"/>
          <w:snapToGrid/>
          <w:sz w:val="22"/>
          <w:szCs w:val="22"/>
          <w:lang w:val="nl-NL"/>
        </w:rPr>
      </w:pPr>
      <w:r w:rsidRPr="006B131B">
        <w:rPr>
          <w:rFonts w:ascii="Palatino Linotype" w:hAnsi="Palatino Linotype"/>
          <w:snapToGrid/>
          <w:sz w:val="22"/>
          <w:szCs w:val="22"/>
          <w:lang w:val="nl-NL"/>
        </w:rPr>
        <w:t>Voor transfer-passagiers is het bedrag van de APIS US$ 2.79 per passagier, ongeacht zijn bestemming.</w:t>
      </w:r>
    </w:p>
    <w:p w:rsidR="006B131B" w:rsidRPr="006B131B" w:rsidRDefault="006B131B" w:rsidP="006B131B">
      <w:pPr>
        <w:widowControl/>
        <w:numPr>
          <w:ilvl w:val="0"/>
          <w:numId w:val="7"/>
        </w:numPr>
        <w:ind w:left="360" w:right="75"/>
        <w:contextualSpacing/>
        <w:jc w:val="both"/>
        <w:rPr>
          <w:rFonts w:ascii="Palatino Linotype" w:hAnsi="Palatino Linotype"/>
          <w:snapToGrid/>
          <w:sz w:val="22"/>
          <w:szCs w:val="22"/>
          <w:lang w:val="nl-NL"/>
        </w:rPr>
      </w:pPr>
      <w:r w:rsidRPr="006B131B">
        <w:rPr>
          <w:rFonts w:ascii="Palatino Linotype" w:hAnsi="Palatino Linotype"/>
          <w:snapToGrid/>
          <w:sz w:val="22"/>
          <w:szCs w:val="22"/>
          <w:lang w:val="nl-NL"/>
        </w:rPr>
        <w:t>Voor vertrekkende passagiers van en naar Cura</w:t>
      </w:r>
      <w:r w:rsidRPr="006B131B">
        <w:rPr>
          <w:rFonts w:ascii="Calibri" w:hAnsi="Calibri" w:cs="Calibri"/>
          <w:snapToGrid/>
          <w:sz w:val="22"/>
          <w:szCs w:val="22"/>
          <w:lang w:val="nl-NL"/>
        </w:rPr>
        <w:t>ç</w:t>
      </w:r>
      <w:r w:rsidRPr="006B131B">
        <w:rPr>
          <w:rFonts w:ascii="Palatino Linotype" w:hAnsi="Palatino Linotype"/>
          <w:snapToGrid/>
          <w:sz w:val="22"/>
          <w:szCs w:val="22"/>
          <w:lang w:val="nl-NL"/>
        </w:rPr>
        <w:t>ao is het bedrag van de APIS US$ 2.79 per passagier.</w:t>
      </w:r>
    </w:p>
    <w:p w:rsidR="006B131B" w:rsidRPr="006B131B" w:rsidRDefault="006B131B" w:rsidP="006B131B">
      <w:pPr>
        <w:widowControl/>
        <w:numPr>
          <w:ilvl w:val="0"/>
          <w:numId w:val="7"/>
        </w:numPr>
        <w:ind w:left="360" w:right="74"/>
        <w:contextualSpacing/>
        <w:jc w:val="both"/>
        <w:rPr>
          <w:rFonts w:ascii="Palatino Linotype" w:hAnsi="Palatino Linotype"/>
          <w:snapToGrid/>
          <w:sz w:val="22"/>
          <w:szCs w:val="22"/>
          <w:lang w:val="nl-NL"/>
        </w:rPr>
      </w:pPr>
      <w:r w:rsidRPr="006B131B">
        <w:rPr>
          <w:rFonts w:ascii="Palatino Linotype" w:hAnsi="Palatino Linotype"/>
          <w:snapToGrid/>
          <w:sz w:val="22"/>
          <w:szCs w:val="22"/>
          <w:lang w:val="nl-NL"/>
        </w:rPr>
        <w:t>De in dit artikel genoemde bedragen kunnen tevens worden uitgedrukt in de tegenwaarde ervan in Caribische guldens.</w:t>
      </w:r>
    </w:p>
    <w:p w:rsidR="006B131B" w:rsidRDefault="006B131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6B131B" w:rsidRDefault="006B131B" w:rsidP="006B131B">
      <w:pPr>
        <w:widowControl/>
        <w:jc w:val="center"/>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Artikel 2</w:t>
      </w:r>
    </w:p>
    <w:p w:rsidR="006B131B" w:rsidRPr="006B131B" w:rsidRDefault="006B131B" w:rsidP="006B131B">
      <w:pPr>
        <w:widowControl/>
        <w:jc w:val="center"/>
        <w:rPr>
          <w:rFonts w:ascii="Palatino Linotype" w:hAnsi="Palatino Linotype"/>
          <w:snapToGrid/>
          <w:sz w:val="22"/>
          <w:szCs w:val="22"/>
          <w:lang w:val="nl-NL"/>
        </w:rPr>
      </w:pPr>
    </w:p>
    <w:p w:rsidR="006B131B" w:rsidRPr="006B131B" w:rsidRDefault="006B131B" w:rsidP="006B131B">
      <w:pPr>
        <w:keepNext/>
        <w:widowControl/>
        <w:jc w:val="both"/>
        <w:outlineLvl w:val="0"/>
        <w:rPr>
          <w:rFonts w:ascii="Palatino Linotype" w:hAnsi="Palatino Linotype"/>
          <w:snapToGrid/>
          <w:sz w:val="22"/>
          <w:szCs w:val="22"/>
          <w:lang w:val="nl-NL"/>
        </w:rPr>
      </w:pPr>
      <w:r w:rsidRPr="006B131B">
        <w:rPr>
          <w:rFonts w:ascii="Palatino Linotype" w:hAnsi="Palatino Linotype"/>
          <w:snapToGrid/>
          <w:sz w:val="22"/>
          <w:szCs w:val="22"/>
          <w:lang w:val="nl-NL"/>
        </w:rPr>
        <w:t>Op  passagiers die vóór het tijdstip van inwerkingtreding van deze ministeriële regeling reeds passagiersfaciliteitengelden hebben voldaan voor vluchten die tot drie maanden na bedoeld tijdstip worden uitgevoerd, is deze ministeriële regeling niet van toepassing.</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Artikel 3</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i/>
          <w:snapToGrid/>
          <w:sz w:val="22"/>
          <w:szCs w:val="22"/>
          <w:lang w:val="nl-NL"/>
        </w:rPr>
      </w:pPr>
      <w:r w:rsidRPr="006B131B">
        <w:rPr>
          <w:rFonts w:ascii="Palatino Linotype" w:hAnsi="Palatino Linotype"/>
          <w:snapToGrid/>
          <w:sz w:val="22"/>
          <w:szCs w:val="22"/>
          <w:lang w:val="nl-NL"/>
        </w:rPr>
        <w:t>Deze ministeri</w:t>
      </w:r>
      <w:r w:rsidRPr="006B131B">
        <w:rPr>
          <w:rFonts w:ascii="Calibri" w:hAnsi="Calibri" w:cs="Calibri"/>
          <w:snapToGrid/>
          <w:sz w:val="22"/>
          <w:szCs w:val="22"/>
          <w:lang w:val="nl-NL"/>
        </w:rPr>
        <w:t>ë</w:t>
      </w:r>
      <w:r w:rsidRPr="006B131B">
        <w:rPr>
          <w:rFonts w:ascii="Palatino Linotype" w:hAnsi="Palatino Linotype"/>
          <w:snapToGrid/>
          <w:sz w:val="22"/>
          <w:szCs w:val="22"/>
          <w:lang w:val="nl-NL"/>
        </w:rPr>
        <w:t>le regeling treedt in werking met ingang van 1 januari 2026 en komt te vervallen met ingang van 1 januari 2027.</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center"/>
        <w:rPr>
          <w:rFonts w:ascii="Palatino Linotype" w:hAnsi="Palatino Linotype"/>
          <w:snapToGrid/>
          <w:sz w:val="22"/>
          <w:szCs w:val="22"/>
          <w:lang w:val="nl-NL"/>
        </w:rPr>
      </w:pPr>
      <w:r w:rsidRPr="006B131B">
        <w:rPr>
          <w:rFonts w:ascii="Palatino Linotype" w:hAnsi="Palatino Linotype"/>
          <w:snapToGrid/>
          <w:sz w:val="22"/>
          <w:szCs w:val="22"/>
          <w:lang w:val="nl-NL"/>
        </w:rPr>
        <w:t>Artikel 4</w:t>
      </w:r>
    </w:p>
    <w:p w:rsidR="006B131B" w:rsidRPr="006B131B" w:rsidRDefault="006B131B" w:rsidP="006B131B">
      <w:pPr>
        <w:widowControl/>
        <w:jc w:val="center"/>
        <w:rPr>
          <w:rFonts w:ascii="Palatino Linotype" w:hAnsi="Palatino Linotype"/>
          <w:snapToGrid/>
          <w:sz w:val="22"/>
          <w:szCs w:val="22"/>
          <w:lang w:val="nl-NL"/>
        </w:rPr>
      </w:pPr>
    </w:p>
    <w:p w:rsidR="006B131B" w:rsidRPr="006B131B" w:rsidRDefault="006B131B" w:rsidP="006B131B">
      <w:pPr>
        <w:widowControl/>
        <w:tabs>
          <w:tab w:val="left" w:pos="284"/>
        </w:tabs>
        <w:ind w:left="284" w:hanging="284"/>
        <w:rPr>
          <w:rFonts w:ascii="Palatino Linotype" w:hAnsi="Palatino Linotype"/>
          <w:snapToGrid/>
          <w:sz w:val="22"/>
          <w:szCs w:val="22"/>
          <w:lang w:val="nl-NL"/>
        </w:rPr>
      </w:pPr>
      <w:r w:rsidRPr="006B131B">
        <w:rPr>
          <w:rFonts w:ascii="Palatino Linotype" w:hAnsi="Palatino Linotype"/>
          <w:snapToGrid/>
          <w:sz w:val="22"/>
          <w:szCs w:val="22"/>
          <w:lang w:val="nl-NL"/>
        </w:rPr>
        <w:t>Deze regeling wordt aangehaald als: Ministeri</w:t>
      </w:r>
      <w:r w:rsidRPr="006B131B">
        <w:rPr>
          <w:rFonts w:ascii="Palatino Linotype" w:hAnsi="Palatino Linotype" w:cs="Calibri"/>
          <w:snapToGrid/>
          <w:sz w:val="22"/>
          <w:szCs w:val="22"/>
          <w:lang w:val="nl-NL"/>
        </w:rPr>
        <w:t>ë</w:t>
      </w:r>
      <w:r w:rsidRPr="006B131B">
        <w:rPr>
          <w:rFonts w:ascii="Palatino Linotype" w:hAnsi="Palatino Linotype"/>
          <w:snapToGrid/>
          <w:sz w:val="22"/>
          <w:szCs w:val="22"/>
          <w:lang w:val="nl-NL"/>
        </w:rPr>
        <w:t>le regeling APIS 2026.</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sz w:val="22"/>
          <w:szCs w:val="22"/>
          <w:lang w:val="nl-NL"/>
        </w:rPr>
      </w:pPr>
      <w:r w:rsidRPr="006B131B">
        <w:rPr>
          <w:rFonts w:ascii="Palatino Linotype" w:hAnsi="Palatino Linotype"/>
          <w:snapToGrid/>
          <w:sz w:val="22"/>
          <w:szCs w:val="22"/>
          <w:lang w:val="nl-NL"/>
        </w:rPr>
        <w:t xml:space="preserve">Willemstad, </w:t>
      </w:r>
      <w:r>
        <w:rPr>
          <w:rFonts w:ascii="Palatino Linotype" w:hAnsi="Palatino Linotype"/>
          <w:snapToGrid/>
          <w:sz w:val="22"/>
          <w:szCs w:val="22"/>
          <w:lang w:val="nl-NL"/>
        </w:rPr>
        <w:t>31</w:t>
      </w:r>
      <w:r w:rsidR="005C7CA2">
        <w:rPr>
          <w:rFonts w:ascii="Palatino Linotype" w:hAnsi="Palatino Linotype"/>
          <w:snapToGrid/>
          <w:sz w:val="22"/>
          <w:szCs w:val="22"/>
          <w:lang w:val="nl-NL"/>
        </w:rPr>
        <w:t xml:space="preserve"> </w:t>
      </w:r>
      <w:bookmarkStart w:id="1" w:name="_GoBack"/>
      <w:bookmarkEnd w:id="1"/>
      <w:r>
        <w:rPr>
          <w:rFonts w:ascii="Palatino Linotype" w:hAnsi="Palatino Linotype"/>
          <w:snapToGrid/>
          <w:sz w:val="22"/>
          <w:szCs w:val="22"/>
          <w:lang w:val="nl-NL"/>
        </w:rPr>
        <w:t>oktober 2025</w:t>
      </w:r>
    </w:p>
    <w:p w:rsidR="006B131B" w:rsidRPr="006B131B" w:rsidRDefault="006B131B" w:rsidP="006B131B">
      <w:pPr>
        <w:widowControl/>
        <w:rPr>
          <w:rFonts w:ascii="Palatino Linotype" w:hAnsi="Palatino Linotype"/>
          <w:snapToGrid/>
          <w:sz w:val="22"/>
          <w:szCs w:val="22"/>
          <w:lang w:val="nl-NL"/>
        </w:rPr>
      </w:pPr>
      <w:r w:rsidRPr="006B131B">
        <w:rPr>
          <w:rFonts w:ascii="Palatino Linotype" w:hAnsi="Palatino Linotype"/>
          <w:snapToGrid/>
          <w:sz w:val="22"/>
          <w:szCs w:val="22"/>
          <w:lang w:val="nl-NL"/>
        </w:rPr>
        <w:t xml:space="preserve">De Minister van Verkeer, Vervoer </w:t>
      </w:r>
    </w:p>
    <w:p w:rsidR="006B131B" w:rsidRDefault="006B131B" w:rsidP="006B131B">
      <w:pPr>
        <w:widowControl/>
        <w:rPr>
          <w:rFonts w:ascii="Palatino Linotype" w:hAnsi="Palatino Linotype"/>
          <w:snapToGrid/>
          <w:sz w:val="22"/>
          <w:szCs w:val="22"/>
          <w:lang w:val="nl-NL"/>
        </w:rPr>
      </w:pPr>
      <w:r w:rsidRPr="006B131B">
        <w:rPr>
          <w:rFonts w:ascii="Palatino Linotype" w:hAnsi="Palatino Linotype"/>
          <w:snapToGrid/>
          <w:sz w:val="22"/>
          <w:szCs w:val="22"/>
          <w:lang w:val="nl-NL"/>
        </w:rPr>
        <w:t>en Ruimtelijke Planning,</w:t>
      </w:r>
    </w:p>
    <w:p w:rsidR="006B131B" w:rsidRPr="006B131B" w:rsidRDefault="006B131B" w:rsidP="006B131B">
      <w:pPr>
        <w:widowControl/>
        <w:ind w:right="5980"/>
        <w:jc w:val="center"/>
        <w:rPr>
          <w:rFonts w:ascii="Palatino Linotype" w:hAnsi="Palatino Linotype"/>
          <w:snapToGrid/>
          <w:sz w:val="22"/>
          <w:szCs w:val="22"/>
          <w:lang w:val="nl-NL"/>
        </w:rPr>
      </w:pPr>
      <w:r w:rsidRPr="006B131B">
        <w:rPr>
          <w:rFonts w:ascii="Palatino Linotype" w:hAnsi="Palatino Linotype"/>
          <w:snapToGrid/>
          <w:sz w:val="22"/>
          <w:szCs w:val="22"/>
          <w:lang w:val="nl-NL"/>
        </w:rPr>
        <w:t>C.F. COOPER</w:t>
      </w:r>
    </w:p>
    <w:p w:rsidR="006B131B" w:rsidRPr="006B131B" w:rsidRDefault="006B131B" w:rsidP="006B131B">
      <w:pPr>
        <w:widowControl/>
        <w:ind w:right="6070"/>
        <w:rPr>
          <w:rFonts w:ascii="Palatino Linotype" w:hAnsi="Palatino Linotype"/>
          <w:snapToGrid/>
          <w:sz w:val="22"/>
          <w:szCs w:val="22"/>
          <w:lang w:val="nl-NL"/>
        </w:rPr>
      </w:pPr>
    </w:p>
    <w:p w:rsidR="006B131B" w:rsidRPr="006B131B" w:rsidRDefault="006B131B" w:rsidP="006B131B">
      <w:pPr>
        <w:widowControl/>
        <w:ind w:left="5103"/>
        <w:rPr>
          <w:rFonts w:ascii="Palatino Linotype" w:hAnsi="Palatino Linotype"/>
          <w:snapToGrid/>
          <w:sz w:val="22"/>
          <w:szCs w:val="22"/>
          <w:lang w:val="nl-NL"/>
        </w:rPr>
      </w:pPr>
    </w:p>
    <w:p w:rsidR="006B131B" w:rsidRPr="006B131B" w:rsidRDefault="006B131B" w:rsidP="006B131B">
      <w:pPr>
        <w:widowControl/>
        <w:ind w:left="5103"/>
        <w:rPr>
          <w:rFonts w:ascii="Palatino Linotype" w:hAnsi="Palatino Linotype"/>
          <w:snapToGrid/>
          <w:sz w:val="22"/>
          <w:szCs w:val="22"/>
          <w:lang w:val="nl-NL"/>
        </w:rPr>
      </w:pPr>
    </w:p>
    <w:p w:rsidR="006B131B" w:rsidRDefault="006B131B" w:rsidP="006B131B">
      <w:pPr>
        <w:widowControl/>
        <w:ind w:left="5103"/>
        <w:rPr>
          <w:rFonts w:ascii="Palatino Linotype" w:hAnsi="Palatino Linotype"/>
          <w:snapToGrid/>
          <w:sz w:val="22"/>
          <w:szCs w:val="22"/>
          <w:lang w:val="nl-NL"/>
        </w:rPr>
      </w:pPr>
      <w:r w:rsidRPr="006B131B">
        <w:rPr>
          <w:rFonts w:ascii="Palatino Linotype" w:hAnsi="Palatino Linotype"/>
          <w:snapToGrid/>
          <w:sz w:val="22"/>
          <w:szCs w:val="22"/>
          <w:lang w:val="nl-NL"/>
        </w:rPr>
        <w:t>Uitgegeven</w:t>
      </w:r>
      <w:r>
        <w:rPr>
          <w:rFonts w:ascii="Palatino Linotype" w:hAnsi="Palatino Linotype"/>
          <w:snapToGrid/>
          <w:sz w:val="22"/>
          <w:szCs w:val="22"/>
          <w:lang w:val="nl-NL"/>
        </w:rPr>
        <w:t xml:space="preserve"> de 31</w:t>
      </w:r>
      <w:r w:rsidRPr="006B131B">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2025</w:t>
      </w:r>
      <w:r w:rsidRPr="006B131B">
        <w:rPr>
          <w:rFonts w:ascii="Palatino Linotype" w:hAnsi="Palatino Linotype"/>
          <w:snapToGrid/>
          <w:sz w:val="22"/>
          <w:szCs w:val="22"/>
          <w:lang w:val="nl-NL"/>
        </w:rPr>
        <w:t xml:space="preserve">, </w:t>
      </w:r>
    </w:p>
    <w:p w:rsidR="006B131B" w:rsidRDefault="006B131B" w:rsidP="006B131B">
      <w:pPr>
        <w:widowControl/>
        <w:ind w:left="5103"/>
        <w:rPr>
          <w:rFonts w:ascii="Palatino Linotype" w:hAnsi="Palatino Linotype"/>
          <w:snapToGrid/>
          <w:sz w:val="22"/>
          <w:szCs w:val="22"/>
          <w:lang w:val="nl-NL"/>
        </w:rPr>
      </w:pPr>
      <w:r w:rsidRPr="006B131B">
        <w:rPr>
          <w:rFonts w:ascii="Palatino Linotype" w:hAnsi="Palatino Linotype"/>
          <w:snapToGrid/>
          <w:sz w:val="22"/>
          <w:szCs w:val="22"/>
          <w:lang w:val="nl-NL"/>
        </w:rPr>
        <w:t xml:space="preserve">De Minister van Algemene Zaken, </w:t>
      </w:r>
    </w:p>
    <w:p w:rsidR="006B131B" w:rsidRPr="006B131B" w:rsidRDefault="006B131B" w:rsidP="006B131B">
      <w:pPr>
        <w:widowControl/>
        <w:ind w:left="5103" w:right="940"/>
        <w:jc w:val="center"/>
        <w:rPr>
          <w:rFonts w:ascii="Palatino Linotype" w:hAnsi="Palatino Linotype"/>
          <w:snapToGrid/>
          <w:sz w:val="22"/>
          <w:szCs w:val="22"/>
          <w:lang w:val="nl-NL"/>
        </w:rPr>
      </w:pPr>
      <w:r w:rsidRPr="006B131B">
        <w:rPr>
          <w:rFonts w:ascii="Palatino Linotype" w:hAnsi="Palatino Linotype"/>
          <w:snapToGrid/>
          <w:sz w:val="22"/>
          <w:szCs w:val="22"/>
          <w:lang w:val="nl-NL"/>
        </w:rPr>
        <w:t>G.S. PISAS</w:t>
      </w:r>
    </w:p>
    <w:p w:rsidR="006B131B" w:rsidRPr="006B131B" w:rsidRDefault="006B131B" w:rsidP="006B131B">
      <w:pPr>
        <w:widowControl/>
        <w:ind w:left="5103" w:right="940"/>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sz w:val="22"/>
          <w:szCs w:val="22"/>
          <w:u w:val="single"/>
          <w:lang w:val="nl-NL"/>
        </w:rPr>
      </w:pPr>
    </w:p>
    <w:p w:rsidR="006B131B" w:rsidRPr="006B131B" w:rsidRDefault="006B131B" w:rsidP="006B131B">
      <w:pPr>
        <w:widowControl/>
        <w:rPr>
          <w:rFonts w:ascii="Palatino Linotype" w:hAnsi="Palatino Linotype"/>
          <w:snapToGrid/>
          <w:sz w:val="22"/>
          <w:szCs w:val="22"/>
          <w:u w:val="single"/>
          <w:lang w:val="nl-NL"/>
        </w:rPr>
      </w:pP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sz w:val="22"/>
          <w:szCs w:val="22"/>
          <w:lang w:val="nl-NL"/>
        </w:rPr>
      </w:pPr>
    </w:p>
    <w:p w:rsidR="006B131B" w:rsidRDefault="006B131B">
      <w:pPr>
        <w:widowControl/>
        <w:rPr>
          <w:rFonts w:ascii="Palatino Linotype" w:hAnsi="Palatino Linotype"/>
          <w:b/>
          <w:snapToGrid/>
          <w:sz w:val="22"/>
          <w:szCs w:val="22"/>
          <w:lang w:val="nl-NL"/>
        </w:rPr>
      </w:pPr>
      <w:r>
        <w:rPr>
          <w:rFonts w:ascii="Palatino Linotype" w:hAnsi="Palatino Linotype"/>
          <w:b/>
          <w:snapToGrid/>
          <w:sz w:val="22"/>
          <w:szCs w:val="22"/>
          <w:lang w:val="nl-NL"/>
        </w:rPr>
        <w:br w:type="page"/>
      </w:r>
    </w:p>
    <w:p w:rsidR="006B131B" w:rsidRPr="006B131B" w:rsidRDefault="006B131B" w:rsidP="006B131B">
      <w:pPr>
        <w:widowControl/>
        <w:rPr>
          <w:rFonts w:ascii="Palatino Linotype" w:hAnsi="Palatino Linotype"/>
          <w:snapToGrid/>
          <w:sz w:val="22"/>
          <w:szCs w:val="22"/>
          <w:lang w:val="nl-NL"/>
        </w:rPr>
      </w:pPr>
      <w:r w:rsidRPr="006B131B">
        <w:rPr>
          <w:rFonts w:ascii="Palatino Linotype" w:hAnsi="Palatino Linotype"/>
          <w:b/>
          <w:snapToGrid/>
          <w:sz w:val="22"/>
          <w:szCs w:val="22"/>
          <w:lang w:val="nl-NL"/>
        </w:rPr>
        <w:lastRenderedPageBreak/>
        <w:t>Toelichting behorende</w:t>
      </w:r>
      <w:r w:rsidRPr="006B131B">
        <w:rPr>
          <w:rFonts w:ascii="Palatino Linotype" w:hAnsi="Palatino Linotype"/>
          <w:snapToGrid/>
          <w:sz w:val="22"/>
          <w:szCs w:val="22"/>
          <w:lang w:val="nl-NL"/>
        </w:rPr>
        <w:t xml:space="preserve"> </w:t>
      </w:r>
      <w:r w:rsidRPr="006B131B">
        <w:rPr>
          <w:rFonts w:ascii="Palatino Linotype" w:hAnsi="Palatino Linotype"/>
          <w:b/>
          <w:snapToGrid/>
          <w:sz w:val="22"/>
          <w:szCs w:val="22"/>
          <w:lang w:val="nl-NL"/>
        </w:rPr>
        <w:t>bij de Ministeri</w:t>
      </w:r>
      <w:r w:rsidRPr="006B131B">
        <w:rPr>
          <w:rFonts w:ascii="Palatino Linotype" w:hAnsi="Palatino Linotype" w:cs="Calibri"/>
          <w:b/>
          <w:snapToGrid/>
          <w:sz w:val="22"/>
          <w:szCs w:val="22"/>
          <w:lang w:val="nl-NL"/>
        </w:rPr>
        <w:t>ë</w:t>
      </w:r>
      <w:r w:rsidRPr="006B131B">
        <w:rPr>
          <w:rFonts w:ascii="Palatino Linotype" w:hAnsi="Palatino Linotype"/>
          <w:b/>
          <w:snapToGrid/>
          <w:sz w:val="22"/>
          <w:szCs w:val="22"/>
          <w:lang w:val="nl-NL"/>
        </w:rPr>
        <w:t>le regeling APIS 2026</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rPr>
          <w:rFonts w:ascii="Palatino Linotype" w:hAnsi="Palatino Linotype"/>
          <w:b/>
          <w:snapToGrid/>
          <w:sz w:val="22"/>
          <w:szCs w:val="22"/>
          <w:lang w:val="nl-NL"/>
        </w:rPr>
      </w:pPr>
      <w:r w:rsidRPr="006B131B">
        <w:rPr>
          <w:rFonts w:ascii="Palatino Linotype" w:hAnsi="Palatino Linotype"/>
          <w:b/>
          <w:snapToGrid/>
          <w:sz w:val="22"/>
          <w:szCs w:val="22"/>
          <w:lang w:val="nl-NL"/>
        </w:rPr>
        <w:t>§1. Strekking van de regeling</w:t>
      </w:r>
    </w:p>
    <w:p w:rsidR="006B131B" w:rsidRPr="006B131B" w:rsidRDefault="006B131B" w:rsidP="006B131B">
      <w:pPr>
        <w:widowControl/>
        <w:ind w:left="120"/>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De voorliggende ministeriële regeling met algemene werking behelst de vaststelling van tarieven, bedoeld in artikel 20a van het Landsbesluit methodiek bepaling passagiersfaciliteitengelden en landings- en parkeergelden</w:t>
      </w:r>
      <w:r w:rsidRPr="006B131B">
        <w:rPr>
          <w:rFonts w:ascii="Palatino Linotype" w:hAnsi="Palatino Linotype"/>
          <w:snapToGrid/>
          <w:sz w:val="22"/>
          <w:szCs w:val="22"/>
          <w:vertAlign w:val="superscript"/>
          <w:lang w:val="nl-NL"/>
        </w:rPr>
        <w:footnoteReference w:id="2"/>
      </w:r>
      <w:r w:rsidRPr="006B131B">
        <w:rPr>
          <w:rFonts w:ascii="Palatino Linotype" w:hAnsi="Palatino Linotype"/>
          <w:snapToGrid/>
          <w:sz w:val="22"/>
          <w:szCs w:val="22"/>
          <w:lang w:val="nl-NL"/>
        </w:rPr>
        <w:t xml:space="preserve"> voor het jaar 2026. In het Landsbesluit methodiek bepaling passagiersfaciliteitengelden en landings- en parkeergelden is bepaald dat de Minister van Verkeer, Vervoer en Ruimtelijke Planning deze bedragen vaststelt na voordracht door de Minister van Justitie. </w:t>
      </w: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Voor het jaar 2026 wordt een tarief bepaald rekening houdend met het voornemen om  het aantal E-Gates uit te breiden, gezien de grotere hoeveelheid reizigers.</w:t>
      </w:r>
      <w:r w:rsidRPr="006B131B">
        <w:rPr>
          <w:rFonts w:ascii="Palatino Linotype" w:hAnsi="Palatino Linotype"/>
          <w:snapToGrid/>
          <w:color w:val="FF0000"/>
          <w:sz w:val="22"/>
          <w:szCs w:val="22"/>
          <w:lang w:val="nl-NL"/>
        </w:rPr>
        <w:t xml:space="preserve"> </w:t>
      </w:r>
      <w:r w:rsidRPr="006B131B">
        <w:rPr>
          <w:rFonts w:ascii="Palatino Linotype" w:hAnsi="Palatino Linotype"/>
          <w:snapToGrid/>
          <w:sz w:val="22"/>
          <w:szCs w:val="22"/>
          <w:lang w:val="nl-NL"/>
        </w:rPr>
        <w:t xml:space="preserve">Het tarief voor het jaar 2026 wordt geïndexeerd op basis van het prijsindexcijfer van de gezinsconsumptie.  </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tabs>
          <w:tab w:val="left" w:pos="567"/>
        </w:tabs>
        <w:jc w:val="both"/>
        <w:rPr>
          <w:rFonts w:ascii="Palatino Linotype" w:eastAsia="Arial" w:hAnsi="Palatino Linotype"/>
          <w:snapToGrid/>
          <w:sz w:val="22"/>
          <w:szCs w:val="22"/>
          <w:lang w:val="nl-NL"/>
        </w:rPr>
      </w:pPr>
      <w:r w:rsidRPr="006B131B">
        <w:rPr>
          <w:rFonts w:ascii="Palatino Linotype" w:eastAsia="Arial" w:hAnsi="Palatino Linotype"/>
          <w:snapToGrid/>
          <w:sz w:val="22"/>
          <w:szCs w:val="22"/>
          <w:lang w:val="nl-NL"/>
        </w:rPr>
        <w:t xml:space="preserve">Het </w:t>
      </w:r>
      <w:r w:rsidRPr="006B131B">
        <w:rPr>
          <w:rFonts w:ascii="Palatino Linotype" w:hAnsi="Palatino Linotype"/>
          <w:snapToGrid/>
          <w:sz w:val="22"/>
          <w:szCs w:val="22"/>
          <w:lang w:val="nl-NL"/>
        </w:rPr>
        <w:t>Centraal Bureau voor de Statistiek voor Curaçao</w:t>
      </w:r>
      <w:r w:rsidRPr="006B131B">
        <w:rPr>
          <w:rFonts w:ascii="Palatino Linotype" w:eastAsia="Arial" w:hAnsi="Palatino Linotype"/>
          <w:snapToGrid/>
          <w:sz w:val="22"/>
          <w:szCs w:val="22"/>
          <w:lang w:val="nl-NL"/>
        </w:rPr>
        <w:t xml:space="preserve"> berekent en publiceert de gegevens met betrekking tot de prijsontwikkeling op Curaçao in de vorm van:</w:t>
      </w:r>
    </w:p>
    <w:p w:rsidR="006B131B" w:rsidRPr="006B131B" w:rsidRDefault="006B131B" w:rsidP="006B131B">
      <w:pPr>
        <w:widowControl/>
        <w:tabs>
          <w:tab w:val="left" w:pos="270"/>
        </w:tabs>
        <w:ind w:left="270" w:hanging="270"/>
        <w:jc w:val="both"/>
        <w:rPr>
          <w:rFonts w:ascii="Palatino Linotype" w:eastAsia="Arial" w:hAnsi="Palatino Linotype"/>
          <w:snapToGrid/>
          <w:sz w:val="22"/>
          <w:szCs w:val="22"/>
          <w:lang w:val="nl-NL"/>
        </w:rPr>
      </w:pPr>
    </w:p>
    <w:p w:rsidR="006B131B" w:rsidRPr="006B131B" w:rsidRDefault="006B131B" w:rsidP="006B131B">
      <w:pPr>
        <w:widowControl/>
        <w:tabs>
          <w:tab w:val="left" w:pos="270"/>
          <w:tab w:val="left" w:pos="360"/>
        </w:tabs>
        <w:ind w:left="270" w:hanging="270"/>
        <w:jc w:val="both"/>
        <w:rPr>
          <w:rFonts w:ascii="Palatino Linotype" w:eastAsia="Arial" w:hAnsi="Palatino Linotype"/>
          <w:snapToGrid/>
          <w:sz w:val="22"/>
          <w:szCs w:val="22"/>
          <w:lang w:val="nl-NL"/>
        </w:rPr>
      </w:pPr>
      <w:r w:rsidRPr="006B131B">
        <w:rPr>
          <w:rFonts w:ascii="Palatino Linotype" w:eastAsia="Arial" w:hAnsi="Palatino Linotype"/>
          <w:snapToGrid/>
          <w:sz w:val="22"/>
          <w:szCs w:val="22"/>
          <w:lang w:val="nl-NL"/>
        </w:rPr>
        <w:t>-</w:t>
      </w:r>
      <w:r w:rsidRPr="006B131B">
        <w:rPr>
          <w:rFonts w:ascii="Palatino Linotype" w:eastAsia="Arial" w:hAnsi="Palatino Linotype"/>
          <w:snapToGrid/>
          <w:sz w:val="22"/>
          <w:szCs w:val="22"/>
          <w:lang w:val="nl-NL"/>
        </w:rPr>
        <w:tab/>
        <w:t>de enkelvoudige maandmethode, waarbij het prijsindexcijfer van de gezinsconsumptie voor een bepaalde maand van het lopende jaar wordt vergeleken met het prijsindexcijfer van de gezinsconsumptie voor diezelfde maand van het voorgaande jaar; en</w:t>
      </w:r>
    </w:p>
    <w:p w:rsidR="006B131B" w:rsidRPr="006B131B" w:rsidRDefault="006B131B" w:rsidP="006B131B">
      <w:pPr>
        <w:widowControl/>
        <w:tabs>
          <w:tab w:val="left" w:pos="270"/>
        </w:tabs>
        <w:ind w:left="270" w:hanging="270"/>
        <w:jc w:val="both"/>
        <w:rPr>
          <w:rFonts w:ascii="Palatino Linotype" w:eastAsia="Arial" w:hAnsi="Palatino Linotype"/>
          <w:snapToGrid/>
          <w:sz w:val="22"/>
          <w:szCs w:val="22"/>
          <w:lang w:val="nl-NL"/>
        </w:rPr>
      </w:pPr>
    </w:p>
    <w:p w:rsidR="006B131B" w:rsidRPr="006B131B" w:rsidRDefault="006B131B" w:rsidP="006B131B">
      <w:pPr>
        <w:widowControl/>
        <w:tabs>
          <w:tab w:val="left" w:pos="270"/>
        </w:tabs>
        <w:ind w:left="270" w:hanging="270"/>
        <w:jc w:val="both"/>
        <w:rPr>
          <w:rFonts w:ascii="Palatino Linotype" w:eastAsia="Arial" w:hAnsi="Palatino Linotype"/>
          <w:snapToGrid/>
          <w:sz w:val="22"/>
          <w:szCs w:val="22"/>
          <w:lang w:val="nl-NL"/>
        </w:rPr>
      </w:pPr>
      <w:r w:rsidRPr="006B131B">
        <w:rPr>
          <w:rFonts w:ascii="Palatino Linotype" w:eastAsia="Arial" w:hAnsi="Palatino Linotype"/>
          <w:snapToGrid/>
          <w:sz w:val="22"/>
          <w:szCs w:val="22"/>
          <w:lang w:val="nl-NL"/>
        </w:rPr>
        <w:t>-</w:t>
      </w:r>
      <w:r w:rsidRPr="006B131B">
        <w:rPr>
          <w:rFonts w:ascii="Palatino Linotype" w:eastAsia="Arial" w:hAnsi="Palatino Linotype"/>
          <w:snapToGrid/>
          <w:sz w:val="22"/>
          <w:szCs w:val="22"/>
          <w:lang w:val="nl-NL"/>
        </w:rPr>
        <w:tab/>
        <w:t xml:space="preserve">het twaalfmaand gemiddelde, waarbij de gemiddelde ontwikkeling van het prijsindexcijfer gemeten over de periode van twaalf maanden voorafgaande aan een bepaalde maand, vergeleken wordt met de gemiddelde ontwikkeling van het prijsindexcijfer over dezelfde periode van een jaar eerder. </w:t>
      </w:r>
    </w:p>
    <w:p w:rsidR="006B131B" w:rsidRPr="006B131B" w:rsidRDefault="006B131B" w:rsidP="006B131B">
      <w:pPr>
        <w:tabs>
          <w:tab w:val="left" w:pos="567"/>
        </w:tabs>
        <w:jc w:val="both"/>
        <w:rPr>
          <w:rFonts w:ascii="Palatino Linotype" w:hAnsi="Palatino Linotype"/>
          <w:sz w:val="22"/>
          <w:szCs w:val="22"/>
          <w:lang w:val="nl-NL"/>
        </w:rPr>
      </w:pPr>
    </w:p>
    <w:p w:rsidR="006B131B" w:rsidRPr="006B131B" w:rsidRDefault="006B131B" w:rsidP="006B131B">
      <w:pPr>
        <w:tabs>
          <w:tab w:val="left" w:pos="567"/>
        </w:tabs>
        <w:jc w:val="both"/>
        <w:rPr>
          <w:rFonts w:ascii="Palatino Linotype" w:hAnsi="Palatino Linotype"/>
          <w:sz w:val="22"/>
          <w:szCs w:val="22"/>
          <w:lang w:val="nl-NL"/>
        </w:rPr>
      </w:pPr>
      <w:r w:rsidRPr="006B131B">
        <w:rPr>
          <w:rFonts w:ascii="Palatino Linotype" w:hAnsi="Palatino Linotype"/>
          <w:sz w:val="22"/>
          <w:szCs w:val="22"/>
          <w:lang w:val="nl-NL"/>
        </w:rPr>
        <w:t>Het twaalfmaand gemiddelde van het prijsindexcijfer is van belang voor de berekening van de inflatie. De inflatie van een bepaalde maand wordt berekend aan de hand van de procentuele verandering van het twaalfmaand gemiddelde van het prijsindexcijfer van die bepaalde maand ten opzichte van het twaalfmaand gemiddelde van diezelfde maand van één jaar geleden.</w:t>
      </w:r>
    </w:p>
    <w:p w:rsidR="006B131B" w:rsidRPr="006B131B" w:rsidRDefault="006B131B" w:rsidP="006B131B">
      <w:pPr>
        <w:tabs>
          <w:tab w:val="left" w:pos="567"/>
        </w:tabs>
        <w:jc w:val="both"/>
        <w:rPr>
          <w:rFonts w:ascii="Palatino Linotype" w:hAnsi="Palatino Linotype"/>
          <w:sz w:val="22"/>
          <w:szCs w:val="22"/>
          <w:lang w:val="nl-NL"/>
        </w:rPr>
      </w:pPr>
    </w:p>
    <w:p w:rsidR="006B131B" w:rsidRPr="006B131B" w:rsidRDefault="006B131B" w:rsidP="006B131B">
      <w:pPr>
        <w:tabs>
          <w:tab w:val="left" w:pos="567"/>
        </w:tabs>
        <w:jc w:val="both"/>
        <w:rPr>
          <w:rFonts w:ascii="Palatino Linotype" w:hAnsi="Palatino Linotype"/>
          <w:sz w:val="22"/>
          <w:szCs w:val="22"/>
          <w:lang w:val="nl-NL"/>
        </w:rPr>
      </w:pPr>
      <w:r w:rsidRPr="006B131B">
        <w:rPr>
          <w:rFonts w:ascii="Palatino Linotype" w:hAnsi="Palatino Linotype"/>
          <w:sz w:val="22"/>
          <w:szCs w:val="22"/>
          <w:lang w:val="nl-NL"/>
        </w:rPr>
        <w:t>Voor de periode augustus 2024 – augustus 2025 zijn de inflatiepercentages als volgt</w:t>
      </w:r>
      <w:r w:rsidRPr="006B131B">
        <w:rPr>
          <w:rFonts w:ascii="Palatino Linotype" w:hAnsi="Palatino Linotype"/>
          <w:b/>
          <w:sz w:val="22"/>
          <w:szCs w:val="22"/>
          <w:vertAlign w:val="superscript"/>
          <w:lang w:val="nl-NL"/>
        </w:rPr>
        <w:footnoteReference w:id="3"/>
      </w:r>
      <w:r w:rsidRPr="006B131B">
        <w:rPr>
          <w:rFonts w:ascii="Palatino Linotype" w:hAnsi="Palatino Linotype"/>
          <w:b/>
          <w:sz w:val="22"/>
          <w:szCs w:val="22"/>
          <w:vertAlign w:val="superscript"/>
          <w:lang w:val="nl-NL"/>
        </w:rPr>
        <w:t>)</w:t>
      </w:r>
      <w:r w:rsidRPr="006B131B">
        <w:rPr>
          <w:rFonts w:ascii="Palatino Linotype" w:hAnsi="Palatino Linotype"/>
          <w:sz w:val="22"/>
          <w:szCs w:val="22"/>
          <w:lang w:val="nl-NL"/>
        </w:rPr>
        <w:t>:</w:t>
      </w:r>
    </w:p>
    <w:p w:rsidR="006B131B" w:rsidRPr="006B131B" w:rsidRDefault="006B131B" w:rsidP="006B131B">
      <w:pPr>
        <w:tabs>
          <w:tab w:val="left" w:pos="567"/>
        </w:tabs>
        <w:jc w:val="both"/>
        <w:rPr>
          <w:rFonts w:ascii="Palatino Linotype" w:hAnsi="Palatino Linotype"/>
          <w:sz w:val="22"/>
          <w:szCs w:val="22"/>
          <w:lang w:val="nl-NL"/>
        </w:rPr>
      </w:pPr>
    </w:p>
    <w:p w:rsidR="006B131B" w:rsidRPr="006B131B" w:rsidRDefault="006B131B" w:rsidP="006B131B">
      <w:pPr>
        <w:widowControl/>
        <w:rPr>
          <w:rFonts w:ascii="Palatino Linotype" w:hAnsi="Palatino Linotype"/>
          <w:snapToGrid/>
          <w:sz w:val="22"/>
          <w:szCs w:val="22"/>
          <w:lang w:val="nl-NL"/>
        </w:rPr>
      </w:pPr>
      <w:r w:rsidRPr="006B131B">
        <w:rPr>
          <w:rFonts w:ascii="Palatino Linotype" w:hAnsi="Palatino Linotype"/>
          <w:snapToGrid/>
          <w:sz w:val="22"/>
          <w:szCs w:val="22"/>
          <w:lang w:val="nl-NL"/>
        </w:rPr>
        <w:t>Tabel 1</w:t>
      </w:r>
    </w:p>
    <w:tbl>
      <w:tblPr>
        <w:tblStyle w:val="TableGrid1"/>
        <w:tblW w:w="0" w:type="auto"/>
        <w:tblInd w:w="0" w:type="dxa"/>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6B131B" w:rsidRPr="006B131B" w:rsidTr="009275EB">
        <w:tc>
          <w:tcPr>
            <w:tcW w:w="696"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Aug 2024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Sep 2024</w:t>
            </w:r>
          </w:p>
        </w:tc>
        <w:tc>
          <w:tcPr>
            <w:tcW w:w="697" w:type="dxa"/>
          </w:tcPr>
          <w:p w:rsidR="006B131B" w:rsidRPr="006B131B" w:rsidRDefault="006B131B" w:rsidP="006B131B">
            <w:pPr>
              <w:widowControl/>
              <w:rPr>
                <w:rFonts w:ascii="Palatino Linotype" w:hAnsi="Palatino Linotype"/>
                <w:sz w:val="18"/>
                <w:szCs w:val="18"/>
              </w:rPr>
            </w:pPr>
            <w:proofErr w:type="spellStart"/>
            <w:r w:rsidRPr="006B131B">
              <w:rPr>
                <w:rFonts w:ascii="Palatino Linotype" w:hAnsi="Palatino Linotype"/>
                <w:sz w:val="18"/>
                <w:szCs w:val="18"/>
              </w:rPr>
              <w:t>Okt</w:t>
            </w:r>
            <w:proofErr w:type="spellEnd"/>
            <w:r w:rsidRPr="006B131B">
              <w:rPr>
                <w:rFonts w:ascii="Palatino Linotype" w:hAnsi="Palatino Linotype"/>
                <w:sz w:val="18"/>
                <w:szCs w:val="18"/>
              </w:rPr>
              <w:t xml:space="preserve"> 2024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Nov 2024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Dec 2024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Jan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Feb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Mar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Apr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Mei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Jun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Jul 2025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Aug 2025</w:t>
            </w:r>
          </w:p>
        </w:tc>
      </w:tr>
      <w:tr w:rsidR="006B131B" w:rsidRPr="006B131B" w:rsidTr="009275EB">
        <w:tc>
          <w:tcPr>
            <w:tcW w:w="696"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3.3%</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3.3%</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3.2%</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2.9%</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2.6%</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2.5%</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2.3%</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2.3%</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2.0%</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1.8%</w:t>
            </w:r>
          </w:p>
        </w:tc>
      </w:tr>
      <w:tr w:rsidR="006B131B" w:rsidRPr="006B131B" w:rsidTr="009275EB">
        <w:tc>
          <w:tcPr>
            <w:tcW w:w="696"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103,8</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103.8</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103.7</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103.1</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102.6</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102.7</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103.8</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104.4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104.4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104.6</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105.1</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105.4</w:t>
            </w:r>
          </w:p>
        </w:tc>
        <w:tc>
          <w:tcPr>
            <w:tcW w:w="697" w:type="dxa"/>
          </w:tcPr>
          <w:p w:rsidR="006B131B" w:rsidRPr="006B131B" w:rsidRDefault="006B131B" w:rsidP="006B131B">
            <w:pPr>
              <w:widowControl/>
              <w:rPr>
                <w:rFonts w:ascii="Palatino Linotype" w:hAnsi="Palatino Linotype"/>
                <w:sz w:val="18"/>
                <w:szCs w:val="18"/>
              </w:rPr>
            </w:pPr>
            <w:r w:rsidRPr="006B131B">
              <w:rPr>
                <w:rFonts w:ascii="Palatino Linotype" w:hAnsi="Palatino Linotype"/>
                <w:sz w:val="18"/>
                <w:szCs w:val="18"/>
              </w:rPr>
              <w:t>105.5</w:t>
            </w:r>
          </w:p>
        </w:tc>
      </w:tr>
    </w:tbl>
    <w:p w:rsidR="006B131B" w:rsidRPr="006B131B" w:rsidRDefault="006B131B" w:rsidP="006B131B">
      <w:pPr>
        <w:widowControl/>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Default="006B131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Artikel 1</w:t>
      </w: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 xml:space="preserve">Het in artikel 1 voorgestelde bedrag door de Minister van Justitie is US$ 2,79. Ten opzichte van het jaar 2025 stijgt het tarief met US$ 0,05 oftewel 1,7%, door de indexering ervan.  </w:t>
      </w:r>
    </w:p>
    <w:p w:rsidR="006B131B" w:rsidRPr="006B131B" w:rsidRDefault="006B131B" w:rsidP="006B131B">
      <w:pPr>
        <w:widowControl/>
        <w:ind w:left="120" w:right="72"/>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 xml:space="preserve">De uitbreiding van het aantal E-Gates brengt kosten met zich mee. Hierbij dient rekening te worden gehouden met de aanschaf van randapparatuur, onderhoud en operationeel houden van de nieuwe E-Gates. Tevens dienen fondsen te worden gereserveerd voor de aanpassing van de nodige besturingssystemen. Deze kosten worden tegemoet gekomen door het tarief APIS te indexeren. De indexering wordt berekend op basis van het prijsindexcijfer van de gezinsconsumptie. Uit het door het Centraal Bureau voor de Statistiek voor Curaçao vastgestelde prijsindexcijfer van de gezinsconsumptie blijkt dat het cijfer voor de maand augustus 2025, vergeleken met het cijfer voor de maand augustus 2024, met 1,7% is gestegen. Het tarief van het jaar 2026 wordt geïndexeerd ten opzichte van het jaar 2025 met 1,7%.    </w:t>
      </w:r>
    </w:p>
    <w:p w:rsidR="006B131B" w:rsidRPr="006B131B" w:rsidRDefault="006B131B" w:rsidP="006B131B">
      <w:pPr>
        <w:widowControl/>
        <w:ind w:left="120"/>
        <w:jc w:val="both"/>
        <w:rPr>
          <w:rFonts w:ascii="Palatino Linotype" w:hAnsi="Palatino Linotype"/>
          <w:snapToGrid/>
          <w:sz w:val="22"/>
          <w:szCs w:val="22"/>
          <w:lang w:val="nl-NL"/>
        </w:rPr>
      </w:pPr>
    </w:p>
    <w:p w:rsidR="006B131B" w:rsidRPr="006B131B" w:rsidRDefault="006B131B" w:rsidP="006B131B">
      <w:pPr>
        <w:widowControl/>
        <w:rPr>
          <w:rFonts w:ascii="Palatino Linotype" w:hAnsi="Palatino Linotype"/>
          <w:snapToGrid/>
          <w:w w:val="111"/>
          <w:sz w:val="22"/>
          <w:szCs w:val="22"/>
          <w:lang w:val="nl-NL"/>
        </w:rPr>
      </w:pPr>
      <w:r w:rsidRPr="006B131B">
        <w:rPr>
          <w:rFonts w:ascii="Palatino Linotype" w:hAnsi="Palatino Linotype"/>
          <w:snapToGrid/>
          <w:sz w:val="22"/>
          <w:szCs w:val="22"/>
          <w:lang w:val="nl-NL"/>
        </w:rPr>
        <w:t>Artikel</w:t>
      </w:r>
      <w:r w:rsidRPr="006B131B">
        <w:rPr>
          <w:rFonts w:ascii="Palatino Linotype" w:hAnsi="Palatino Linotype"/>
          <w:snapToGrid/>
          <w:w w:val="111"/>
          <w:sz w:val="22"/>
          <w:szCs w:val="22"/>
          <w:lang w:val="nl-NL"/>
        </w:rPr>
        <w:t xml:space="preserve"> 2</w:t>
      </w: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Dit artikel bevat de overgangsbepaling. Het gaat hierbij om voorziening voor gevallen waarin passagiers voor vluchten hebben betaald maar nog niet hebben gereisd voorafgaand aan de inwerkingtreding van het tarief vastgesteld in onderhavige regeling.</w:t>
      </w:r>
    </w:p>
    <w:p w:rsidR="006B131B" w:rsidRPr="006B131B" w:rsidRDefault="006B131B" w:rsidP="006B131B">
      <w:pPr>
        <w:widowControl/>
        <w:ind w:left="120"/>
        <w:jc w:val="both"/>
        <w:rPr>
          <w:rFonts w:ascii="Palatino Linotype" w:hAnsi="Palatino Linotype"/>
          <w:snapToGrid/>
          <w:sz w:val="22"/>
          <w:szCs w:val="22"/>
          <w:lang w:val="nl-NL"/>
        </w:rPr>
      </w:pPr>
    </w:p>
    <w:p w:rsidR="006B131B" w:rsidRPr="006B131B" w:rsidRDefault="006B131B" w:rsidP="006B131B">
      <w:pPr>
        <w:widowControl/>
        <w:rPr>
          <w:rFonts w:ascii="Palatino Linotype" w:hAnsi="Palatino Linotype"/>
          <w:b/>
          <w:snapToGrid/>
          <w:sz w:val="22"/>
          <w:szCs w:val="22"/>
          <w:lang w:val="nl-NL"/>
        </w:rPr>
      </w:pPr>
      <w:r w:rsidRPr="006B131B">
        <w:rPr>
          <w:rFonts w:ascii="Palatino Linotype" w:hAnsi="Palatino Linotype"/>
          <w:b/>
          <w:snapToGrid/>
          <w:sz w:val="22"/>
          <w:szCs w:val="22"/>
          <w:lang w:val="nl-NL"/>
        </w:rPr>
        <w:t>§2. Financi</w:t>
      </w:r>
      <w:r w:rsidRPr="006B131B">
        <w:rPr>
          <w:rFonts w:ascii="Palatino Linotype" w:hAnsi="Palatino Linotype" w:cs="Calibri"/>
          <w:b/>
          <w:snapToGrid/>
          <w:sz w:val="22"/>
          <w:szCs w:val="22"/>
          <w:lang w:val="nl-NL"/>
        </w:rPr>
        <w:t>ë</w:t>
      </w:r>
      <w:r w:rsidRPr="006B131B">
        <w:rPr>
          <w:rFonts w:ascii="Palatino Linotype" w:hAnsi="Palatino Linotype"/>
          <w:b/>
          <w:snapToGrid/>
          <w:sz w:val="22"/>
          <w:szCs w:val="22"/>
          <w:lang w:val="nl-NL"/>
        </w:rPr>
        <w:t>le paragraaf</w:t>
      </w:r>
    </w:p>
    <w:p w:rsidR="006B131B" w:rsidRPr="006B131B" w:rsidRDefault="006B131B" w:rsidP="006B131B">
      <w:pPr>
        <w:widowControl/>
        <w:ind w:left="120"/>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r w:rsidRPr="006B131B">
        <w:rPr>
          <w:rFonts w:ascii="Palatino Linotype" w:hAnsi="Palatino Linotype"/>
          <w:snapToGrid/>
          <w:sz w:val="22"/>
          <w:szCs w:val="22"/>
          <w:lang w:val="nl-NL"/>
        </w:rPr>
        <w:t>De exploitant van de luchthaven, zijnde de instelling die is aangewezen ingevolge de artikelen 2 en 5, eerste lid, van  de Landsverordening Passagiersfaciliteitengelden, draagt daartoe de op grond van de onderhavige ministeriële regeling ontvangen gelden af aan Cura</w:t>
      </w:r>
      <w:r w:rsidRPr="006B131B">
        <w:rPr>
          <w:rFonts w:ascii="Calibri" w:hAnsi="Calibri" w:cs="Calibri"/>
          <w:snapToGrid/>
          <w:sz w:val="22"/>
          <w:szCs w:val="22"/>
          <w:lang w:val="nl-NL"/>
        </w:rPr>
        <w:t>ç</w:t>
      </w:r>
      <w:r w:rsidRPr="006B131B">
        <w:rPr>
          <w:rFonts w:ascii="Palatino Linotype" w:hAnsi="Palatino Linotype"/>
          <w:snapToGrid/>
          <w:sz w:val="22"/>
          <w:szCs w:val="22"/>
          <w:lang w:val="nl-NL"/>
        </w:rPr>
        <w:t>ao Airport Holding N.V. (CAH). De investering heeft geen gevolgen voor de begroting van het Land Curaçao.</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jc w:val="both"/>
        <w:rPr>
          <w:rFonts w:ascii="Palatino Linotype" w:hAnsi="Palatino Linotype"/>
          <w:snapToGrid/>
          <w:sz w:val="22"/>
          <w:szCs w:val="22"/>
          <w:lang w:val="nl-NL"/>
        </w:rPr>
      </w:pPr>
    </w:p>
    <w:p w:rsidR="006B131B" w:rsidRDefault="006B131B" w:rsidP="006B131B">
      <w:pPr>
        <w:widowControl/>
        <w:ind w:left="5040" w:right="940"/>
        <w:jc w:val="both"/>
        <w:rPr>
          <w:rFonts w:ascii="Palatino Linotype" w:hAnsi="Palatino Linotype"/>
          <w:snapToGrid/>
          <w:sz w:val="22"/>
          <w:szCs w:val="22"/>
          <w:lang w:val="nl-NL"/>
        </w:rPr>
      </w:pPr>
      <w:r w:rsidRPr="006B131B">
        <w:rPr>
          <w:rFonts w:ascii="Palatino Linotype" w:hAnsi="Palatino Linotype"/>
          <w:snapToGrid/>
          <w:sz w:val="22"/>
          <w:szCs w:val="22"/>
          <w:lang w:val="nl-NL"/>
        </w:rPr>
        <w:t>De Minister van Verkeer, Vervoer</w:t>
      </w:r>
    </w:p>
    <w:p w:rsidR="006B131B" w:rsidRPr="006B131B" w:rsidRDefault="006B131B" w:rsidP="006B131B">
      <w:pPr>
        <w:widowControl/>
        <w:ind w:left="5040"/>
        <w:jc w:val="both"/>
        <w:rPr>
          <w:rFonts w:ascii="Palatino Linotype" w:hAnsi="Palatino Linotype"/>
          <w:snapToGrid/>
          <w:sz w:val="22"/>
          <w:szCs w:val="22"/>
          <w:lang w:val="nl-NL"/>
        </w:rPr>
      </w:pPr>
      <w:r w:rsidRPr="006B131B">
        <w:rPr>
          <w:rFonts w:ascii="Palatino Linotype" w:hAnsi="Palatino Linotype"/>
          <w:snapToGrid/>
          <w:sz w:val="22"/>
          <w:szCs w:val="22"/>
          <w:lang w:val="nl-NL"/>
        </w:rPr>
        <w:t>en Ruimtelijke Planning,</w:t>
      </w:r>
    </w:p>
    <w:p w:rsidR="006B131B" w:rsidRPr="006B131B" w:rsidRDefault="006B131B" w:rsidP="006B131B">
      <w:pPr>
        <w:widowControl/>
        <w:ind w:left="5040" w:right="940"/>
        <w:jc w:val="center"/>
        <w:rPr>
          <w:rFonts w:ascii="Palatino Linotype" w:hAnsi="Palatino Linotype"/>
          <w:snapToGrid/>
          <w:sz w:val="22"/>
          <w:szCs w:val="22"/>
          <w:lang w:val="nl-NL"/>
        </w:rPr>
      </w:pPr>
      <w:r w:rsidRPr="006B131B">
        <w:rPr>
          <w:rFonts w:ascii="Palatino Linotype" w:hAnsi="Palatino Linotype"/>
          <w:snapToGrid/>
          <w:sz w:val="22"/>
          <w:szCs w:val="22"/>
          <w:lang w:val="nl-NL"/>
        </w:rPr>
        <w:t>C.F. COOPER</w:t>
      </w:r>
    </w:p>
    <w:p w:rsidR="006B131B" w:rsidRPr="006B131B" w:rsidRDefault="006B131B" w:rsidP="006B131B">
      <w:pPr>
        <w:widowControl/>
        <w:jc w:val="both"/>
        <w:rPr>
          <w:rFonts w:ascii="Palatino Linotype" w:hAnsi="Palatino Linotype"/>
          <w:snapToGrid/>
          <w:sz w:val="22"/>
          <w:szCs w:val="22"/>
          <w:lang w:val="nl-NL"/>
        </w:rPr>
      </w:pPr>
    </w:p>
    <w:p w:rsidR="006B131B" w:rsidRPr="006B131B" w:rsidRDefault="006B131B" w:rsidP="006B131B">
      <w:pPr>
        <w:widowControl/>
        <w:rPr>
          <w:rFonts w:ascii="Times New Roman" w:hAnsi="Times New Roman"/>
          <w:snapToGrid/>
          <w:sz w:val="20"/>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B131B" w:rsidRPr="006B131B" w:rsidRDefault="006B131B" w:rsidP="006B131B">
      <w:pPr>
        <w:pStyle w:val="FootnoteText"/>
        <w:rPr>
          <w:rFonts w:ascii="Palatino Linotype" w:hAnsi="Palatino Linotype"/>
          <w:sz w:val="18"/>
          <w:szCs w:val="18"/>
          <w:lang w:val="nl-NL"/>
        </w:rPr>
      </w:pPr>
      <w:r w:rsidRPr="001A449E">
        <w:rPr>
          <w:rStyle w:val="FootnoteReference"/>
          <w:rFonts w:ascii="Palatino Linotype" w:hAnsi="Palatino Linotype"/>
          <w:sz w:val="18"/>
          <w:szCs w:val="18"/>
        </w:rPr>
        <w:footnoteRef/>
      </w:r>
      <w:r w:rsidRPr="006B131B">
        <w:rPr>
          <w:rFonts w:ascii="Palatino Linotype" w:hAnsi="Palatino Linotype"/>
          <w:sz w:val="18"/>
          <w:szCs w:val="18"/>
          <w:lang w:val="nl-NL"/>
        </w:rPr>
        <w:t xml:space="preserve"> P.B. 2018, no. 1, zoals gewijzigd bij P.B. 2019, no. 67.</w:t>
      </w:r>
    </w:p>
  </w:footnote>
  <w:footnote w:id="2">
    <w:p w:rsidR="006B131B" w:rsidRPr="006B131B" w:rsidRDefault="006B131B" w:rsidP="006B131B">
      <w:pPr>
        <w:pStyle w:val="FootnoteText"/>
        <w:rPr>
          <w:rFonts w:ascii="Palatino Linotype" w:hAnsi="Palatino Linotype"/>
          <w:sz w:val="18"/>
          <w:szCs w:val="18"/>
          <w:lang w:val="nl-NL"/>
        </w:rPr>
      </w:pPr>
      <w:r w:rsidRPr="00AB0AD4">
        <w:rPr>
          <w:rStyle w:val="FootnoteReference"/>
          <w:rFonts w:ascii="Palatino Linotype" w:hAnsi="Palatino Linotype"/>
          <w:sz w:val="18"/>
          <w:szCs w:val="18"/>
        </w:rPr>
        <w:footnoteRef/>
      </w:r>
      <w:r w:rsidRPr="006B131B">
        <w:rPr>
          <w:rFonts w:ascii="Palatino Linotype" w:hAnsi="Palatino Linotype"/>
          <w:sz w:val="18"/>
          <w:szCs w:val="18"/>
          <w:lang w:val="nl-NL"/>
        </w:rPr>
        <w:t xml:space="preserve"> P.B. 2018, no. 1, zoals gewijzigd bij P.B. 2019, no. 67;  https://gobiernu.cw/nl/laws/landsbesluit-methodiek-bepaling-passagiersfaciliteitengelden-en-landings-en-parkeergelden/</w:t>
      </w:r>
    </w:p>
  </w:footnote>
  <w:footnote w:id="3">
    <w:p w:rsidR="006B131B" w:rsidRPr="00331D40" w:rsidRDefault="006B131B" w:rsidP="006B131B">
      <w:pPr>
        <w:pStyle w:val="FootnoteText"/>
        <w:jc w:val="both"/>
      </w:pPr>
      <w:r w:rsidRPr="00E80AF5">
        <w:rPr>
          <w:rStyle w:val="FootnoteReference"/>
          <w:rFonts w:ascii="Palatino Linotype" w:hAnsi="Palatino Linotype"/>
          <w:sz w:val="18"/>
          <w:szCs w:val="18"/>
        </w:rPr>
        <w:footnoteRef/>
      </w:r>
      <w:r w:rsidRPr="00E80AF5">
        <w:rPr>
          <w:rFonts w:ascii="Palatino Linotype" w:hAnsi="Palatino Linotype"/>
          <w:sz w:val="18"/>
          <w:szCs w:val="18"/>
        </w:rPr>
        <w:t xml:space="preserve"> </w:t>
      </w:r>
      <w:r w:rsidRPr="00E80AF5">
        <w:rPr>
          <w:rFonts w:ascii="Palatino Linotype" w:hAnsi="Palatino Linotype"/>
          <w:i/>
          <w:sz w:val="18"/>
          <w:szCs w:val="18"/>
        </w:rPr>
        <w:t xml:space="preserve">Monthly consumer price index and inflation, </w:t>
      </w:r>
      <w:proofErr w:type="spellStart"/>
      <w:r w:rsidRPr="00E80AF5">
        <w:rPr>
          <w:rFonts w:ascii="Palatino Linotype" w:hAnsi="Palatino Linotype"/>
          <w:sz w:val="18"/>
          <w:szCs w:val="18"/>
        </w:rPr>
        <w:t>cbs.cw</w:t>
      </w:r>
      <w:proofErr w:type="spellEnd"/>
      <w:r w:rsidRPr="00E80AF5">
        <w:rPr>
          <w:rFonts w:ascii="Palatino Linotype" w:hAnsi="Palatino Linotype"/>
          <w:sz w:val="18"/>
          <w:szCs w:val="18"/>
        </w:rPr>
        <w:t>/</w:t>
      </w:r>
      <w:proofErr w:type="spellStart"/>
      <w:r w:rsidRPr="00E80AF5">
        <w:rPr>
          <w:rFonts w:ascii="Palatino Linotype" w:hAnsi="Palatino Linotype"/>
          <w:sz w:val="18"/>
          <w:szCs w:val="18"/>
        </w:rPr>
        <w:t>inflationprices</w:t>
      </w:r>
      <w:proofErr w:type="spellEnd"/>
      <w:r w:rsidRPr="00E80AF5">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B131B">
      <w:rPr>
        <w:rFonts w:ascii="Times New Roman" w:hAnsi="Times New Roman"/>
        <w:b/>
        <w:spacing w:val="-4"/>
        <w:sz w:val="36"/>
      </w:rPr>
      <w:t>142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B131B">
      <w:rPr>
        <w:rFonts w:ascii="Times New Roman" w:hAnsi="Times New Roman"/>
        <w:b/>
        <w:spacing w:val="-4"/>
        <w:sz w:val="36"/>
      </w:rPr>
      <w:t>142</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AE2C71"/>
    <w:multiLevelType w:val="hybridMultilevel"/>
    <w:tmpl w:val="6B8C7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C7CA2"/>
    <w:rsid w:val="005D0989"/>
    <w:rsid w:val="005D39A3"/>
    <w:rsid w:val="005E7D87"/>
    <w:rsid w:val="006147F1"/>
    <w:rsid w:val="006169E6"/>
    <w:rsid w:val="006725E6"/>
    <w:rsid w:val="006B131B"/>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F3A453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6B131B"/>
    <w:rPr>
      <w:rFonts w:ascii="Georgia" w:eastAsia="Arial" w:hAnsi="Georgia"/>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26006630">
      <w:bodyDiv w:val="1"/>
      <w:marLeft w:val="0"/>
      <w:marRight w:val="0"/>
      <w:marTop w:val="0"/>
      <w:marBottom w:val="0"/>
      <w:divBdr>
        <w:top w:val="none" w:sz="0" w:space="0" w:color="auto"/>
        <w:left w:val="none" w:sz="0" w:space="0" w:color="auto"/>
        <w:bottom w:val="none" w:sz="0" w:space="0" w:color="auto"/>
        <w:right w:val="none" w:sz="0" w:space="0" w:color="auto"/>
      </w:divBdr>
    </w:div>
    <w:div w:id="1363751823">
      <w:bodyDiv w:val="1"/>
      <w:marLeft w:val="0"/>
      <w:marRight w:val="0"/>
      <w:marTop w:val="0"/>
      <w:marBottom w:val="0"/>
      <w:divBdr>
        <w:top w:val="none" w:sz="0" w:space="0" w:color="auto"/>
        <w:left w:val="none" w:sz="0" w:space="0" w:color="auto"/>
        <w:bottom w:val="none" w:sz="0" w:space="0" w:color="auto"/>
        <w:right w:val="none" w:sz="0" w:space="0" w:color="auto"/>
      </w:divBdr>
    </w:div>
    <w:div w:id="1446146666">
      <w:bodyDiv w:val="1"/>
      <w:marLeft w:val="0"/>
      <w:marRight w:val="0"/>
      <w:marTop w:val="0"/>
      <w:marBottom w:val="0"/>
      <w:divBdr>
        <w:top w:val="none" w:sz="0" w:space="0" w:color="auto"/>
        <w:left w:val="none" w:sz="0" w:space="0" w:color="auto"/>
        <w:bottom w:val="none" w:sz="0" w:space="0" w:color="auto"/>
        <w:right w:val="none" w:sz="0" w:space="0" w:color="auto"/>
      </w:divBdr>
    </w:div>
    <w:div w:id="1887330910">
      <w:bodyDiv w:val="1"/>
      <w:marLeft w:val="0"/>
      <w:marRight w:val="0"/>
      <w:marTop w:val="0"/>
      <w:marBottom w:val="0"/>
      <w:divBdr>
        <w:top w:val="none" w:sz="0" w:space="0" w:color="auto"/>
        <w:left w:val="none" w:sz="0" w:space="0" w:color="auto"/>
        <w:bottom w:val="none" w:sz="0" w:space="0" w:color="auto"/>
        <w:right w:val="none" w:sz="0" w:space="0" w:color="auto"/>
      </w:divBdr>
    </w:div>
    <w:div w:id="1900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878</Words>
  <Characters>5213</Characters>
  <Application>Microsoft Office Word</Application>
  <DocSecurity>0</DocSecurity>
  <Lines>208</Lines>
  <Paragraphs>101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2025-10-31T18:27:00Z</dcterms:created>
  <dcterms:modified xsi:type="dcterms:W3CDTF">2025-10-31T18:30:00Z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20251031143051760</vt:lpwstr>
  </property>
</Properties>
</file>