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57C1C" w:rsidRPr="00E74615">
        <w:rPr>
          <w:b/>
          <w:sz w:val="36"/>
          <w:szCs w:val="36"/>
          <w:lang w:val="nl-NL"/>
        </w:rPr>
        <w:t>159(GT)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1B70DF" w:rsidRPr="00E74615" w:rsidRDefault="001B70DF" w:rsidP="001B70DF">
      <w:pPr>
        <w:tabs>
          <w:tab w:val="left" w:pos="0"/>
          <w:tab w:val="left" w:pos="720"/>
          <w:tab w:val="left" w:pos="1440"/>
          <w:tab w:val="left" w:pos="1800"/>
          <w:tab w:val="left" w:pos="1980"/>
          <w:tab w:val="left" w:pos="2160"/>
        </w:tabs>
        <w:suppressAutoHyphens/>
        <w:spacing w:line="240" w:lineRule="atLeast"/>
        <w:jc w:val="both"/>
        <w:rPr>
          <w:rFonts w:ascii="Palatino Linotype" w:hAnsi="Palatino Linotype"/>
          <w:b/>
          <w:i/>
          <w:color w:val="FF0000"/>
          <w:sz w:val="22"/>
          <w:szCs w:val="22"/>
          <w:lang w:val="nl-NL"/>
        </w:rPr>
      </w:pPr>
      <w:r w:rsidRPr="00E74615">
        <w:rPr>
          <w:rFonts w:ascii="Palatino Linotype" w:hAnsi="Palatino Linotype"/>
          <w:b/>
          <w:sz w:val="22"/>
          <w:szCs w:val="22"/>
          <w:lang w:val="nl-NL"/>
        </w:rPr>
        <w:t>MINISTERIËLE BESCHIKKING van de 29</w:t>
      </w:r>
      <w:r w:rsidRPr="00E74615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E74615">
        <w:rPr>
          <w:rFonts w:ascii="Palatino Linotype" w:hAnsi="Palatino Linotype"/>
          <w:b/>
          <w:sz w:val="22"/>
          <w:szCs w:val="22"/>
          <w:lang w:val="nl-NL"/>
        </w:rPr>
        <w:t xml:space="preserve"> augustus 2025,</w:t>
      </w:r>
      <w:r w:rsidR="00E74615" w:rsidRPr="00E74615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E74615">
        <w:rPr>
          <w:rFonts w:ascii="Palatino Linotype" w:hAnsi="Palatino Linotype"/>
          <w:b/>
          <w:sz w:val="22"/>
          <w:szCs w:val="22"/>
          <w:lang w:val="nl-NL"/>
        </w:rPr>
        <w:t>no. 2024/006183, houdende vaststelling van de geconsolideerde tekst van de Beschikking tarieven aansprakelijkheid olietankschepen</w:t>
      </w:r>
      <w:r w:rsidRPr="00E74615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footnoteReference w:id="1"/>
      </w:r>
    </w:p>
    <w:p w:rsidR="001B70DF" w:rsidRPr="001B70DF" w:rsidRDefault="001B70DF" w:rsidP="001B70DF">
      <w:pPr>
        <w:widowControl/>
        <w:rPr>
          <w:rFonts w:ascii="Palatino Linotype" w:hAnsi="Palatino Linotype"/>
          <w:i/>
          <w:snapToGrid/>
          <w:sz w:val="22"/>
          <w:szCs w:val="22"/>
          <w:lang w:val="nl-NL"/>
        </w:rPr>
      </w:pPr>
    </w:p>
    <w:p w:rsidR="001B70DF" w:rsidRPr="001B70DF" w:rsidRDefault="001B70DF" w:rsidP="001B70DF">
      <w:pPr>
        <w:widowControl/>
        <w:jc w:val="center"/>
        <w:rPr>
          <w:rFonts w:ascii="Palatino Linotype" w:hAnsi="Palatino Linotype"/>
          <w:snapToGrid/>
          <w:szCs w:val="24"/>
          <w:lang w:val="nl-NL"/>
        </w:rPr>
      </w:pPr>
      <w:r w:rsidRPr="001B70DF">
        <w:rPr>
          <w:rFonts w:ascii="Palatino Linotype" w:hAnsi="Palatino Linotype"/>
          <w:snapToGrid/>
          <w:szCs w:val="24"/>
          <w:lang w:val="nl-NL"/>
        </w:rPr>
        <w:t>____________</w:t>
      </w:r>
    </w:p>
    <w:p w:rsidR="001B70DF" w:rsidRPr="001B70DF" w:rsidRDefault="001B70DF" w:rsidP="001B70DF">
      <w:pPr>
        <w:widowControl/>
        <w:jc w:val="center"/>
        <w:rPr>
          <w:rFonts w:ascii="Palatino Linotype" w:hAnsi="Palatino Linotype"/>
          <w:snapToGrid/>
          <w:szCs w:val="24"/>
          <w:lang w:val="nl-NL"/>
        </w:rPr>
      </w:pPr>
    </w:p>
    <w:p w:rsidR="001B70DF" w:rsidRPr="001B70DF" w:rsidRDefault="001B70DF" w:rsidP="001B70DF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z w:val="22"/>
          <w:szCs w:val="22"/>
          <w:lang w:val="nl-NL"/>
        </w:rPr>
        <w:t>De Minister van Justitie,</w:t>
      </w:r>
    </w:p>
    <w:p w:rsidR="001B70DF" w:rsidRPr="001B70DF" w:rsidRDefault="001B70DF" w:rsidP="001B70DF">
      <w:pPr>
        <w:widowControl/>
        <w:tabs>
          <w:tab w:val="left" w:pos="3345"/>
        </w:tabs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</w:r>
    </w:p>
    <w:p w:rsidR="001B70DF" w:rsidRPr="001B70DF" w:rsidRDefault="001B70DF" w:rsidP="001B70DF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1B70DF" w:rsidRPr="001B70DF" w:rsidRDefault="001B70DF" w:rsidP="001B70DF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1B70DF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1B70DF" w:rsidRPr="001B70DF" w:rsidRDefault="001B70DF" w:rsidP="001B70DF">
      <w:pPr>
        <w:widowControl/>
        <w:ind w:right="-46"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1B70DF" w:rsidRPr="001B70DF" w:rsidRDefault="001B70DF" w:rsidP="001B70DF">
      <w:pPr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1B70DF" w:rsidRPr="001B70DF" w:rsidRDefault="001B70DF" w:rsidP="001B70DF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De geconsolideerde tekst van de Beschikking tarieven aansprakelijkheid olietankschepen opgenomen in de bijlage bij deze ministeriële beschikking wordt vastgesteld.</w:t>
      </w:r>
    </w:p>
    <w:p w:rsidR="001B70DF" w:rsidRPr="001B70DF" w:rsidRDefault="001B70DF" w:rsidP="001B70D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1B70DF" w:rsidRPr="001B70DF" w:rsidRDefault="001B70DF" w:rsidP="001B70DF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Deze ministeriële beschikking met bijbehorende bijlage wordt bekendgemaakt in het Publicatieblad.</w:t>
      </w:r>
    </w:p>
    <w:p w:rsidR="001B70DF" w:rsidRPr="001B70DF" w:rsidRDefault="001B70DF" w:rsidP="001B70DF">
      <w:pPr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  <w:r w:rsidRPr="001B70DF">
        <w:rPr>
          <w:rFonts w:ascii="Palatino Linotype" w:hAnsi="Palatino Linotype"/>
          <w:sz w:val="22"/>
          <w:szCs w:val="22"/>
          <w:lang w:val="nl-NL"/>
        </w:rPr>
        <w:tab/>
      </w:r>
    </w:p>
    <w:p w:rsidR="001B70DF" w:rsidRPr="001B70DF" w:rsidRDefault="001B70DF" w:rsidP="00057C1C">
      <w:pPr>
        <w:ind w:left="5760" w:hanging="720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 w:rsidR="00057C1C">
        <w:rPr>
          <w:rFonts w:ascii="Palatino Linotype" w:hAnsi="Palatino Linotype"/>
          <w:sz w:val="22"/>
          <w:szCs w:val="22"/>
          <w:lang w:val="nl-NL"/>
        </w:rPr>
        <w:t>29 augustus 2025</w:t>
      </w:r>
    </w:p>
    <w:p w:rsidR="001B70DF" w:rsidRPr="001B70DF" w:rsidRDefault="001B70DF" w:rsidP="00057C1C">
      <w:pPr>
        <w:ind w:left="5040" w:right="130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057C1C" w:rsidRPr="00057C1C" w:rsidRDefault="00057C1C" w:rsidP="00057C1C">
      <w:pPr>
        <w:autoSpaceDE w:val="0"/>
        <w:autoSpaceDN w:val="0"/>
        <w:ind w:right="2020" w:firstLine="504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057C1C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S.X.T. HATO</w:t>
      </w:r>
    </w:p>
    <w:p w:rsidR="001B70DF" w:rsidRPr="001B70DF" w:rsidRDefault="001B70DF" w:rsidP="001B70DF">
      <w:pPr>
        <w:ind w:left="57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1B70DF">
      <w:pPr>
        <w:ind w:left="57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B70DF" w:rsidRPr="001B70DF" w:rsidRDefault="001B70DF" w:rsidP="00E74615">
      <w:pPr>
        <w:ind w:left="5040" w:right="940"/>
        <w:jc w:val="both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E74615">
        <w:rPr>
          <w:rFonts w:ascii="Palatino Linotype" w:hAnsi="Palatino Linotype"/>
          <w:sz w:val="22"/>
          <w:szCs w:val="22"/>
          <w:lang w:val="nl-NL"/>
        </w:rPr>
        <w:t>3</w:t>
      </w:r>
      <w:r w:rsidR="00E74615" w:rsidRPr="00E7461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E74615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057C1C">
        <w:rPr>
          <w:rFonts w:ascii="Palatino Linotype" w:hAnsi="Palatino Linotype"/>
          <w:sz w:val="22"/>
          <w:szCs w:val="22"/>
          <w:lang w:val="nl-NL"/>
        </w:rPr>
        <w:t>december 2025</w:t>
      </w:r>
    </w:p>
    <w:p w:rsidR="001B70DF" w:rsidRPr="001B70DF" w:rsidRDefault="001B70DF" w:rsidP="00E74615">
      <w:pPr>
        <w:ind w:left="5040" w:right="940"/>
        <w:jc w:val="both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1B70DF" w:rsidRPr="001B70DF" w:rsidRDefault="00057C1C" w:rsidP="00E74615">
      <w:pPr>
        <w:ind w:left="5040" w:right="94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057C1C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1B70DF" w:rsidRPr="001B70DF" w:rsidRDefault="001B70DF" w:rsidP="001B70DF">
      <w:pPr>
        <w:pBdr>
          <w:bottom w:val="single" w:sz="6" w:space="1" w:color="auto"/>
        </w:pBdr>
        <w:ind w:right="-140"/>
        <w:jc w:val="both"/>
        <w:rPr>
          <w:rFonts w:ascii="Palatino Linotype" w:hAnsi="Palatino Linotype"/>
          <w:i/>
          <w:color w:val="000000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br w:type="page"/>
      </w:r>
      <w:r w:rsidRPr="001B70DF">
        <w:rPr>
          <w:rFonts w:ascii="Palatino Linotype" w:hAnsi="Palatino Linotype"/>
          <w:sz w:val="22"/>
          <w:szCs w:val="22"/>
          <w:lang w:val="nl-NL"/>
        </w:rPr>
        <w:lastRenderedPageBreak/>
        <w:t>BIJLAGE behorende bij de Ministeriële beschikking van de 29</w:t>
      </w:r>
      <w:r w:rsidRPr="001B70DF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Pr="001B70DF">
        <w:rPr>
          <w:rFonts w:ascii="Palatino Linotype" w:hAnsi="Palatino Linotype"/>
          <w:sz w:val="22"/>
          <w:szCs w:val="22"/>
          <w:lang w:val="nl-NL"/>
        </w:rPr>
        <w:t xml:space="preserve"> augustus 2025, no. 2024/006183, houdende vaststelling van de geconsolideerde tekst van de Beschikking tarieven aansprakelijkheid olietankschepen</w:t>
      </w:r>
      <w:r w:rsidRPr="001B70DF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1B70DF" w:rsidRPr="001B70DF" w:rsidRDefault="001B70DF" w:rsidP="001B70DF">
      <w:pPr>
        <w:pBdr>
          <w:bottom w:val="single" w:sz="6" w:space="1" w:color="auto"/>
        </w:pBdr>
        <w:ind w:right="-140"/>
        <w:jc w:val="both"/>
        <w:rPr>
          <w:rFonts w:ascii="Palatino Linotype" w:hAnsi="Palatino Linotype"/>
          <w:b/>
          <w:szCs w:val="24"/>
          <w:lang w:val="nl-NL"/>
        </w:rPr>
      </w:pPr>
    </w:p>
    <w:p w:rsidR="001B70DF" w:rsidRPr="001B70DF" w:rsidRDefault="001B70DF" w:rsidP="001B70DF">
      <w:pPr>
        <w:ind w:right="-140"/>
        <w:jc w:val="center"/>
        <w:rPr>
          <w:rFonts w:ascii="Palatino Linotype" w:hAnsi="Palatino Linotype"/>
          <w:szCs w:val="24"/>
          <w:lang w:val="nl-NL"/>
        </w:rPr>
      </w:pPr>
    </w:p>
    <w:p w:rsidR="001B70DF" w:rsidRPr="001B70DF" w:rsidRDefault="001B70DF" w:rsidP="001B70DF">
      <w:pPr>
        <w:ind w:right="-140"/>
        <w:jc w:val="both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 xml:space="preserve">Geconsolideerde tekst van de Beschikking tarieven aansprakelijkheid olietankschepen (P.B. 1999, no. 129), zoals deze luidt na in overeenstemming te zijn </w:t>
      </w:r>
      <w:bookmarkStart w:id="0" w:name="_Hlk134024642"/>
      <w:r w:rsidRPr="001B70DF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1B70DF" w:rsidRPr="001B70DF" w:rsidRDefault="001B70DF" w:rsidP="001B70DF">
      <w:pPr>
        <w:ind w:right="-140"/>
        <w:jc w:val="both"/>
        <w:rPr>
          <w:rFonts w:ascii="Palatino Linotype" w:hAnsi="Palatino Linotype"/>
          <w:sz w:val="22"/>
          <w:szCs w:val="22"/>
          <w:lang w:val="nl-NL"/>
        </w:rPr>
      </w:pPr>
    </w:p>
    <w:bookmarkEnd w:id="0"/>
    <w:p w:rsidR="001B70DF" w:rsidRPr="001B70DF" w:rsidRDefault="001B70DF" w:rsidP="001B70DF">
      <w:pPr>
        <w:ind w:right="-14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B70DF">
        <w:rPr>
          <w:rFonts w:ascii="Palatino Linotype" w:hAnsi="Palatino Linotype"/>
          <w:sz w:val="22"/>
          <w:szCs w:val="22"/>
          <w:lang w:val="nl-NL"/>
        </w:rPr>
        <w:t>-----</w:t>
      </w:r>
    </w:p>
    <w:p w:rsidR="001B70DF" w:rsidRPr="001B70DF" w:rsidRDefault="001B70DF" w:rsidP="001B70DF">
      <w:pPr>
        <w:tabs>
          <w:tab w:val="left" w:pos="-720"/>
        </w:tabs>
        <w:suppressAutoHyphens/>
        <w:ind w:right="-140"/>
        <w:jc w:val="both"/>
        <w:rPr>
          <w:rFonts w:ascii="Palatino Linotype" w:hAnsi="Palatino Linotype"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tabs>
          <w:tab w:val="center" w:pos="4656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1</w:t>
      </w:r>
    </w:p>
    <w:p w:rsidR="001B70DF" w:rsidRPr="001B70DF" w:rsidRDefault="001B70DF" w:rsidP="001B70DF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ind w:right="-1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suppressAutoHyphens/>
        <w:autoSpaceDE w:val="0"/>
        <w:autoSpaceDN w:val="0"/>
        <w:adjustRightInd w:val="0"/>
        <w:spacing w:line="240" w:lineRule="atLeast"/>
        <w:ind w:left="360" w:right="-140" w:hanging="36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1.</w:t>
      </w: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>Voor de afgifte of waarmerking, dan wel de verlenging van de geldigheidsduur van een certificaat, bedoeld in artikel 18 of artikel 19 van de Landsverordening aansprakelijkheid olietankschepen</w:t>
      </w:r>
      <w:r w:rsidRPr="001B70DF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4"/>
      </w: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, is bij vooruitbetaling een vergoeding verschuldigd ten bedrage van </w:t>
      </w:r>
      <w:proofErr w:type="spellStart"/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Cg</w:t>
      </w:r>
      <w:proofErr w:type="spellEnd"/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225,-.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left="360" w:right="-140" w:hanging="36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bookmarkStart w:id="1" w:name="_GoBack"/>
      <w:bookmarkEnd w:id="1"/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2.</w:t>
      </w: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ab/>
        <w:t xml:space="preserve">Voor het verlenen van een ontheffing als bedoeld in artikel 29, tweede lid, van de Landsverordening aansprakelijkheid olietankschepen, is bij vooruitbetaling een vergoeding verschuldigd van </w:t>
      </w:r>
      <w:proofErr w:type="spellStart"/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Cg</w:t>
      </w:r>
      <w:proofErr w:type="spellEnd"/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 xml:space="preserve"> 300,-.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tabs>
          <w:tab w:val="center" w:pos="4656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2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(vervallen)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tabs>
          <w:tab w:val="center" w:pos="4656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3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(vervallen)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tabs>
          <w:tab w:val="center" w:pos="4656"/>
        </w:tabs>
        <w:suppressAutoHyphens/>
        <w:autoSpaceDE w:val="0"/>
        <w:autoSpaceDN w:val="0"/>
        <w:adjustRightInd w:val="0"/>
        <w:spacing w:line="240" w:lineRule="atLeast"/>
        <w:ind w:right="-140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Artikel 4</w:t>
      </w: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1B70DF" w:rsidRPr="001B70DF" w:rsidRDefault="001B70DF" w:rsidP="001B70DF">
      <w:p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  <w:ind w:right="-140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Deze regeling met algemene werking wordt aangehaald als: Regeling tarieven aansprakelijkheid olietankschepen</w:t>
      </w:r>
      <w:r w:rsidRPr="001B70DF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5"/>
      </w:r>
      <w:r w:rsidRPr="001B70D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.</w:t>
      </w:r>
    </w:p>
    <w:p w:rsidR="001B70DF" w:rsidRPr="001B70DF" w:rsidRDefault="001B70DF" w:rsidP="001B70DF">
      <w:pPr>
        <w:widowControl/>
        <w:tabs>
          <w:tab w:val="left" w:pos="360"/>
        </w:tabs>
        <w:spacing w:after="120"/>
        <w:ind w:right="-140"/>
        <w:jc w:val="both"/>
        <w:rPr>
          <w:rFonts w:ascii="Palatino Linotype" w:hAnsi="Palatino Linotype"/>
          <w:snapToGrid/>
          <w:szCs w:val="24"/>
          <w:lang w:val="nl-NL" w:eastAsia="nl-NL"/>
        </w:rPr>
      </w:pPr>
    </w:p>
    <w:p w:rsidR="001B70DF" w:rsidRPr="001B70DF" w:rsidRDefault="001B70DF" w:rsidP="001B70DF">
      <w:pPr>
        <w:widowControl/>
        <w:tabs>
          <w:tab w:val="left" w:pos="360"/>
        </w:tabs>
        <w:spacing w:after="120"/>
        <w:jc w:val="center"/>
        <w:rPr>
          <w:rFonts w:ascii="Palatino Linotype" w:hAnsi="Palatino Linotype"/>
          <w:snapToGrid/>
          <w:szCs w:val="24"/>
          <w:lang w:val="nl-NL" w:eastAsia="nl-NL"/>
        </w:rPr>
      </w:pPr>
      <w:r w:rsidRPr="001B70DF">
        <w:rPr>
          <w:rFonts w:ascii="Palatino Linotype" w:hAnsi="Palatino Linotype"/>
          <w:snapToGrid/>
          <w:szCs w:val="24"/>
          <w:lang w:val="nl-NL" w:eastAsia="nl-NL"/>
        </w:rPr>
        <w:t>***</w:t>
      </w:r>
    </w:p>
    <w:p w:rsidR="001B70DF" w:rsidRPr="001B70DF" w:rsidRDefault="001B70DF" w:rsidP="001B70DF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1B70DF" w:rsidRPr="00E5400A" w:rsidRDefault="001B70DF" w:rsidP="001B70DF">
      <w:pPr>
        <w:pStyle w:val="FootnoteText"/>
        <w:ind w:left="90" w:hanging="90"/>
        <w:jc w:val="both"/>
        <w:rPr>
          <w:rFonts w:ascii="Palatino Linotype" w:hAnsi="Palatino Linotype"/>
          <w:sz w:val="18"/>
          <w:szCs w:val="18"/>
          <w:lang w:val="nl-NL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 Deze regeling h</w:t>
      </w:r>
      <w:r>
        <w:rPr>
          <w:rFonts w:ascii="Palatino Linotype" w:hAnsi="Palatino Linotype"/>
          <w:sz w:val="18"/>
          <w:szCs w:val="18"/>
          <w:lang w:val="nl-NL"/>
        </w:rPr>
        <w:t>e</w:t>
      </w:r>
      <w:r w:rsidRPr="00E5400A">
        <w:rPr>
          <w:rFonts w:ascii="Palatino Linotype" w:hAnsi="Palatino Linotype"/>
          <w:sz w:val="18"/>
          <w:szCs w:val="18"/>
          <w:lang w:val="nl-NL"/>
        </w:rPr>
        <w:t>eft met ingang van 10 oktober 2010 de staat van ministeri</w:t>
      </w:r>
      <w:r>
        <w:rPr>
          <w:rFonts w:ascii="Palatino Linotype" w:hAnsi="Palatino Linotype"/>
          <w:sz w:val="18"/>
          <w:szCs w:val="18"/>
          <w:lang w:val="nl-NL"/>
        </w:rPr>
        <w:t>ë</w:t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le regeling met algemene werking van Curaçao verkregen. </w:t>
      </w:r>
    </w:p>
  </w:footnote>
  <w:footnote w:id="2">
    <w:p w:rsidR="001B70DF" w:rsidRPr="00930517" w:rsidRDefault="001B70DF" w:rsidP="001B70DF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es-ES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30517">
        <w:rPr>
          <w:rFonts w:ascii="Palatino Linotype" w:hAnsi="Palatino Linotype"/>
          <w:sz w:val="18"/>
          <w:szCs w:val="18"/>
          <w:lang w:val="es-ES"/>
        </w:rPr>
        <w:t xml:space="preserve"> A.B. 2010, no. 87, </w:t>
      </w:r>
      <w:proofErr w:type="spellStart"/>
      <w:r w:rsidRPr="00930517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930517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1B70DF" w:rsidRPr="00930517" w:rsidRDefault="001B70DF" w:rsidP="001B70DF">
      <w:pPr>
        <w:pStyle w:val="FootnoteText"/>
        <w:rPr>
          <w:rFonts w:ascii="Palatino Linotype" w:hAnsi="Palatino Linotype"/>
          <w:color w:val="FF0000"/>
          <w:sz w:val="18"/>
          <w:szCs w:val="18"/>
          <w:lang w:val="es-ES"/>
        </w:rPr>
      </w:pPr>
      <w:r w:rsidRPr="00D354F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30517">
        <w:rPr>
          <w:rFonts w:ascii="Palatino Linotype" w:hAnsi="Palatino Linotype"/>
          <w:sz w:val="18"/>
          <w:szCs w:val="18"/>
          <w:lang w:val="es-ES"/>
        </w:rPr>
        <w:t xml:space="preserve"> P.B. 1999, no. 129.</w:t>
      </w:r>
    </w:p>
  </w:footnote>
  <w:footnote w:id="4">
    <w:p w:rsidR="001B70DF" w:rsidRPr="00930517" w:rsidRDefault="001B70DF" w:rsidP="001B70DF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D354F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30517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930517">
        <w:rPr>
          <w:rFonts w:ascii="Palatino Linotype" w:hAnsi="Palatino Linotype"/>
          <w:snapToGrid/>
          <w:spacing w:val="-3"/>
          <w:sz w:val="18"/>
          <w:szCs w:val="18"/>
          <w:lang w:val="es-ES"/>
        </w:rPr>
        <w:t>P.B. 1998, no. 169.</w:t>
      </w:r>
    </w:p>
  </w:footnote>
  <w:footnote w:id="5">
    <w:p w:rsidR="001B70DF" w:rsidRPr="009D2EF1" w:rsidRDefault="001B70DF" w:rsidP="001B70DF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9A7EF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A7EF4">
        <w:rPr>
          <w:rFonts w:ascii="Palatino Linotype" w:hAnsi="Palatino Linotype"/>
          <w:sz w:val="18"/>
          <w:szCs w:val="18"/>
          <w:lang w:val="nl-NL"/>
        </w:rPr>
        <w:t xml:space="preserve"> V</w:t>
      </w:r>
      <w:r>
        <w:rPr>
          <w:rFonts w:ascii="Palatino Linotype" w:hAnsi="Palatino Linotype"/>
          <w:sz w:val="18"/>
          <w:szCs w:val="18"/>
          <w:lang w:val="nl-NL"/>
        </w:rPr>
        <w:t>óó</w:t>
      </w:r>
      <w:r w:rsidRPr="009D2EF1">
        <w:rPr>
          <w:rFonts w:ascii="Palatino Linotype" w:hAnsi="Palatino Linotype"/>
          <w:sz w:val="18"/>
          <w:szCs w:val="18"/>
          <w:lang w:val="nl-NL"/>
        </w:rPr>
        <w:t>r 10 oktober 2010 bekend als Beschikking tarieven aa</w:t>
      </w:r>
      <w:r w:rsidRPr="009A7EF4">
        <w:rPr>
          <w:rFonts w:ascii="Palatino Linotype" w:hAnsi="Palatino Linotype"/>
          <w:sz w:val="18"/>
          <w:szCs w:val="18"/>
          <w:lang w:val="nl-NL"/>
        </w:rPr>
        <w:t>n</w:t>
      </w:r>
      <w:r w:rsidRPr="009D2EF1">
        <w:rPr>
          <w:rFonts w:ascii="Palatino Linotype" w:hAnsi="Palatino Linotype"/>
          <w:sz w:val="18"/>
          <w:szCs w:val="18"/>
          <w:lang w:val="nl-NL"/>
        </w:rPr>
        <w:t>sprakelijkheid olietankschepen</w:t>
      </w:r>
      <w:r>
        <w:rPr>
          <w:rFonts w:ascii="Palatino Linotype" w:hAnsi="Palatino Linotype"/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57C1C">
      <w:rPr>
        <w:rFonts w:ascii="Times New Roman" w:hAnsi="Times New Roman"/>
        <w:b/>
        <w:spacing w:val="-4"/>
        <w:sz w:val="36"/>
      </w:rPr>
      <w:t>159(GT)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57C1C"/>
    <w:rsid w:val="00064039"/>
    <w:rsid w:val="000829F9"/>
    <w:rsid w:val="000A0DBD"/>
    <w:rsid w:val="0014186C"/>
    <w:rsid w:val="00163B50"/>
    <w:rsid w:val="00173FBA"/>
    <w:rsid w:val="001A7D22"/>
    <w:rsid w:val="001B70DF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74615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4BC778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2025-12-03T13:57:00Z</dcterms:created>
  <dcterms:modified xsi:type="dcterms:W3CDTF">2025-12-03T16:44:00Z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20251203124304129</vt:lpwstr>
  </property>
</Properties>
</file>