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1774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8458ACC" wp14:editId="7EEA9404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063F4D" w:rsidRPr="00063F4D">
        <w:rPr>
          <w:b/>
          <w:sz w:val="36"/>
          <w:szCs w:val="36"/>
          <w:lang w:val="nl-NL"/>
        </w:rPr>
        <w:t>121</w:t>
      </w:r>
    </w:p>
    <w:p w14:paraId="0C0A7557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84446ED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E61AE0A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45E9B76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7C7ED1EF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2848B663" w14:textId="77777777" w:rsidR="005D39A3" w:rsidRPr="005D39A3" w:rsidRDefault="005D39A3" w:rsidP="005D39A3">
      <w:pPr>
        <w:rPr>
          <w:lang w:val="nl-NL"/>
        </w:rPr>
      </w:pPr>
    </w:p>
    <w:p w14:paraId="77FF469B" w14:textId="78B89300" w:rsidR="001E7805" w:rsidRDefault="005026DA" w:rsidP="001E7805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374D1F">
        <w:rPr>
          <w:rFonts w:ascii="Palatino Linotype" w:hAnsi="Palatino Linotype"/>
          <w:b/>
          <w:snapToGrid/>
          <w:sz w:val="22"/>
          <w:szCs w:val="22"/>
          <w:lang w:val="nl-NL"/>
        </w:rPr>
        <w:t>MINISTERIËLE REGELING MET ALGEMENE WERKING</w:t>
      </w:r>
      <w:r w:rsidR="00063F4D" w:rsidRPr="00374D1F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van de 23</w:t>
      </w:r>
      <w:r w:rsidR="00063F4D" w:rsidRPr="00374D1F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="00063F4D" w:rsidRPr="00374D1F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oktober 2024 tot wijziging van de Prijzenbeschikking aardolieproducten Curaçao mei 1982 (P.B. 1982, no. 203)</w:t>
      </w:r>
      <w:r w:rsidR="001E7805" w:rsidRPr="001E7805">
        <w:rPr>
          <w:rFonts w:ascii="Times New Roman" w:hAnsi="Times New Roman"/>
          <w:b/>
          <w:snapToGrid/>
          <w:szCs w:val="24"/>
          <w:lang w:val="nl-NL"/>
        </w:rPr>
        <w:t xml:space="preserve"> </w:t>
      </w:r>
    </w:p>
    <w:p w14:paraId="5BEC6733" w14:textId="77777777" w:rsidR="005026DA" w:rsidRPr="00B76B4C" w:rsidRDefault="005026DA" w:rsidP="001E7805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</w:p>
    <w:p w14:paraId="1744A238" w14:textId="77777777" w:rsidR="001E7805" w:rsidRDefault="001E7805" w:rsidP="001E780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14:paraId="3F100633" w14:textId="77777777" w:rsidR="001E7805" w:rsidRPr="00B76B4C" w:rsidRDefault="001E7805" w:rsidP="001E7805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</w:p>
    <w:p w14:paraId="64CAB3C8" w14:textId="0CAABDFA" w:rsidR="001E7805" w:rsidRPr="001326C4" w:rsidRDefault="001E7805" w:rsidP="001E780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1326C4">
        <w:rPr>
          <w:rFonts w:ascii="Times New Roman" w:hAnsi="Times New Roman"/>
          <w:snapToGrid/>
          <w:szCs w:val="24"/>
          <w:lang w:val="nl-NL"/>
        </w:rPr>
        <w:t>an Economische Ontwikkeling,</w:t>
      </w:r>
    </w:p>
    <w:p w14:paraId="4117FA15" w14:textId="77777777" w:rsidR="00063F4D" w:rsidRPr="00374D1F" w:rsidRDefault="00063F4D" w:rsidP="00374D1F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FE1C6FA" w14:textId="77777777" w:rsidR="00063F4D" w:rsidRPr="00374D1F" w:rsidRDefault="00063F4D" w:rsidP="00063F4D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Overwegende: </w:t>
      </w:r>
    </w:p>
    <w:p w14:paraId="239B4C60" w14:textId="77777777" w:rsidR="00063F4D" w:rsidRPr="00374D1F" w:rsidRDefault="00063F4D" w:rsidP="00063F4D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7CDB367" w14:textId="77777777" w:rsidR="00063F4D" w:rsidRPr="00374D1F" w:rsidRDefault="00063F4D" w:rsidP="00063F4D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14:paraId="4968368E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E01D202" w14:textId="77777777" w:rsidR="00063F4D" w:rsidRPr="00374D1F" w:rsidRDefault="00063F4D" w:rsidP="00063F4D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Gelet op:</w:t>
      </w:r>
    </w:p>
    <w:p w14:paraId="66E26A32" w14:textId="77777777" w:rsidR="00063F4D" w:rsidRPr="00374D1F" w:rsidRDefault="00063F4D" w:rsidP="00063F4D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710E758" w14:textId="72A32B14" w:rsidR="00063F4D" w:rsidRPr="00374D1F" w:rsidRDefault="005026DA" w:rsidP="00063F4D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>a</w:t>
      </w:r>
      <w:r w:rsidR="00063F4D" w:rsidRPr="00374D1F">
        <w:rPr>
          <w:rFonts w:ascii="Palatino Linotype" w:hAnsi="Palatino Linotype"/>
          <w:snapToGrid/>
          <w:sz w:val="22"/>
          <w:szCs w:val="22"/>
          <w:lang w:val="nl-NL"/>
        </w:rPr>
        <w:t>rtikel 2 van de Prijzenverordening 1961 (P.B. 1961, no. 117), zoals gewijzigd;</w:t>
      </w:r>
    </w:p>
    <w:p w14:paraId="7E87D303" w14:textId="77777777" w:rsidR="00063F4D" w:rsidRPr="00374D1F" w:rsidRDefault="00063F4D" w:rsidP="005026DA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BB71533" w14:textId="77777777" w:rsidR="00063F4D" w:rsidRPr="00374D1F" w:rsidRDefault="00063F4D" w:rsidP="005026DA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9B509C9" w14:textId="77777777" w:rsidR="00063F4D" w:rsidRPr="00374D1F" w:rsidRDefault="00063F4D" w:rsidP="00063F4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Heeft besloten:</w:t>
      </w:r>
    </w:p>
    <w:p w14:paraId="31455011" w14:textId="77777777" w:rsidR="00063F4D" w:rsidRPr="00374D1F" w:rsidRDefault="00063F4D" w:rsidP="005026DA">
      <w:pPr>
        <w:widowControl/>
        <w:spacing w:line="200" w:lineRule="exact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14:paraId="4B1D7351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Artikel I</w:t>
      </w:r>
    </w:p>
    <w:p w14:paraId="43DDCDC8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F2C45F4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Artikel 3 van de Prijzenbeschikking aardolieproducten Curaçao mei 1982 (P.B. 1982, no. 203) komt te luiden:</w:t>
      </w:r>
    </w:p>
    <w:p w14:paraId="50846261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1BEFAAF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Het is eenieder verboden de navolgende aardolieproducten te verkopen tegen een hogere groothandels- en kleinhandelsprijs dan hieronder aangegeven:</w:t>
      </w:r>
    </w:p>
    <w:p w14:paraId="16A3BE14" w14:textId="77777777" w:rsidR="00063F4D" w:rsidRPr="00374D1F" w:rsidRDefault="00063F4D" w:rsidP="005026DA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2BFC915" w14:textId="77777777" w:rsidR="00063F4D" w:rsidRPr="00374D1F" w:rsidRDefault="00063F4D" w:rsidP="005026DA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291DD82" w14:textId="77777777" w:rsidR="00063F4D" w:rsidRPr="00374D1F" w:rsidRDefault="00063F4D" w:rsidP="00063F4D">
      <w:pPr>
        <w:widowControl/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0EB8484" w14:textId="77777777" w:rsidR="00063F4D" w:rsidRPr="00374D1F" w:rsidRDefault="00063F4D" w:rsidP="00063F4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A.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Groothandelsprijs</w:t>
      </w:r>
    </w:p>
    <w:p w14:paraId="06478FF4" w14:textId="77777777" w:rsidR="00063F4D" w:rsidRPr="00374D1F" w:rsidRDefault="00063F4D" w:rsidP="00063F4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26A2882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DA0C4CA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Benzine met een gehalte van 95 octaan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NAF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1,792 per liter</w:t>
      </w:r>
    </w:p>
    <w:p w14:paraId="5BAA50C0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1,441 per liter</w:t>
      </w:r>
    </w:p>
    <w:p w14:paraId="2FE8BEA7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65,15 per cilinder</w:t>
      </w:r>
    </w:p>
    <w:p w14:paraId="0EE6CB89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11,50 per cilinder</w:t>
      </w:r>
    </w:p>
    <w:p w14:paraId="471B0975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Marine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fueloil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NAF     926,88 per 1000 kilo</w:t>
      </w:r>
    </w:p>
    <w:p w14:paraId="73469A4D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NAF     1101,21 per 1000 liters</w:t>
      </w:r>
    </w:p>
    <w:p w14:paraId="769A8324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Diesel voor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NAF     1120,53 per 1000 liters</w:t>
      </w:r>
    </w:p>
    <w:p w14:paraId="20A5EFFF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8F4BD1D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007D336" w14:textId="77777777" w:rsidR="00063F4D" w:rsidRPr="00374D1F" w:rsidRDefault="00063F4D" w:rsidP="00374D1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19A952B" w14:textId="77777777" w:rsidR="00063F4D" w:rsidRPr="00374D1F" w:rsidRDefault="00063F4D" w:rsidP="00063F4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B.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Kleinhandelsprijs</w:t>
      </w:r>
    </w:p>
    <w:p w14:paraId="62596C02" w14:textId="77777777" w:rsidR="00063F4D" w:rsidRPr="00374D1F" w:rsidRDefault="00063F4D" w:rsidP="00063F4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B917D51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781582E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Benzine met een gehalte van 95 octaan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NAF    2,109 per liter</w:t>
      </w:r>
    </w:p>
    <w:p w14:paraId="7820A8AF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NAF    1,736 per liter</w:t>
      </w:r>
    </w:p>
    <w:p w14:paraId="17F448D3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NAF    80,00 per cilinder</w:t>
      </w:r>
    </w:p>
    <w:p w14:paraId="119A74E3" w14:textId="77777777" w:rsidR="00063F4D" w:rsidRPr="00374D1F" w:rsidRDefault="00063F4D" w:rsidP="00063F4D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NAF    16,00 per cilinder</w:t>
      </w:r>
    </w:p>
    <w:p w14:paraId="6D82DEB6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0A6D970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BF07821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14:paraId="433D46AE" w14:textId="77777777" w:rsidR="00063F4D" w:rsidRPr="00374D1F" w:rsidRDefault="00063F4D" w:rsidP="00063F4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0CD5FFF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1.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het Publicatieblad geplaatst.</w:t>
      </w:r>
    </w:p>
    <w:p w14:paraId="01E88ADD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2.</w:t>
      </w:r>
      <w:r w:rsidRPr="00374D1F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14:paraId="5123EFDD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AB5D83D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D357CAB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Artikel III</w:t>
      </w:r>
    </w:p>
    <w:p w14:paraId="67FC8429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D670324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Deze regeling treedt in werking met ingang van 29 oktober 2024. </w:t>
      </w:r>
    </w:p>
    <w:p w14:paraId="53F06BA5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95E848A" w14:textId="77777777" w:rsidR="00063F4D" w:rsidRPr="00374D1F" w:rsidRDefault="00063F4D" w:rsidP="00063F4D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A0F75AD" w14:textId="77777777" w:rsidR="00063F4D" w:rsidRPr="00374D1F" w:rsidRDefault="00063F4D" w:rsidP="005026DA">
      <w:pPr>
        <w:widowControl/>
        <w:ind w:left="4230" w:right="670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Gegeven te Willemstad, 23 oktober 2024 </w:t>
      </w:r>
    </w:p>
    <w:p w14:paraId="4E225BFE" w14:textId="3BFB8E1D" w:rsidR="008E16EB" w:rsidRPr="00374D1F" w:rsidRDefault="00063F4D" w:rsidP="005026DA">
      <w:pPr>
        <w:widowControl/>
        <w:ind w:left="4230" w:right="670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</w:t>
      </w:r>
      <w:r w:rsidR="005026DA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14:paraId="172FF991" w14:textId="77777777" w:rsidR="00063F4D" w:rsidRPr="00374D1F" w:rsidRDefault="008E16EB" w:rsidP="005026DA">
      <w:pPr>
        <w:widowControl/>
        <w:ind w:left="4230" w:right="670"/>
        <w:jc w:val="center"/>
        <w:rPr>
          <w:rFonts w:ascii="Palatino Linotype" w:hAnsi="Palatino Linotype"/>
          <w:strike/>
          <w:snapToGrid/>
          <w:sz w:val="22"/>
          <w:szCs w:val="22"/>
          <w:lang w:val="nl-NL"/>
        </w:rPr>
      </w:pPr>
      <w:r w:rsidRPr="00374D1F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C.F. COOPER</w:t>
      </w:r>
    </w:p>
    <w:p w14:paraId="2685DE6F" w14:textId="77777777" w:rsidR="00063F4D" w:rsidRPr="00374D1F" w:rsidRDefault="00063F4D" w:rsidP="00063F4D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D9E66BC" w14:textId="77777777" w:rsidR="00063F4D" w:rsidRPr="00374D1F" w:rsidRDefault="00063F4D" w:rsidP="00063F4D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  <w:bookmarkStart w:id="0" w:name="_GoBack"/>
      <w:bookmarkEnd w:id="0"/>
    </w:p>
    <w:p w14:paraId="70D83208" w14:textId="77777777" w:rsidR="00063F4D" w:rsidRPr="00374D1F" w:rsidRDefault="00063F4D" w:rsidP="005026DA">
      <w:pPr>
        <w:widowControl/>
        <w:ind w:left="4230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 w:rsidR="008E16EB"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28</w:t>
      </w:r>
      <w:r w:rsidR="008E16EB" w:rsidRPr="00374D1F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="008E16EB"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oktober 2024</w:t>
      </w:r>
    </w:p>
    <w:p w14:paraId="310440F0" w14:textId="28DE3F6A" w:rsidR="008D5E2E" w:rsidRPr="00374D1F" w:rsidRDefault="00063F4D" w:rsidP="005026DA">
      <w:pPr>
        <w:autoSpaceDE w:val="0"/>
        <w:autoSpaceDN w:val="0"/>
        <w:adjustRightInd w:val="0"/>
        <w:ind w:left="4230" w:right="1300"/>
        <w:rPr>
          <w:rFonts w:ascii="Palatino Linotype" w:hAnsi="Palatino Linotype"/>
          <w:snapToGrid/>
          <w:sz w:val="22"/>
          <w:szCs w:val="22"/>
          <w:lang w:val="nl-NL"/>
        </w:rPr>
      </w:pPr>
      <w:r w:rsidRPr="00374D1F">
        <w:rPr>
          <w:rFonts w:ascii="Palatino Linotype" w:hAnsi="Palatino Linotype"/>
          <w:snapToGrid/>
          <w:sz w:val="22"/>
          <w:szCs w:val="22"/>
          <w:lang w:val="nl-NL"/>
        </w:rPr>
        <w:t>De Minister van Algemene Zaken</w:t>
      </w:r>
      <w:r w:rsidR="008E16EB" w:rsidRPr="00374D1F">
        <w:rPr>
          <w:rFonts w:ascii="Palatino Linotype" w:hAnsi="Palatino Linotype"/>
          <w:snapToGrid/>
          <w:sz w:val="22"/>
          <w:szCs w:val="22"/>
          <w:lang w:val="nl-NL"/>
        </w:rPr>
        <w:t xml:space="preserve"> a.i.</w:t>
      </w:r>
      <w:r w:rsidR="005026DA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14:paraId="0B3BFD8C" w14:textId="77777777" w:rsidR="008E16EB" w:rsidRDefault="008E16EB" w:rsidP="005026DA">
      <w:pPr>
        <w:tabs>
          <w:tab w:val="left" w:pos="7830"/>
        </w:tabs>
        <w:autoSpaceDE w:val="0"/>
        <w:autoSpaceDN w:val="0"/>
        <w:adjustRightInd w:val="0"/>
        <w:ind w:left="4230" w:right="130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374D1F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C.F. COOPER</w:t>
      </w:r>
    </w:p>
    <w:p w14:paraId="177AACD8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3D8B9" w14:textId="77777777" w:rsidR="0043209F" w:rsidRDefault="0043209F">
      <w:pPr>
        <w:spacing w:line="20" w:lineRule="exact"/>
      </w:pPr>
    </w:p>
  </w:endnote>
  <w:endnote w:type="continuationSeparator" w:id="0">
    <w:p w14:paraId="2193D84F" w14:textId="77777777" w:rsidR="0043209F" w:rsidRDefault="0043209F">
      <w:r>
        <w:t xml:space="preserve"> </w:t>
      </w:r>
    </w:p>
  </w:endnote>
  <w:endnote w:type="continuationNotice" w:id="1">
    <w:p w14:paraId="4325F6FC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EE8E3" w14:textId="77777777" w:rsidR="0043209F" w:rsidRDefault="0043209F">
      <w:r>
        <w:separator/>
      </w:r>
    </w:p>
  </w:footnote>
  <w:footnote w:type="continuationSeparator" w:id="0">
    <w:p w14:paraId="23F985DE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4BB7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2CCBE1" wp14:editId="60965752">
              <wp:simplePos x="0" y="0"/>
              <wp:positionH relativeFrom="page">
                <wp:posOffset>822960</wp:posOffset>
              </wp:positionH>
              <wp:positionV relativeFrom="paragraph">
                <wp:posOffset>76200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E0A0B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068371D1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7BB21BC4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CCBE1" id="Rectangle 1" o:spid="_x0000_s1026" style="position:absolute;left:0;text-align:left;margin-left:64.8pt;margin-top:6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" o:allowincell="f" filled="f" stroked="f" strokeweight="0">
              <v:textbox inset="0,0,0,0">
                <w:txbxContent>
                  <w:p w14:paraId="2AE0A0B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068371D1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7BB21BC4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C1976">
      <w:rPr>
        <w:rFonts w:ascii="Times New Roman" w:hAnsi="Times New Roman"/>
        <w:b/>
        <w:spacing w:val="-4"/>
        <w:sz w:val="36"/>
      </w:rPr>
      <w:t>121</w:t>
    </w:r>
  </w:p>
  <w:p w14:paraId="6DB9986C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D3E73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A0C3CD" wp14:editId="6C844F3C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75BF28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0C3CD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0275BF28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6E91A9C6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3F4D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1E7805"/>
    <w:rsid w:val="00213227"/>
    <w:rsid w:val="00282C3F"/>
    <w:rsid w:val="002B27B9"/>
    <w:rsid w:val="002F0CFE"/>
    <w:rsid w:val="00331A7B"/>
    <w:rsid w:val="00334EF0"/>
    <w:rsid w:val="00374D1F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26DA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E16EB"/>
    <w:rsid w:val="008F676F"/>
    <w:rsid w:val="00910EBB"/>
    <w:rsid w:val="00957572"/>
    <w:rsid w:val="009C1976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91E97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931D75A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2024-10-28T13:27:00Z</cp:lastPrinted>
  <dcterms:created xsi:type="dcterms:W3CDTF">2024-10-28T14:13:00Z</dcterms:created>
  <dcterms:modified xsi:type="dcterms:W3CDTF">2024-10-28T14:13:00Z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20241028101145943</vt:lpwstr>
  </property>
</Properties>
</file>