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DC1D80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36"/>
            </w:textInput>
          </w:ffData>
        </w:fldChar>
      </w:r>
      <w:bookmarkStart w:id="0" w:name="Text2"/>
      <w:r w:rsidR="00DC1D80" w:rsidRPr="00B2320A">
        <w:rPr>
          <w:b/>
          <w:sz w:val="36"/>
          <w:szCs w:val="36"/>
          <w:lang w:val="nl-NL"/>
        </w:rPr>
        <w:instrText xml:space="preserve"> FORMTEXT </w:instrText>
      </w:r>
      <w:r w:rsidR="00DC1D80">
        <w:rPr>
          <w:b/>
          <w:sz w:val="36"/>
          <w:szCs w:val="36"/>
        </w:rPr>
      </w:r>
      <w:r w:rsidR="00DC1D80">
        <w:rPr>
          <w:b/>
          <w:sz w:val="36"/>
          <w:szCs w:val="36"/>
        </w:rPr>
        <w:fldChar w:fldCharType="separate"/>
      </w:r>
      <w:r w:rsidR="00DC1D80" w:rsidRPr="00B2320A">
        <w:rPr>
          <w:b/>
          <w:noProof/>
          <w:sz w:val="36"/>
          <w:szCs w:val="36"/>
          <w:lang w:val="nl-NL"/>
        </w:rPr>
        <w:t>36</w:t>
      </w:r>
      <w:r w:rsidR="00DC1D80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  <w:bookmarkStart w:id="1" w:name="_GoBack"/>
      <w:bookmarkEnd w:id="1"/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6935B2" w:rsidRPr="006935B2" w:rsidRDefault="006935B2" w:rsidP="00B2320A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6935B2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20</w:t>
      </w:r>
      <w:r w:rsidRPr="006935B2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6935B2">
        <w:rPr>
          <w:rFonts w:ascii="Times New Roman" w:hAnsi="Times New Roman"/>
          <w:b/>
          <w:snapToGrid/>
          <w:szCs w:val="24"/>
          <w:lang w:val="nl-NL"/>
        </w:rPr>
        <w:t xml:space="preserve"> april 2022 tot wijziging van de Prijzenbeschikking aardolieproducten Curaçao mei 1982 (P.B. 1982, no. 203)</w:t>
      </w:r>
    </w:p>
    <w:p w:rsidR="006935B2" w:rsidRPr="006935B2" w:rsidRDefault="006935B2" w:rsidP="006935B2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spacing w:after="60"/>
        <w:jc w:val="center"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____________</w:t>
      </w:r>
    </w:p>
    <w:p w:rsidR="006935B2" w:rsidRPr="006935B2" w:rsidRDefault="006935B2" w:rsidP="006935B2">
      <w:pPr>
        <w:widowControl/>
        <w:spacing w:line="160" w:lineRule="atLeast"/>
        <w:jc w:val="center"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6935B2" w:rsidRPr="006935B2" w:rsidRDefault="006935B2" w:rsidP="006935B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6935B2" w:rsidRPr="006935B2" w:rsidRDefault="006935B2" w:rsidP="006935B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6935B2" w:rsidRPr="006935B2" w:rsidRDefault="006935B2" w:rsidP="006935B2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Artikel I</w:t>
      </w: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A.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6935B2" w:rsidRPr="006935B2" w:rsidRDefault="006935B2" w:rsidP="006935B2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NAF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2,4783 per liter</w:t>
      </w: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2,3142 per liter</w:t>
      </w: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65,15 per cilinder</w:t>
      </w: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ab/>
        <w:t>NAF     1246,56 per 1000 kilo</w:t>
      </w: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NAF     1745,75 per 1000 liters</w:t>
      </w: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NAF     1127,57 per 1000 liters</w:t>
      </w: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B.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6935B2" w:rsidRPr="006935B2" w:rsidRDefault="006935B2" w:rsidP="006935B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NAF    2,813 per liter</w:t>
      </w: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NAF    2,639 per liter</w:t>
      </w: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6935B2" w:rsidRPr="006935B2" w:rsidRDefault="006935B2" w:rsidP="006935B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6935B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935B2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Artikel II</w:t>
      </w: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1.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6935B2" w:rsidRPr="006935B2" w:rsidRDefault="006935B2" w:rsidP="006935B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2.</w:t>
      </w:r>
      <w:r w:rsidRPr="006935B2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6935B2" w:rsidRPr="006935B2" w:rsidRDefault="006935B2" w:rsidP="006935B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Artikel III</w:t>
      </w:r>
    </w:p>
    <w:p w:rsidR="006935B2" w:rsidRPr="006935B2" w:rsidRDefault="006935B2" w:rsidP="006935B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Deze regeling treedt in werking met ingang van 26 april 2022.</w:t>
      </w:r>
    </w:p>
    <w:p w:rsidR="006935B2" w:rsidRPr="006935B2" w:rsidRDefault="006935B2" w:rsidP="006935B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Gegeven te Willemstad, 20 april 2022</w:t>
      </w:r>
    </w:p>
    <w:p w:rsidR="006935B2" w:rsidRPr="006935B2" w:rsidRDefault="006935B2" w:rsidP="006935B2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 xml:space="preserve">De Minister van Economische Ontwikkeling, </w:t>
      </w:r>
    </w:p>
    <w:p w:rsidR="00DC1D80" w:rsidRPr="00DC1D80" w:rsidRDefault="00DC1D80" w:rsidP="00DC1D80">
      <w:pPr>
        <w:autoSpaceDE w:val="0"/>
        <w:autoSpaceDN w:val="0"/>
        <w:spacing w:line="274" w:lineRule="exact"/>
        <w:ind w:left="4860" w:right="13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DC1D80">
        <w:rPr>
          <w:rFonts w:ascii="Times New Roman" w:hAnsi="Times New Roman"/>
          <w:snapToGrid/>
          <w:szCs w:val="24"/>
          <w:lang w:val="nl-NL"/>
        </w:rPr>
        <w:t>R.M. CIJNTJE</w:t>
      </w:r>
    </w:p>
    <w:p w:rsidR="006935B2" w:rsidRPr="006935B2" w:rsidRDefault="006935B2" w:rsidP="006935B2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Uitgegeven de 25</w:t>
      </w:r>
      <w:r w:rsidRPr="006935B2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6935B2">
        <w:rPr>
          <w:rFonts w:ascii="Times New Roman" w:hAnsi="Times New Roman"/>
          <w:snapToGrid/>
          <w:szCs w:val="24"/>
          <w:lang w:val="nl-NL"/>
        </w:rPr>
        <w:t xml:space="preserve"> april 2022</w:t>
      </w:r>
    </w:p>
    <w:p w:rsidR="006935B2" w:rsidRDefault="006935B2" w:rsidP="006935B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6935B2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DC1D80" w:rsidRPr="009C210F" w:rsidRDefault="00DC1D80" w:rsidP="00DC1D80">
      <w:pPr>
        <w:pStyle w:val="BodyText"/>
        <w:ind w:left="4860" w:right="1120"/>
        <w:jc w:val="center"/>
        <w:rPr>
          <w:lang w:val="nl-NL"/>
        </w:rPr>
      </w:pPr>
      <w:r w:rsidRPr="009C210F">
        <w:rPr>
          <w:lang w:val="nl-NL"/>
        </w:rPr>
        <w:t>G.S. PISAS</w:t>
      </w:r>
    </w:p>
    <w:p w:rsidR="00DC1D80" w:rsidRPr="006935B2" w:rsidRDefault="00DC1D80" w:rsidP="006935B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935B2" w:rsidRPr="006935B2" w:rsidRDefault="006935B2" w:rsidP="006935B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Pr="00DC1D80" w:rsidRDefault="007F37E8" w:rsidP="00DC1D80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C1D80">
      <w:rPr>
        <w:rFonts w:ascii="Times New Roman" w:hAnsi="Times New Roman"/>
        <w:b/>
        <w:spacing w:val="-4"/>
        <w:sz w:val="36"/>
      </w:rPr>
      <w:t>36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935B2"/>
    <w:rsid w:val="006C19FE"/>
    <w:rsid w:val="00747354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2320A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1D80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C1D80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C1D80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28</TotalTime>
  <Pages>2</Pages>
  <Words>289</Words>
  <Characters>1744</Characters>
  <Application>Microsoft Office Word</Application>
  <DocSecurity>0</DocSecurity>
  <Lines>218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2022-04-25T21:38:00Z</dcterms:created>
  <dcterms:modified xsi:type="dcterms:W3CDTF">2022-04-25T22:36:00Z</dcterms:modified>
</cp:coreProperties>
</file>