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9144A1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9144A1">
        <w:rPr>
          <w:b/>
          <w:sz w:val="36"/>
          <w:szCs w:val="36"/>
          <w:lang w:val="nl-NL"/>
        </w:rPr>
        <w:t>A° 20</w:t>
      </w:r>
      <w:r w:rsidR="00C00533" w:rsidRPr="009144A1">
        <w:rPr>
          <w:b/>
          <w:sz w:val="36"/>
          <w:szCs w:val="36"/>
          <w:lang w:val="nl-NL"/>
        </w:rPr>
        <w:t>1</w:t>
      </w:r>
      <w:r w:rsidR="00064039" w:rsidRPr="009144A1">
        <w:rPr>
          <w:b/>
          <w:sz w:val="36"/>
          <w:szCs w:val="36"/>
          <w:lang w:val="nl-NL"/>
        </w:rPr>
        <w:t>8</w:t>
      </w:r>
      <w:r w:rsidR="003D25AC" w:rsidRPr="009144A1">
        <w:rPr>
          <w:sz w:val="36"/>
          <w:szCs w:val="36"/>
          <w:lang w:val="nl-NL"/>
        </w:rPr>
        <w:tab/>
      </w:r>
      <w:r w:rsidR="003D25AC" w:rsidRPr="009144A1">
        <w:rPr>
          <w:b/>
          <w:sz w:val="36"/>
          <w:szCs w:val="36"/>
          <w:lang w:val="nl-NL"/>
        </w:rPr>
        <w:t xml:space="preserve">N° </w:t>
      </w:r>
      <w:r w:rsidR="00BF257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50"/>
            </w:textInput>
          </w:ffData>
        </w:fldChar>
      </w:r>
      <w:bookmarkStart w:id="0" w:name="Text2"/>
      <w:r w:rsidR="00BF2576" w:rsidRPr="006C2792">
        <w:rPr>
          <w:b/>
          <w:sz w:val="36"/>
          <w:szCs w:val="36"/>
          <w:lang w:val="nl-NL"/>
        </w:rPr>
        <w:instrText xml:space="preserve"> FORMTEXT </w:instrText>
      </w:r>
      <w:r w:rsidR="00BF2576">
        <w:rPr>
          <w:b/>
          <w:sz w:val="36"/>
          <w:szCs w:val="36"/>
        </w:rPr>
      </w:r>
      <w:r w:rsidR="00BF2576">
        <w:rPr>
          <w:b/>
          <w:sz w:val="36"/>
          <w:szCs w:val="36"/>
        </w:rPr>
        <w:fldChar w:fldCharType="separate"/>
      </w:r>
      <w:r w:rsidR="00BF2576" w:rsidRPr="006C2792">
        <w:rPr>
          <w:b/>
          <w:noProof/>
          <w:sz w:val="36"/>
          <w:szCs w:val="36"/>
          <w:lang w:val="nl-NL"/>
        </w:rPr>
        <w:t>50</w:t>
      </w:r>
      <w:r w:rsidR="00BF2576">
        <w:rPr>
          <w:b/>
          <w:sz w:val="36"/>
          <w:szCs w:val="36"/>
        </w:rPr>
        <w:fldChar w:fldCharType="end"/>
      </w:r>
      <w:bookmarkEnd w:id="0"/>
    </w:p>
    <w:p w:rsidR="003D25AC" w:rsidRPr="009144A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9144A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9144A1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9144A1" w:rsidRDefault="003D25AC">
      <w:pPr>
        <w:pStyle w:val="Heading1"/>
        <w:rPr>
          <w:b w:val="0"/>
          <w:sz w:val="44"/>
          <w:lang w:val="nl-NL"/>
        </w:rPr>
      </w:pPr>
      <w:r w:rsidRPr="009144A1">
        <w:rPr>
          <w:b w:val="0"/>
          <w:sz w:val="44"/>
          <w:lang w:val="nl-NL"/>
        </w:rPr>
        <w:t>PUBLICATIEBLAD</w:t>
      </w:r>
    </w:p>
    <w:p w:rsidR="003D25AC" w:rsidRPr="009144A1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9144A1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9144A1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b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36C5F0" wp14:editId="7B543E0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44A1" w:rsidRDefault="009144A1" w:rsidP="009144A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C5F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9144A1" w:rsidRDefault="009144A1" w:rsidP="009144A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290EB8">
        <w:rPr>
          <w:rFonts w:ascii="Times New Roman" w:hAnsi="Times New Roman"/>
          <w:b/>
          <w:snapToGrid/>
          <w:sz w:val="22"/>
          <w:szCs w:val="22"/>
          <w:lang w:val="nl-NL"/>
        </w:rPr>
        <w:t>MINISTERIËLE REGELING MET ALGEMENE WERKING van de 26</w:t>
      </w:r>
      <w:r w:rsidRPr="00290EB8">
        <w:rPr>
          <w:rFonts w:ascii="Times New Roman" w:hAnsi="Times New Roman"/>
          <w:b/>
          <w:snapToGrid/>
          <w:sz w:val="22"/>
          <w:szCs w:val="22"/>
          <w:vertAlign w:val="superscript"/>
          <w:lang w:val="nl-NL"/>
        </w:rPr>
        <w:t>ste</w:t>
      </w:r>
      <w:r w:rsidRPr="00290EB8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september 2018 tot wijziging van de Prijzenbeschikking basis-, brandstof- en consumententarieven Curaçao 1995 (A.B. 1995, no. 44)</w:t>
      </w:r>
      <w:bookmarkStart w:id="1" w:name="_GoBack"/>
      <w:bookmarkEnd w:id="1"/>
    </w:p>
    <w:p w:rsidR="009144A1" w:rsidRPr="00290EB8" w:rsidRDefault="009144A1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_____________ </w:t>
      </w:r>
    </w:p>
    <w:p w:rsidR="009144A1" w:rsidRPr="00290EB8" w:rsidRDefault="009144A1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 De Minister van Economische Ontwikkeling,</w:t>
      </w:r>
    </w:p>
    <w:p w:rsidR="00290EB8" w:rsidRPr="00290EB8" w:rsidRDefault="00290EB8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  <w:t>Overwegende:</w:t>
      </w:r>
    </w:p>
    <w:p w:rsidR="009144A1" w:rsidRPr="00290EB8" w:rsidRDefault="009144A1" w:rsidP="009144A1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290EB8">
        <w:rPr>
          <w:rFonts w:ascii="Times New Roman" w:hAnsi="Times New Roman"/>
          <w:snapToGrid/>
          <w:sz w:val="22"/>
          <w:szCs w:val="22"/>
          <w:lang w:val="nl-NL"/>
        </w:rPr>
        <w:t>importvervangende</w:t>
      </w:r>
      <w:proofErr w:type="spellEnd"/>
      <w:r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 industriële, exportgerichte industriële doeleinden en voor het hospitaal vast te stellen;</w:t>
      </w: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  <w:t>Gelet op:</w:t>
      </w:r>
    </w:p>
    <w:p w:rsidR="009144A1" w:rsidRPr="00290EB8" w:rsidRDefault="009144A1" w:rsidP="009144A1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Artikel 2 van de Prijzenverordening 1961 (P.B. 1961, no. 117), zoals gewijzigd;</w:t>
      </w: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proofErr w:type="gramStart"/>
      <w:r w:rsidRPr="00290EB8">
        <w:rPr>
          <w:rFonts w:ascii="Times New Roman" w:hAnsi="Times New Roman"/>
          <w:snapToGrid/>
          <w:sz w:val="22"/>
          <w:szCs w:val="22"/>
          <w:lang w:val="nl-NL"/>
        </w:rPr>
        <w:t>Heeft besloten:</w:t>
      </w:r>
      <w:proofErr w:type="gramEnd"/>
    </w:p>
    <w:p w:rsidR="00290EB8" w:rsidRPr="00290EB8" w:rsidRDefault="00290EB8" w:rsidP="009144A1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Artikel I</w:t>
      </w: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De Prijzenbeschikking basis-, brandstof- en consumententarieven Curaçao 1995 (A.B. 1995, no. 44) wordt nader gewijzigd als volgt:</w:t>
      </w: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In de bijlage behorende bij artikel 2 worden de navolgende tarieven gewijzigd als volgt: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83"/>
        <w:gridCol w:w="1946"/>
        <w:gridCol w:w="1253"/>
        <w:gridCol w:w="1275"/>
        <w:gridCol w:w="1037"/>
      </w:tblGrid>
      <w:tr w:rsidR="009144A1" w:rsidRPr="00290EB8" w:rsidTr="00B20EBD">
        <w:trPr>
          <w:trHeight w:val="324"/>
        </w:trPr>
        <w:tc>
          <w:tcPr>
            <w:tcW w:w="20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Tariefgroep elektriciteit</w:t>
            </w:r>
          </w:p>
        </w:tc>
        <w:tc>
          <w:tcPr>
            <w:tcW w:w="10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Basis tarief in NAF/ kWh</w:t>
            </w:r>
          </w:p>
        </w:tc>
        <w:tc>
          <w:tcPr>
            <w:tcW w:w="6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Brandstof clausule in NAF /kWh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Totaal in NAF/ kWh</w:t>
            </w:r>
          </w:p>
        </w:tc>
      </w:tr>
      <w:tr w:rsidR="009144A1" w:rsidRPr="00290EB8" w:rsidTr="00B20EBD">
        <w:trPr>
          <w:trHeight w:val="324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24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24"/>
        </w:trPr>
        <w:tc>
          <w:tcPr>
            <w:tcW w:w="20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 Huishoudelijk Post en Prepaid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≤250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0,2904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0,5243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250&lt;x≤350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0,3967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0,6306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&gt;350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0,4409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0,6748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 Zakelijk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0,4001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0,6340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22 Industrieel standaard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0,3004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0,5343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0,2949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0,5288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23 Industrieel exportgericht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0,1705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0,4044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0,1651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0,3990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24 Industrieel import vervangend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0,2352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0,4691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0,2294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0,4633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33 Hospitaal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0,1471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0,3810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0,1322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0,3661</w:t>
            </w:r>
          </w:p>
        </w:tc>
      </w:tr>
      <w:tr w:rsidR="009144A1" w:rsidRPr="00290EB8" w:rsidTr="00B20EBD">
        <w:trPr>
          <w:trHeight w:val="300"/>
        </w:trPr>
        <w:tc>
          <w:tcPr>
            <w:tcW w:w="20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Straatverlichting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0,2818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0,2339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0,5157</w:t>
            </w:r>
          </w:p>
        </w:tc>
      </w:tr>
    </w:tbl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3817"/>
        <w:gridCol w:w="2032"/>
        <w:gridCol w:w="1252"/>
        <w:gridCol w:w="1284"/>
        <w:gridCol w:w="1126"/>
      </w:tblGrid>
      <w:tr w:rsidR="009144A1" w:rsidRPr="00290EB8" w:rsidTr="00B20EBD">
        <w:trPr>
          <w:trHeight w:val="324"/>
        </w:trPr>
        <w:tc>
          <w:tcPr>
            <w:tcW w:w="20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lastRenderedPageBreak/>
              <w:t>Tariefgroep water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Basis tarief in NAF/m³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Brandstof clausule in NAF/m³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A1" w:rsidRPr="00290EB8" w:rsidRDefault="009144A1" w:rsidP="009144A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Totaal tarief in NAF/m³</w:t>
            </w:r>
          </w:p>
        </w:tc>
      </w:tr>
      <w:tr w:rsidR="009144A1" w:rsidRPr="00290EB8" w:rsidTr="00B20EBD">
        <w:trPr>
          <w:trHeight w:val="324"/>
        </w:trPr>
        <w:tc>
          <w:tcPr>
            <w:tcW w:w="2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24"/>
        </w:trPr>
        <w:tc>
          <w:tcPr>
            <w:tcW w:w="2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24"/>
        </w:trPr>
        <w:tc>
          <w:tcPr>
            <w:tcW w:w="2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A1" w:rsidRPr="00290EB8" w:rsidRDefault="009144A1" w:rsidP="009144A1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Huishoudelijk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≤ 9m³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4,9289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7,7369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9m³ &lt; x ≤ 12m³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10,0792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12,8872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12m³ &lt; x ≤ 20m³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12,0203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14,8283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&gt; 20m³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13,9840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16,7920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Zakelijk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13,2569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standaard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13,2569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import vervangend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13,2569</w:t>
            </w:r>
          </w:p>
        </w:tc>
      </w:tr>
      <w:tr w:rsidR="009144A1" w:rsidRPr="00290EB8" w:rsidTr="00B20EBD">
        <w:trPr>
          <w:trHeight w:val="363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export gericht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12,3069</w:t>
            </w:r>
          </w:p>
        </w:tc>
      </w:tr>
      <w:tr w:rsidR="009144A1" w:rsidRPr="00290EB8" w:rsidTr="00BF2576">
        <w:trPr>
          <w:trHeight w:val="407"/>
        </w:trPr>
        <w:tc>
          <w:tcPr>
            <w:tcW w:w="2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Hospitaal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2,8080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A1" w:rsidRPr="00290EB8" w:rsidRDefault="009144A1" w:rsidP="009144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290EB8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12,3069</w:t>
            </w:r>
          </w:p>
        </w:tc>
      </w:tr>
    </w:tbl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Artikel II</w:t>
      </w:r>
    </w:p>
    <w:p w:rsidR="009144A1" w:rsidRPr="00290EB8" w:rsidRDefault="009144A1" w:rsidP="009144A1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1.</w:t>
      </w: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  <w:t>Deze regeling wordt in het Publicatieblad geplaatst.</w:t>
      </w: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2.</w:t>
      </w: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Artikel III</w:t>
      </w: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Deze regeling treedt in werking met ingang van 1 oktober 2018.</w:t>
      </w: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ind w:firstLine="432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Gegeven te Willemstad, 26 september 2018</w:t>
      </w:r>
    </w:p>
    <w:p w:rsidR="009144A1" w:rsidRPr="00290EB8" w:rsidRDefault="009144A1" w:rsidP="009144A1">
      <w:pPr>
        <w:widowControl/>
        <w:ind w:firstLine="432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De Minister van Economische Ontwikkeling</w:t>
      </w:r>
      <w:r w:rsidR="00BF2576" w:rsidRPr="00290EB8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BF2576" w:rsidRPr="00290EB8" w:rsidRDefault="00BF2576" w:rsidP="00BF2576">
      <w:pPr>
        <w:widowControl/>
        <w:ind w:left="4140" w:right="805" w:firstLine="113"/>
        <w:jc w:val="center"/>
        <w:rPr>
          <w:rFonts w:ascii="Times New Roman" w:hAnsi="Times New Roman"/>
          <w:strike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</w:r>
      <w:r w:rsidRPr="00290EB8">
        <w:rPr>
          <w:rFonts w:ascii="Times New Roman" w:hAnsi="Times New Roman"/>
          <w:sz w:val="22"/>
          <w:szCs w:val="22"/>
          <w:lang w:val="nl-NL"/>
        </w:rPr>
        <w:t>I.S. MARTINA</w:t>
      </w:r>
    </w:p>
    <w:p w:rsidR="009144A1" w:rsidRPr="00290EB8" w:rsidRDefault="009144A1" w:rsidP="009144A1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</w:p>
    <w:p w:rsidR="009144A1" w:rsidRPr="00290EB8" w:rsidRDefault="009144A1" w:rsidP="009144A1">
      <w:pPr>
        <w:widowControl/>
        <w:ind w:firstLine="432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Uitgegeven de</w:t>
      </w:r>
      <w:r w:rsidR="00BF2576"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 28</w:t>
      </w:r>
      <w:r w:rsidR="00BF2576" w:rsidRPr="00290EB8">
        <w:rPr>
          <w:rFonts w:ascii="Times New Roman" w:hAnsi="Times New Roman"/>
          <w:snapToGrid/>
          <w:sz w:val="22"/>
          <w:szCs w:val="22"/>
          <w:vertAlign w:val="superscript"/>
          <w:lang w:val="nl-NL"/>
        </w:rPr>
        <w:t>ste</w:t>
      </w:r>
      <w:r w:rsidR="00BF2576" w:rsidRPr="00290EB8">
        <w:rPr>
          <w:rFonts w:ascii="Times New Roman" w:hAnsi="Times New Roman"/>
          <w:snapToGrid/>
          <w:sz w:val="22"/>
          <w:szCs w:val="22"/>
          <w:lang w:val="nl-NL"/>
        </w:rPr>
        <w:t xml:space="preserve"> september 2018</w:t>
      </w:r>
    </w:p>
    <w:p w:rsidR="009144A1" w:rsidRPr="00290EB8" w:rsidRDefault="009144A1" w:rsidP="009144A1">
      <w:pPr>
        <w:widowControl/>
        <w:ind w:firstLine="4320"/>
        <w:rPr>
          <w:rFonts w:ascii="Times New Roman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>De Minister van Algemene Zaken</w:t>
      </w:r>
      <w:r w:rsidR="00BF2576" w:rsidRPr="00290EB8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BF2576" w:rsidRPr="00290EB8" w:rsidRDefault="00BF2576" w:rsidP="00BF2576">
      <w:pPr>
        <w:widowControl/>
        <w:tabs>
          <w:tab w:val="left" w:pos="4500"/>
        </w:tabs>
        <w:ind w:left="4410" w:right="1797"/>
        <w:jc w:val="center"/>
        <w:rPr>
          <w:rFonts w:ascii="Times New Roman" w:eastAsia="MS Mincho" w:hAnsi="Times New Roman"/>
          <w:snapToGrid/>
          <w:sz w:val="22"/>
          <w:szCs w:val="22"/>
          <w:lang w:val="nl-NL"/>
        </w:rPr>
      </w:pPr>
      <w:r w:rsidRPr="00290EB8">
        <w:rPr>
          <w:rFonts w:ascii="Times New Roman" w:hAnsi="Times New Roman"/>
          <w:snapToGrid/>
          <w:sz w:val="22"/>
          <w:szCs w:val="22"/>
          <w:lang w:val="nl-NL"/>
        </w:rPr>
        <w:tab/>
      </w:r>
      <w:r w:rsidRPr="00290EB8">
        <w:rPr>
          <w:rFonts w:ascii="Times New Roman" w:eastAsia="MS Mincho" w:hAnsi="Times New Roman"/>
          <w:sz w:val="22"/>
          <w:szCs w:val="22"/>
          <w:lang w:val="nl-NL"/>
        </w:rPr>
        <w:t>E.P. RHUGGENAATH</w:t>
      </w:r>
    </w:p>
    <w:p w:rsidR="009144A1" w:rsidRPr="006C2792" w:rsidRDefault="009144A1" w:rsidP="009144A1">
      <w:pPr>
        <w:widowControl/>
        <w:rPr>
          <w:rFonts w:ascii="Palatino Linotype" w:hAnsi="Palatino Linotype"/>
          <w:snapToGrid/>
          <w:sz w:val="20"/>
          <w:lang w:val="nl-NL"/>
        </w:rPr>
      </w:pPr>
    </w:p>
    <w:p w:rsidR="00331A7B" w:rsidRPr="006C2792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0"/>
          <w:lang w:val="nl-NL"/>
        </w:rPr>
      </w:pPr>
    </w:p>
    <w:p w:rsidR="003D25AC" w:rsidRPr="006C2792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0"/>
          <w:lang w:val="nl-NL"/>
        </w:rPr>
      </w:pPr>
    </w:p>
    <w:sectPr w:rsidR="003D25AC" w:rsidRPr="006C2792" w:rsidSect="009144A1">
      <w:endnotePr>
        <w:numFmt w:val="decimal"/>
      </w:endnotePr>
      <w:type w:val="continuous"/>
      <w:pgSz w:w="11906" w:h="16838"/>
      <w:pgMar w:top="1958" w:right="1296" w:bottom="965" w:left="1296" w:header="1440" w:footer="96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A1" w:rsidRDefault="009144A1">
      <w:pPr>
        <w:spacing w:line="20" w:lineRule="exact"/>
      </w:pPr>
    </w:p>
  </w:endnote>
  <w:endnote w:type="continuationSeparator" w:id="0">
    <w:p w:rsidR="009144A1" w:rsidRDefault="009144A1">
      <w:r>
        <w:t xml:space="preserve"> </w:t>
      </w:r>
    </w:p>
  </w:endnote>
  <w:endnote w:type="continuationNotice" w:id="1">
    <w:p w:rsidR="009144A1" w:rsidRDefault="009144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A1" w:rsidRDefault="009144A1">
      <w:r>
        <w:separator/>
      </w:r>
    </w:p>
  </w:footnote>
  <w:footnote w:type="continuationSeparator" w:id="0">
    <w:p w:rsidR="009144A1" w:rsidRDefault="00914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290EB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290EB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F2576">
      <w:rPr>
        <w:rFonts w:ascii="Times New Roman" w:hAnsi="Times New Roman"/>
        <w:b/>
        <w:spacing w:val="-4"/>
        <w:sz w:val="36"/>
      </w:rPr>
      <w:t>50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BF257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BF257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A1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90EB8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6C2792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144A1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2576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FC18A27-2202-49FF-9091-848E1BDB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9144A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</TotalTime>
  <Pages>2</Pages>
  <Words>341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3</cp:revision>
  <cp:lastPrinted>2011-07-22T21:19:00Z</cp:lastPrinted>
  <dcterms:created xsi:type="dcterms:W3CDTF">2018-09-27T20:38:00Z</dcterms:created>
  <dcterms:modified xsi:type="dcterms:W3CDTF">2018-09-27T21:48:00Z</dcterms:modified>
</cp:coreProperties>
</file>