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>N°</w:t>
      </w:r>
      <w:r w:rsidR="002A4792">
        <w:rPr>
          <w:b/>
          <w:sz w:val="36"/>
          <w:szCs w:val="36"/>
          <w:lang w:val="nl-NL"/>
        </w:rPr>
        <w:t xml:space="preserve"> 14</w:t>
      </w:r>
      <w:bookmarkStart w:id="0" w:name="_GoBack"/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 w:rsidP="007C4D65">
      <w:pPr>
        <w:pStyle w:val="Header"/>
        <w:tabs>
          <w:tab w:val="clear" w:pos="4320"/>
          <w:tab w:val="clear" w:pos="8640"/>
        </w:tabs>
        <w:spacing w:line="220" w:lineRule="exact"/>
        <w:rPr>
          <w:sz w:val="24"/>
          <w:szCs w:val="24"/>
          <w:lang w:val="nl-NL"/>
        </w:rPr>
      </w:pPr>
    </w:p>
    <w:p w:rsidR="003D25AC" w:rsidRPr="00022D76" w:rsidRDefault="003D25AC" w:rsidP="007C4D65">
      <w:pPr>
        <w:pStyle w:val="Header"/>
        <w:tabs>
          <w:tab w:val="clear" w:pos="4320"/>
          <w:tab w:val="clear" w:pos="8640"/>
        </w:tabs>
        <w:spacing w:line="220" w:lineRule="exact"/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7C4D65">
      <w:pPr>
        <w:autoSpaceDE w:val="0"/>
        <w:autoSpaceDN w:val="0"/>
        <w:adjustRightInd w:val="0"/>
        <w:spacing w:line="220" w:lineRule="exact"/>
        <w:rPr>
          <w:rFonts w:ascii="Palatino Linotype" w:hAnsi="Palatino Linotype" w:cs="Arial"/>
          <w:b/>
          <w:sz w:val="20"/>
          <w:lang w:val="nl-NL"/>
        </w:rPr>
      </w:pPr>
    </w:p>
    <w:p w:rsidR="007C4D65" w:rsidRPr="007C4D65" w:rsidRDefault="007C4D65" w:rsidP="00D14E30">
      <w:pPr>
        <w:widowControl/>
        <w:spacing w:after="60"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7C4D65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C4F496" wp14:editId="27E7E095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4D65" w:rsidRDefault="007C4D65" w:rsidP="007C4D65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4F49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" filled="f" stroked="f">
                <v:textbox style="mso-fit-shape-to-text:t">
                  <w:txbxContent>
                    <w:p w:rsidR="007C4D65" w:rsidRDefault="007C4D65" w:rsidP="007C4D65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7C4D65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24</w:t>
      </w:r>
      <w:r w:rsidRPr="007C4D65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7C4D65">
        <w:rPr>
          <w:rFonts w:ascii="Times New Roman" w:hAnsi="Times New Roman"/>
          <w:b/>
          <w:snapToGrid/>
          <w:szCs w:val="24"/>
          <w:lang w:val="nl-NL"/>
        </w:rPr>
        <w:t xml:space="preserve"> januari 2024 tot wijziging van de Prijzenregeling basis-, brandstof- en consumententarieven (A 2023, no. 91)</w:t>
      </w:r>
    </w:p>
    <w:p w:rsidR="007C4D65" w:rsidRDefault="007C4D65" w:rsidP="007C4D6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7C4D65" w:rsidRPr="007C4D65" w:rsidRDefault="007C4D65" w:rsidP="00D14E30">
      <w:pPr>
        <w:widowControl/>
        <w:spacing w:line="200" w:lineRule="exact"/>
        <w:jc w:val="center"/>
        <w:rPr>
          <w:rFonts w:ascii="Times New Roman" w:hAnsi="Times New Roman"/>
          <w:snapToGrid/>
          <w:szCs w:val="24"/>
          <w:lang w:val="nl-NL"/>
        </w:rPr>
      </w:pPr>
    </w:p>
    <w:p w:rsidR="007C4D65" w:rsidRPr="007C4D65" w:rsidRDefault="007C4D65" w:rsidP="007C4D6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7C4D65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</w:t>
      </w:r>
      <w:r w:rsidRPr="007C4D65">
        <w:rPr>
          <w:rFonts w:ascii="Times New Roman" w:hAnsi="Times New Roman"/>
          <w:snapToGrid/>
          <w:szCs w:val="24"/>
          <w:lang w:val="nl-NL"/>
        </w:rPr>
        <w:t xml:space="preserve">inister van 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7C4D65">
        <w:rPr>
          <w:rFonts w:ascii="Times New Roman" w:hAnsi="Times New Roman"/>
          <w:snapToGrid/>
          <w:szCs w:val="24"/>
          <w:lang w:val="nl-NL"/>
        </w:rPr>
        <w:t xml:space="preserve">conomische </w:t>
      </w:r>
      <w:r>
        <w:rPr>
          <w:rFonts w:ascii="Times New Roman" w:hAnsi="Times New Roman"/>
          <w:snapToGrid/>
          <w:szCs w:val="24"/>
          <w:lang w:val="nl-NL"/>
        </w:rPr>
        <w:t>O</w:t>
      </w:r>
      <w:r w:rsidRPr="007C4D65">
        <w:rPr>
          <w:rFonts w:ascii="Times New Roman" w:hAnsi="Times New Roman"/>
          <w:snapToGrid/>
          <w:szCs w:val="24"/>
          <w:lang w:val="nl-NL"/>
        </w:rPr>
        <w:t>ntwikkeling,</w:t>
      </w:r>
    </w:p>
    <w:p w:rsidR="007C4D65" w:rsidRPr="007C4D65" w:rsidRDefault="007C4D65" w:rsidP="007C4D6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C4D65" w:rsidRPr="007C4D65" w:rsidRDefault="007C4D65" w:rsidP="007C4D65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7C4D65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7C4D65" w:rsidRPr="007C4D65" w:rsidRDefault="007C4D65" w:rsidP="007C4D65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7C4D65" w:rsidRPr="007C4D65" w:rsidRDefault="007C4D65" w:rsidP="007C4D65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7C4D65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7C4D65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7C4D65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doeleinden, hospitaal en voor irrigatiewater vast te stellen;</w:t>
      </w:r>
    </w:p>
    <w:p w:rsidR="007C4D65" w:rsidRPr="007C4D65" w:rsidRDefault="007C4D65" w:rsidP="007C4D6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C4D65" w:rsidRPr="007C4D65" w:rsidRDefault="007C4D65" w:rsidP="007C4D65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7C4D65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7C4D65" w:rsidRPr="007C4D65" w:rsidRDefault="007C4D65" w:rsidP="007C4D65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7C4D65" w:rsidRPr="007C4D65" w:rsidRDefault="007C4D65" w:rsidP="007C4D65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7C4D65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7C4D65" w:rsidRPr="007C4D65" w:rsidRDefault="007C4D65" w:rsidP="00D14E30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7C4D65" w:rsidRPr="007C4D65" w:rsidRDefault="007C4D65" w:rsidP="007C4D6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7C4D65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7C4D65" w:rsidRPr="007C4D65" w:rsidRDefault="007C4D65" w:rsidP="007C4D65">
      <w:pPr>
        <w:widowControl/>
        <w:spacing w:line="20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7C4D65" w:rsidRPr="007C4D65" w:rsidRDefault="007C4D65" w:rsidP="007C4D6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C4D65">
        <w:rPr>
          <w:rFonts w:ascii="Times New Roman" w:hAnsi="Times New Roman"/>
          <w:snapToGrid/>
          <w:szCs w:val="24"/>
          <w:lang w:val="nl-NL"/>
        </w:rPr>
        <w:t>Artikel I</w:t>
      </w:r>
    </w:p>
    <w:p w:rsidR="007C4D65" w:rsidRPr="007C4D65" w:rsidRDefault="007C4D65" w:rsidP="007C4D65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7C4D65" w:rsidRPr="007C4D65" w:rsidRDefault="007C4D65" w:rsidP="007C4D6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C4D65">
        <w:rPr>
          <w:rFonts w:ascii="Times New Roman" w:hAnsi="Times New Roman"/>
          <w:snapToGrid/>
          <w:szCs w:val="24"/>
          <w:lang w:val="nl-NL"/>
        </w:rPr>
        <w:t>De Prijzenregeling basis-, brandstof- en consumententarieven (A</w:t>
      </w:r>
      <w:r w:rsidRPr="007C4D65">
        <w:rPr>
          <w:rFonts w:ascii="Times New Roman" w:hAnsi="Times New Roman"/>
          <w:snapToGrid/>
          <w:szCs w:val="24"/>
          <w:lang w:val="nl-NL"/>
        </w:rPr>
        <w:sym w:font="Symbol" w:char="F0B0"/>
      </w:r>
      <w:r w:rsidRPr="007C4D65">
        <w:rPr>
          <w:rFonts w:ascii="Times New Roman" w:hAnsi="Times New Roman"/>
          <w:snapToGrid/>
          <w:szCs w:val="24"/>
          <w:lang w:val="nl-NL"/>
        </w:rPr>
        <w:t xml:space="preserve"> 2023, no. 91) wordt nader gewijzigd als volgt:</w:t>
      </w:r>
    </w:p>
    <w:p w:rsidR="007C4D65" w:rsidRPr="007C4D65" w:rsidRDefault="007C4D65" w:rsidP="007C4D6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C4D65" w:rsidRPr="007C4D65" w:rsidRDefault="007C4D65" w:rsidP="007C4D6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C4D65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7C4D65" w:rsidRPr="007C4D65" w:rsidRDefault="007C4D65" w:rsidP="007C4D65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tbl>
      <w:tblPr>
        <w:tblW w:w="9004" w:type="dxa"/>
        <w:tblLook w:val="04A0" w:firstRow="1" w:lastRow="0" w:firstColumn="1" w:lastColumn="0" w:noHBand="0" w:noVBand="1"/>
      </w:tblPr>
      <w:tblGrid>
        <w:gridCol w:w="3544"/>
        <w:gridCol w:w="1384"/>
        <w:gridCol w:w="1133"/>
        <w:gridCol w:w="1368"/>
        <w:gridCol w:w="1575"/>
      </w:tblGrid>
      <w:tr w:rsidR="007C4D65" w:rsidRPr="007C4D65" w:rsidTr="007C4D65">
        <w:trPr>
          <w:trHeight w:val="276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4D65" w:rsidRPr="007C4D65" w:rsidRDefault="007C4D65" w:rsidP="007C4D6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4D65" w:rsidRPr="007C4D65" w:rsidRDefault="007C4D65" w:rsidP="007C4D6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4D65" w:rsidRPr="007C4D65" w:rsidRDefault="007C4D65" w:rsidP="007C4D6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7C4D65" w:rsidRPr="007C4D65" w:rsidTr="007C4D65">
        <w:trPr>
          <w:trHeight w:val="276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7C4D65" w:rsidRPr="007C4D65" w:rsidTr="007C4D65">
        <w:trPr>
          <w:trHeight w:val="276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7C4D65" w:rsidRPr="007C4D65" w:rsidTr="007C4D65">
        <w:trPr>
          <w:trHeight w:val="276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7C4D65" w:rsidRPr="007C4D65" w:rsidTr="007C4D65">
        <w:trPr>
          <w:trHeight w:val="24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szCs w:val="24"/>
                <w:lang w:val="nl-NL"/>
              </w:rPr>
              <w:t>0,2904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</w:rPr>
              <w:t>0,3498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0,6402</w:t>
            </w:r>
          </w:p>
        </w:tc>
      </w:tr>
      <w:tr w:rsidR="007C4D65" w:rsidRPr="007C4D65" w:rsidTr="007C4D65">
        <w:trPr>
          <w:trHeight w:val="24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szCs w:val="24"/>
                <w:lang w:val="nl-NL"/>
              </w:rPr>
              <w:t>0,3967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</w:rPr>
              <w:t>0,3498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0,7465</w:t>
            </w:r>
          </w:p>
        </w:tc>
      </w:tr>
      <w:tr w:rsidR="007C4D65" w:rsidRPr="007C4D65" w:rsidTr="007C4D65">
        <w:trPr>
          <w:trHeight w:val="24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szCs w:val="24"/>
                <w:lang w:val="nl-NL"/>
              </w:rPr>
              <w:t>0,4409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</w:rPr>
              <w:t>0,3498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0,7907</w:t>
            </w:r>
          </w:p>
        </w:tc>
      </w:tr>
      <w:tr w:rsidR="007C4D65" w:rsidRPr="007C4D65" w:rsidTr="007C4D65">
        <w:trPr>
          <w:trHeight w:val="24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szCs w:val="24"/>
                <w:lang w:val="nl-NL"/>
              </w:rPr>
              <w:t>0,4001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</w:rPr>
              <w:t>0,3498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0,7499</w:t>
            </w:r>
          </w:p>
        </w:tc>
      </w:tr>
      <w:tr w:rsidR="007C4D65" w:rsidRPr="007C4D65" w:rsidTr="007C4D65">
        <w:trPr>
          <w:trHeight w:val="24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szCs w:val="24"/>
                <w:lang w:val="nl-NL"/>
              </w:rPr>
              <w:t>0,3004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</w:rPr>
              <w:t>0,3498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0,6502</w:t>
            </w:r>
          </w:p>
        </w:tc>
      </w:tr>
      <w:tr w:rsidR="007C4D65" w:rsidRPr="007C4D65" w:rsidTr="007C4D65">
        <w:trPr>
          <w:trHeight w:val="24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szCs w:val="24"/>
                <w:lang w:val="nl-NL"/>
              </w:rPr>
              <w:t>0,2949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</w:rPr>
              <w:t>0,3498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0,6447</w:t>
            </w:r>
          </w:p>
        </w:tc>
      </w:tr>
      <w:tr w:rsidR="007C4D65" w:rsidRPr="007C4D65" w:rsidTr="007C4D65">
        <w:trPr>
          <w:trHeight w:val="24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szCs w:val="24"/>
                <w:lang w:val="nl-NL"/>
              </w:rPr>
              <w:t>0,1705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</w:rPr>
              <w:t>0,3498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0,5203</w:t>
            </w:r>
          </w:p>
        </w:tc>
      </w:tr>
      <w:tr w:rsidR="007C4D65" w:rsidRPr="007C4D65" w:rsidTr="007C4D65">
        <w:trPr>
          <w:trHeight w:val="24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szCs w:val="24"/>
                <w:lang w:val="nl-NL"/>
              </w:rPr>
              <w:t>0,1651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</w:rPr>
              <w:t>0,3498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0,5149</w:t>
            </w:r>
          </w:p>
        </w:tc>
      </w:tr>
      <w:tr w:rsidR="007C4D65" w:rsidRPr="007C4D65" w:rsidTr="007C4D65">
        <w:trPr>
          <w:trHeight w:val="24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szCs w:val="24"/>
                <w:lang w:val="nl-NL"/>
              </w:rPr>
              <w:t>0,2352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</w:rPr>
              <w:t>0,3498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0,5850</w:t>
            </w:r>
          </w:p>
        </w:tc>
      </w:tr>
      <w:tr w:rsidR="007C4D65" w:rsidRPr="007C4D65" w:rsidTr="007C4D65">
        <w:trPr>
          <w:trHeight w:val="24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szCs w:val="24"/>
                <w:lang w:val="nl-NL"/>
              </w:rPr>
              <w:t>0,2294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</w:rPr>
              <w:t>0,3498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0,5792</w:t>
            </w:r>
          </w:p>
        </w:tc>
      </w:tr>
      <w:tr w:rsidR="007C4D65" w:rsidRPr="007C4D65" w:rsidTr="007C4D65">
        <w:trPr>
          <w:trHeight w:val="24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szCs w:val="24"/>
                <w:lang w:val="nl-NL"/>
              </w:rPr>
              <w:t>0,1471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</w:rPr>
              <w:t>0,3498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0,4969</w:t>
            </w:r>
          </w:p>
        </w:tc>
      </w:tr>
      <w:tr w:rsidR="007C4D65" w:rsidRPr="007C4D65" w:rsidTr="007C4D65">
        <w:trPr>
          <w:trHeight w:val="24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szCs w:val="24"/>
                <w:lang w:val="nl-NL"/>
              </w:rPr>
              <w:t>0,1322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</w:rPr>
              <w:t>0,3498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0,4820</w:t>
            </w:r>
          </w:p>
        </w:tc>
      </w:tr>
      <w:tr w:rsidR="007C4D65" w:rsidRPr="007C4D65" w:rsidTr="007C4D65">
        <w:trPr>
          <w:trHeight w:val="24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</w:rPr>
              <w:t>0,3498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0,6316</w:t>
            </w:r>
          </w:p>
        </w:tc>
      </w:tr>
    </w:tbl>
    <w:p w:rsidR="007C4D65" w:rsidRPr="007C4D65" w:rsidRDefault="007C4D65" w:rsidP="007C4D6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C4D65" w:rsidRPr="007C4D65" w:rsidRDefault="007C4D65" w:rsidP="007C4D65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9087" w:type="dxa"/>
        <w:tblLook w:val="04A0" w:firstRow="1" w:lastRow="0" w:firstColumn="1" w:lastColumn="0" w:noHBand="0" w:noVBand="1"/>
      </w:tblPr>
      <w:tblGrid>
        <w:gridCol w:w="3109"/>
        <w:gridCol w:w="1843"/>
        <w:gridCol w:w="1417"/>
        <w:gridCol w:w="1276"/>
        <w:gridCol w:w="1442"/>
      </w:tblGrid>
      <w:tr w:rsidR="007C4D65" w:rsidRPr="002A4792" w:rsidTr="005875F2">
        <w:trPr>
          <w:trHeight w:val="279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4D65" w:rsidRPr="007C4D65" w:rsidRDefault="007C4D65" w:rsidP="007C4D6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4D65" w:rsidRPr="007C4D65" w:rsidRDefault="007C4D65" w:rsidP="007C4D6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4D65" w:rsidRPr="007C4D65" w:rsidRDefault="007C4D65" w:rsidP="007C4D6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7C4D65" w:rsidRPr="002A4792" w:rsidTr="005875F2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7C4D65" w:rsidRPr="002A4792" w:rsidTr="005875F2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7C4D65" w:rsidRPr="002A4792" w:rsidTr="005875F2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D65" w:rsidRPr="007C4D65" w:rsidRDefault="007C4D65" w:rsidP="007C4D6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7C4D65" w:rsidRPr="007C4D65" w:rsidTr="005875F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</w:rPr>
              <w:t>4,2285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9,1574</w:t>
            </w:r>
          </w:p>
        </w:tc>
      </w:tr>
      <w:tr w:rsidR="007C4D65" w:rsidRPr="007C4D65" w:rsidTr="005875F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</w:rPr>
              <w:t>4,2285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14,3077</w:t>
            </w:r>
          </w:p>
        </w:tc>
      </w:tr>
      <w:tr w:rsidR="007C4D65" w:rsidRPr="007C4D65" w:rsidTr="005875F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</w:rPr>
              <w:t>4,2285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16,2488</w:t>
            </w:r>
          </w:p>
        </w:tc>
      </w:tr>
      <w:tr w:rsidR="007C4D65" w:rsidRPr="007C4D65" w:rsidTr="005875F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</w:rPr>
              <w:t>4,2285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18,2125</w:t>
            </w:r>
          </w:p>
        </w:tc>
      </w:tr>
      <w:tr w:rsidR="007C4D65" w:rsidRPr="007C4D65" w:rsidTr="005875F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</w:rPr>
              <w:t>4,2285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14,6774</w:t>
            </w:r>
          </w:p>
        </w:tc>
      </w:tr>
      <w:tr w:rsidR="007C4D65" w:rsidRPr="007C4D65" w:rsidTr="005875F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</w:rPr>
              <w:t>4,2285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14,6774</w:t>
            </w:r>
          </w:p>
        </w:tc>
      </w:tr>
      <w:tr w:rsidR="007C4D65" w:rsidRPr="007C4D65" w:rsidTr="005875F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</w:rPr>
              <w:t>4,2285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14,6774</w:t>
            </w:r>
          </w:p>
        </w:tc>
      </w:tr>
      <w:tr w:rsidR="007C4D65" w:rsidRPr="007C4D65" w:rsidTr="005875F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</w:rPr>
              <w:t>4,2285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13,7274</w:t>
            </w:r>
          </w:p>
        </w:tc>
      </w:tr>
      <w:tr w:rsidR="007C4D65" w:rsidRPr="007C4D65" w:rsidTr="005875F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</w:rPr>
              <w:t>4,2285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13,7274</w:t>
            </w:r>
          </w:p>
        </w:tc>
      </w:tr>
      <w:tr w:rsidR="007C4D65" w:rsidRPr="007C4D65" w:rsidTr="005875F2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Irrigatiewater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3,5000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</w:rPr>
              <w:t>4,2285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4D65" w:rsidRPr="007C4D65" w:rsidRDefault="007C4D65" w:rsidP="007C4D6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7C4D6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7,7285</w:t>
            </w:r>
          </w:p>
        </w:tc>
      </w:tr>
    </w:tbl>
    <w:p w:rsidR="007C4D65" w:rsidRPr="007C4D65" w:rsidRDefault="007C4D65" w:rsidP="007C4D6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C4D65" w:rsidRPr="007C4D65" w:rsidRDefault="007C4D65" w:rsidP="007C4D6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C4D65" w:rsidRPr="007C4D65" w:rsidRDefault="007C4D65" w:rsidP="007C4D6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C4D65">
        <w:rPr>
          <w:rFonts w:ascii="Times New Roman" w:hAnsi="Times New Roman"/>
          <w:snapToGrid/>
          <w:szCs w:val="24"/>
          <w:lang w:val="nl-NL"/>
        </w:rPr>
        <w:t>Artikel II</w:t>
      </w:r>
    </w:p>
    <w:p w:rsidR="007C4D65" w:rsidRPr="007C4D65" w:rsidRDefault="007C4D65" w:rsidP="007C4D6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C4D65" w:rsidRPr="007C4D65" w:rsidRDefault="007C4D65" w:rsidP="007C4D6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C4D65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7C4D65" w:rsidRPr="007C4D65" w:rsidRDefault="007C4D65" w:rsidP="007C4D6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C4D65" w:rsidRPr="007C4D65" w:rsidRDefault="007C4D65" w:rsidP="007C4D6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C4D65" w:rsidRPr="007C4D65" w:rsidRDefault="007C4D65" w:rsidP="007C4D6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C4D65">
        <w:rPr>
          <w:rFonts w:ascii="Times New Roman" w:hAnsi="Times New Roman"/>
          <w:snapToGrid/>
          <w:szCs w:val="24"/>
          <w:lang w:val="nl-NL"/>
        </w:rPr>
        <w:t>Artikel III</w:t>
      </w:r>
    </w:p>
    <w:p w:rsidR="007C4D65" w:rsidRPr="007C4D65" w:rsidRDefault="007C4D65" w:rsidP="007C4D6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C4D65" w:rsidRPr="007C4D65" w:rsidRDefault="007C4D65" w:rsidP="007C4D6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C4D65">
        <w:rPr>
          <w:rFonts w:ascii="Times New Roman" w:hAnsi="Times New Roman"/>
          <w:snapToGrid/>
          <w:szCs w:val="24"/>
          <w:lang w:val="nl-NL"/>
        </w:rPr>
        <w:t>Deze regeling treedt in werking met ingang van 1 februari 2024.</w:t>
      </w:r>
    </w:p>
    <w:p w:rsidR="007C4D65" w:rsidRPr="007C4D65" w:rsidRDefault="007C4D65" w:rsidP="007C4D6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C4D65" w:rsidRPr="007C4D65" w:rsidRDefault="007C4D65" w:rsidP="007C4D6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C4D65" w:rsidRPr="007C4D65" w:rsidRDefault="007C4D65" w:rsidP="007C4D65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7C4D65">
        <w:rPr>
          <w:rFonts w:ascii="Times New Roman" w:hAnsi="Times New Roman"/>
          <w:snapToGrid/>
          <w:szCs w:val="24"/>
          <w:lang w:val="nl-NL"/>
        </w:rPr>
        <w:t>Gegeven te Willemstad, 24 januari 2024</w:t>
      </w:r>
    </w:p>
    <w:p w:rsidR="007C4D65" w:rsidRPr="007C4D65" w:rsidRDefault="007C4D65" w:rsidP="007C4D65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7C4D65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7C4D65" w:rsidRPr="007C4D65" w:rsidRDefault="007C4D65" w:rsidP="007C4D65">
      <w:pPr>
        <w:widowControl/>
        <w:ind w:left="4320" w:right="670"/>
        <w:jc w:val="center"/>
        <w:rPr>
          <w:rFonts w:ascii="Times New Roman" w:hAnsi="Times New Roman"/>
          <w:snapToGrid/>
          <w:szCs w:val="24"/>
          <w:lang w:val="nl-NL"/>
        </w:rPr>
      </w:pPr>
      <w:r w:rsidRPr="007C4D65">
        <w:rPr>
          <w:rFonts w:ascii="Times New Roman" w:hAnsi="Times New Roman"/>
          <w:snapToGrid/>
          <w:szCs w:val="24"/>
          <w:lang w:val="nl-NL"/>
        </w:rPr>
        <w:t>R.M. CIJNTJE</w:t>
      </w:r>
    </w:p>
    <w:p w:rsidR="007C4D65" w:rsidRPr="007C4D65" w:rsidRDefault="007C4D65" w:rsidP="007C4D65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7C4D65" w:rsidRPr="007C4D65" w:rsidRDefault="007C4D65" w:rsidP="007C4D65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7C4D65" w:rsidRPr="007C4D65" w:rsidRDefault="007C4D65" w:rsidP="007C4D65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7C4D65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29</w:t>
      </w:r>
      <w:r w:rsidRPr="007C4D65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januari 2024</w:t>
      </w:r>
    </w:p>
    <w:p w:rsidR="007C4D65" w:rsidRPr="007C4D65" w:rsidRDefault="007C4D65" w:rsidP="007C4D65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7C4D65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022D76" w:rsidRPr="007C4D65" w:rsidRDefault="007C4D65" w:rsidP="007C4D65">
      <w:pPr>
        <w:autoSpaceDE w:val="0"/>
        <w:autoSpaceDN w:val="0"/>
        <w:adjustRightInd w:val="0"/>
        <w:ind w:left="4320" w:right="1750"/>
        <w:jc w:val="center"/>
        <w:rPr>
          <w:rFonts w:ascii="Times New Roman" w:hAnsi="Times New Roman"/>
          <w:b/>
          <w:sz w:val="22"/>
          <w:szCs w:val="22"/>
          <w:lang w:val="nl-NL"/>
        </w:rPr>
      </w:pPr>
      <w:r w:rsidRPr="007C4D65">
        <w:rPr>
          <w:rFonts w:ascii="Times New Roman" w:hAnsi="Times New Roman"/>
          <w:lang w:val="nl-NL"/>
        </w:rPr>
        <w:t>G.S. PISAS</w:t>
      </w: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31A7B" w:rsidRPr="00022D76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7C4D65">
      <w:rPr>
        <w:rFonts w:ascii="Times New Roman" w:hAnsi="Times New Roman"/>
        <w:b/>
        <w:spacing w:val="-4"/>
        <w:sz w:val="36"/>
      </w:rPr>
      <w:t>14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A4792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41FB9"/>
    <w:rsid w:val="006725E6"/>
    <w:rsid w:val="006C19FE"/>
    <w:rsid w:val="006F659E"/>
    <w:rsid w:val="00781AD6"/>
    <w:rsid w:val="007A6572"/>
    <w:rsid w:val="007C4D65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4E30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02061DD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C4D65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4</cp:revision>
  <cp:lastPrinted>2011-07-22T21:19:00Z</cp:lastPrinted>
  <dcterms:created xsi:type="dcterms:W3CDTF">2024-01-27T02:29:00Z</dcterms:created>
  <dcterms:modified xsi:type="dcterms:W3CDTF">2024-01-29T15:16:00Z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