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D43A7D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3F079C" w:rsidRPr="003F079C">
        <w:rPr>
          <w:b/>
          <w:sz w:val="36"/>
          <w:szCs w:val="36"/>
          <w:lang w:val="nl-NL"/>
        </w:rPr>
        <w:t>32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3F079C" w:rsidRPr="003F079C" w:rsidRDefault="000B544A" w:rsidP="003F079C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3F079C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="003F079C" w:rsidRPr="003F079C">
        <w:rPr>
          <w:rFonts w:ascii="Times New Roman" w:hAnsi="Times New Roman"/>
          <w:b/>
          <w:snapToGrid/>
          <w:szCs w:val="24"/>
          <w:lang w:val="nl-NL"/>
        </w:rPr>
        <w:t xml:space="preserve"> van de 25</w:t>
      </w:r>
      <w:r w:rsidR="003F079C" w:rsidRPr="003F079C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="003F079C" w:rsidRPr="003F079C">
        <w:rPr>
          <w:rFonts w:ascii="Times New Roman" w:hAnsi="Times New Roman"/>
          <w:b/>
          <w:snapToGrid/>
          <w:szCs w:val="24"/>
          <w:lang w:val="nl-NL"/>
        </w:rPr>
        <w:t xml:space="preserve"> februari 2026 tot wijziging van de Prijzenregeling basis-, brandstof- en consumententarieven (</w:t>
      </w:r>
      <w:r w:rsidR="003F079C">
        <w:rPr>
          <w:rFonts w:ascii="Times New Roman" w:hAnsi="Times New Roman"/>
          <w:b/>
          <w:snapToGrid/>
          <w:szCs w:val="24"/>
          <w:lang w:val="nl-NL"/>
        </w:rPr>
        <w:t>P.B.</w:t>
      </w:r>
      <w:r w:rsidR="003F079C" w:rsidRPr="003F079C">
        <w:rPr>
          <w:rFonts w:ascii="Times New Roman" w:hAnsi="Times New Roman"/>
          <w:b/>
          <w:snapToGrid/>
          <w:szCs w:val="24"/>
          <w:lang w:val="nl-NL"/>
        </w:rPr>
        <w:t xml:space="preserve"> 2023, no. 91).</w:t>
      </w:r>
    </w:p>
    <w:p w:rsidR="003F079C" w:rsidRDefault="000B544A" w:rsidP="000B544A">
      <w:pPr>
        <w:widowControl/>
        <w:spacing w:line="260" w:lineRule="exact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0B544A" w:rsidRPr="003F079C" w:rsidRDefault="000B544A" w:rsidP="003F079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0B544A" w:rsidP="003F079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 xml:space="preserve">De Minister </w:t>
      </w:r>
      <w:r>
        <w:rPr>
          <w:rFonts w:ascii="Times New Roman" w:hAnsi="Times New Roman"/>
          <w:snapToGrid/>
          <w:szCs w:val="24"/>
          <w:lang w:val="nl-NL"/>
        </w:rPr>
        <w:t>v</w:t>
      </w:r>
      <w:r w:rsidRPr="003F079C">
        <w:rPr>
          <w:rFonts w:ascii="Times New Roman" w:hAnsi="Times New Roman"/>
          <w:snapToGrid/>
          <w:szCs w:val="24"/>
          <w:lang w:val="nl-NL"/>
        </w:rPr>
        <w:t>an Economische Ontwikkeling</w:t>
      </w:r>
      <w:r>
        <w:rPr>
          <w:rFonts w:ascii="Times New Roman" w:hAnsi="Times New Roman"/>
          <w:snapToGrid/>
          <w:szCs w:val="24"/>
          <w:lang w:val="nl-NL"/>
        </w:rPr>
        <w:t xml:space="preserve"> </w:t>
      </w:r>
      <w:proofErr w:type="spellStart"/>
      <w:r>
        <w:rPr>
          <w:rFonts w:ascii="Times New Roman" w:hAnsi="Times New Roman"/>
          <w:snapToGrid/>
          <w:szCs w:val="24"/>
          <w:lang w:val="nl-NL"/>
        </w:rPr>
        <w:t>a..i</w:t>
      </w:r>
      <w:proofErr w:type="spellEnd"/>
      <w:r>
        <w:rPr>
          <w:rFonts w:ascii="Times New Roman" w:hAnsi="Times New Roman"/>
          <w:snapToGrid/>
          <w:szCs w:val="24"/>
          <w:lang w:val="nl-NL"/>
        </w:rPr>
        <w:t>.</w:t>
      </w:r>
      <w:r w:rsidR="003F079C" w:rsidRPr="003F079C">
        <w:rPr>
          <w:rFonts w:ascii="Times New Roman" w:hAnsi="Times New Roman"/>
          <w:snapToGrid/>
          <w:szCs w:val="24"/>
          <w:lang w:val="nl-NL"/>
        </w:rPr>
        <w:t>,</w:t>
      </w:r>
    </w:p>
    <w:p w:rsidR="003F079C" w:rsidRPr="003F079C" w:rsidRDefault="003F079C" w:rsidP="003F079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3F079C" w:rsidP="003F079C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3F079C" w:rsidRPr="003F079C" w:rsidRDefault="003F079C" w:rsidP="000B544A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3F079C" w:rsidP="003F079C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3F079C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3F079C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doeleinden, hospitaal en voor irrigatiewater vast te stellen;</w:t>
      </w:r>
    </w:p>
    <w:p w:rsidR="003F079C" w:rsidRPr="003F079C" w:rsidRDefault="003F079C" w:rsidP="003F079C">
      <w:pPr>
        <w:widowControl/>
        <w:spacing w:line="220" w:lineRule="exact"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3F079C" w:rsidP="003F079C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3F079C" w:rsidRPr="003F079C" w:rsidRDefault="003F079C" w:rsidP="000B544A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0B544A" w:rsidP="003F079C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="003F079C" w:rsidRPr="003F079C">
        <w:rPr>
          <w:rFonts w:ascii="Times New Roman" w:hAnsi="Times New Roman"/>
          <w:snapToGrid/>
          <w:szCs w:val="24"/>
          <w:lang w:val="nl-NL"/>
        </w:rPr>
        <w:t>rtikel 2 van de Prijzenverordening 1961, zoals gewijzigd</w:t>
      </w:r>
      <w:r w:rsidR="003F079C" w:rsidRPr="003F079C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="003F079C" w:rsidRPr="003F079C">
        <w:rPr>
          <w:rFonts w:ascii="Times New Roman" w:hAnsi="Times New Roman"/>
          <w:snapToGrid/>
          <w:szCs w:val="24"/>
          <w:lang w:val="nl-NL"/>
        </w:rPr>
        <w:t>;</w:t>
      </w:r>
    </w:p>
    <w:p w:rsidR="003F079C" w:rsidRPr="003F079C" w:rsidRDefault="003F079C" w:rsidP="000B544A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3F079C" w:rsidP="003F079C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3F079C" w:rsidRPr="003F079C" w:rsidRDefault="003F079C" w:rsidP="003F079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>Artikel I</w:t>
      </w:r>
    </w:p>
    <w:p w:rsidR="003F079C" w:rsidRPr="003F079C" w:rsidRDefault="003F079C" w:rsidP="000B544A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3F079C" w:rsidP="003F079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>De Prijzenregeling basis-, brandstof- en consumententarieven (</w:t>
      </w:r>
      <w:r>
        <w:rPr>
          <w:rFonts w:ascii="Times New Roman" w:hAnsi="Times New Roman"/>
          <w:snapToGrid/>
          <w:szCs w:val="24"/>
          <w:lang w:val="nl-NL"/>
        </w:rPr>
        <w:t>P.B.</w:t>
      </w:r>
      <w:r w:rsidRPr="003F079C">
        <w:rPr>
          <w:rFonts w:ascii="Times New Roman" w:hAnsi="Times New Roman"/>
          <w:snapToGrid/>
          <w:szCs w:val="24"/>
          <w:lang w:val="nl-NL"/>
        </w:rPr>
        <w:t xml:space="preserve"> 2023, no. 91) wordt nader gewijzigd als volgt:</w:t>
      </w:r>
    </w:p>
    <w:p w:rsidR="003F079C" w:rsidRPr="000B544A" w:rsidRDefault="003F079C" w:rsidP="000B544A">
      <w:pPr>
        <w:widowControl/>
        <w:spacing w:line="200" w:lineRule="exact"/>
        <w:rPr>
          <w:rFonts w:ascii="Times New Roman" w:hAnsi="Times New Roman"/>
          <w:snapToGrid/>
          <w:sz w:val="20"/>
          <w:lang w:val="nl-NL"/>
        </w:rPr>
      </w:pPr>
    </w:p>
    <w:p w:rsidR="003F079C" w:rsidRPr="003F079C" w:rsidRDefault="003F079C" w:rsidP="003F079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tbl>
      <w:tblPr>
        <w:tblW w:w="9317" w:type="dxa"/>
        <w:tblLook w:val="04A0" w:firstRow="1" w:lastRow="0" w:firstColumn="1" w:lastColumn="0" w:noHBand="0" w:noVBand="1"/>
      </w:tblPr>
      <w:tblGrid>
        <w:gridCol w:w="3573"/>
        <w:gridCol w:w="1395"/>
        <w:gridCol w:w="1143"/>
        <w:gridCol w:w="1618"/>
        <w:gridCol w:w="1588"/>
      </w:tblGrid>
      <w:tr w:rsidR="003F079C" w:rsidRPr="003F079C" w:rsidTr="000B544A">
        <w:trPr>
          <w:trHeight w:val="276"/>
        </w:trPr>
        <w:tc>
          <w:tcPr>
            <w:tcW w:w="3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 kWh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  <w:tc>
          <w:tcPr>
            <w:tcW w:w="1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in </w:t>
            </w:r>
            <w:proofErr w:type="spellStart"/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/kWh</w:t>
            </w:r>
          </w:p>
        </w:tc>
      </w:tr>
      <w:tr w:rsidR="003F079C" w:rsidRPr="003F079C" w:rsidTr="000B544A">
        <w:trPr>
          <w:trHeight w:val="272"/>
        </w:trPr>
        <w:tc>
          <w:tcPr>
            <w:tcW w:w="3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F079C" w:rsidRPr="003F079C" w:rsidTr="000B544A">
        <w:trPr>
          <w:trHeight w:val="385"/>
        </w:trPr>
        <w:tc>
          <w:tcPr>
            <w:tcW w:w="3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F079C" w:rsidRPr="003F079C" w:rsidTr="000B544A">
        <w:trPr>
          <w:trHeight w:val="272"/>
        </w:trPr>
        <w:tc>
          <w:tcPr>
            <w:tcW w:w="3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F079C" w:rsidRPr="003F079C" w:rsidTr="000B544A">
        <w:trPr>
          <w:trHeight w:val="252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0,5485</w:t>
            </w:r>
          </w:p>
        </w:tc>
      </w:tr>
      <w:tr w:rsidR="003F079C" w:rsidRPr="003F079C" w:rsidTr="000B544A">
        <w:trPr>
          <w:trHeight w:val="252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0,4192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0,6548</w:t>
            </w:r>
          </w:p>
        </w:tc>
      </w:tr>
      <w:tr w:rsidR="003F079C" w:rsidRPr="003F079C" w:rsidTr="000B544A">
        <w:trPr>
          <w:trHeight w:val="252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0,4634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0,6990</w:t>
            </w:r>
          </w:p>
        </w:tc>
      </w:tr>
      <w:tr w:rsidR="003F079C" w:rsidRPr="003F079C" w:rsidTr="000B544A">
        <w:trPr>
          <w:trHeight w:val="252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0,4226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0,6582</w:t>
            </w:r>
          </w:p>
        </w:tc>
      </w:tr>
      <w:tr w:rsidR="003F079C" w:rsidRPr="003F079C" w:rsidTr="000B544A">
        <w:trPr>
          <w:trHeight w:val="252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0,3229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0,5585</w:t>
            </w:r>
          </w:p>
        </w:tc>
      </w:tr>
      <w:tr w:rsidR="003F079C" w:rsidRPr="003F079C" w:rsidTr="000B544A">
        <w:trPr>
          <w:trHeight w:val="252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0,3174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0,5530</w:t>
            </w:r>
          </w:p>
        </w:tc>
      </w:tr>
      <w:tr w:rsidR="003F079C" w:rsidRPr="003F079C" w:rsidTr="000B544A">
        <w:trPr>
          <w:trHeight w:val="252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0,1930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0,4286</w:t>
            </w:r>
          </w:p>
        </w:tc>
      </w:tr>
      <w:tr w:rsidR="003F079C" w:rsidRPr="003F079C" w:rsidTr="000B544A">
        <w:trPr>
          <w:trHeight w:val="252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0,1876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0,4232</w:t>
            </w:r>
          </w:p>
        </w:tc>
      </w:tr>
      <w:tr w:rsidR="003F079C" w:rsidRPr="003F079C" w:rsidTr="000B544A">
        <w:trPr>
          <w:trHeight w:val="252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0,4933</w:t>
            </w:r>
          </w:p>
        </w:tc>
      </w:tr>
      <w:tr w:rsidR="003F079C" w:rsidRPr="003F079C" w:rsidTr="000B544A">
        <w:trPr>
          <w:trHeight w:val="252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0,2519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0,4875</w:t>
            </w:r>
          </w:p>
        </w:tc>
      </w:tr>
      <w:tr w:rsidR="003F079C" w:rsidRPr="003F079C" w:rsidTr="000B544A">
        <w:trPr>
          <w:trHeight w:val="252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0,1696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0,4052</w:t>
            </w:r>
          </w:p>
        </w:tc>
      </w:tr>
      <w:tr w:rsidR="003F079C" w:rsidRPr="003F079C" w:rsidTr="000B544A">
        <w:trPr>
          <w:trHeight w:val="252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0,1547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0,3903</w:t>
            </w:r>
          </w:p>
        </w:tc>
      </w:tr>
      <w:tr w:rsidR="003F079C" w:rsidRPr="003F079C" w:rsidTr="000B544A">
        <w:trPr>
          <w:trHeight w:val="252"/>
        </w:trPr>
        <w:tc>
          <w:tcPr>
            <w:tcW w:w="3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0,3043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0,2356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0,5399</w:t>
            </w:r>
          </w:p>
        </w:tc>
      </w:tr>
    </w:tbl>
    <w:p w:rsidR="000B544A" w:rsidRDefault="000B544A"/>
    <w:tbl>
      <w:tblPr>
        <w:tblW w:w="9313" w:type="dxa"/>
        <w:tblLook w:val="04A0" w:firstRow="1" w:lastRow="0" w:firstColumn="1" w:lastColumn="0" w:noHBand="0" w:noVBand="1"/>
      </w:tblPr>
      <w:tblGrid>
        <w:gridCol w:w="3109"/>
        <w:gridCol w:w="1843"/>
        <w:gridCol w:w="1515"/>
        <w:gridCol w:w="1404"/>
        <w:gridCol w:w="1442"/>
      </w:tblGrid>
      <w:tr w:rsidR="003F079C" w:rsidRPr="000B544A" w:rsidTr="00C204EA">
        <w:trPr>
          <w:trHeight w:val="458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Basis tarief in </w:t>
            </w:r>
            <w:proofErr w:type="spellStart"/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Brandstof clausule in </w:t>
            </w:r>
            <w:proofErr w:type="spellStart"/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  <w:tc>
          <w:tcPr>
            <w:tcW w:w="14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 xml:space="preserve">Totaal tarief in </w:t>
            </w:r>
            <w:proofErr w:type="spellStart"/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Cg</w:t>
            </w:r>
            <w:proofErr w:type="spellEnd"/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/m³</w:t>
            </w:r>
          </w:p>
        </w:tc>
      </w:tr>
      <w:tr w:rsidR="003F079C" w:rsidRPr="000B544A" w:rsidTr="00C204EA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F079C" w:rsidRPr="000B544A" w:rsidTr="00C204EA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F079C" w:rsidRPr="000B544A" w:rsidTr="00C204EA">
        <w:trPr>
          <w:trHeight w:val="458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4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079C" w:rsidRPr="003F079C" w:rsidRDefault="003F079C" w:rsidP="003F079C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F079C" w:rsidRPr="003F079C" w:rsidTr="00C204E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4,9289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3,1426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8,0715</w:t>
            </w:r>
          </w:p>
        </w:tc>
      </w:tr>
      <w:tr w:rsidR="003F079C" w:rsidRPr="003F079C" w:rsidTr="00C204E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10,0792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3,1426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13,2218</w:t>
            </w:r>
          </w:p>
        </w:tc>
      </w:tr>
      <w:tr w:rsidR="003F079C" w:rsidRPr="003F079C" w:rsidTr="00C204E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12,0203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3,1426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15,1629</w:t>
            </w:r>
          </w:p>
        </w:tc>
      </w:tr>
      <w:tr w:rsidR="003F079C" w:rsidRPr="003F079C" w:rsidTr="00C204E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13,9840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3,1426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17,1266</w:t>
            </w:r>
          </w:p>
        </w:tc>
      </w:tr>
      <w:tr w:rsidR="003F079C" w:rsidRPr="003F079C" w:rsidTr="00C204E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3,1426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13,5915</w:t>
            </w:r>
          </w:p>
        </w:tc>
      </w:tr>
      <w:tr w:rsidR="003F079C" w:rsidRPr="003F079C" w:rsidTr="00C204E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3,1426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13,5915</w:t>
            </w:r>
          </w:p>
        </w:tc>
      </w:tr>
      <w:tr w:rsidR="003F079C" w:rsidRPr="003F079C" w:rsidTr="00C204E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10,4489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3,1426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13,5915</w:t>
            </w:r>
          </w:p>
        </w:tc>
      </w:tr>
      <w:tr w:rsidR="003F079C" w:rsidRPr="003F079C" w:rsidTr="00C204E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3,1426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12,6415</w:t>
            </w:r>
          </w:p>
        </w:tc>
      </w:tr>
      <w:tr w:rsidR="003F079C" w:rsidRPr="003F079C" w:rsidTr="00C204EA">
        <w:trPr>
          <w:trHeight w:val="36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9,4989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3,1426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12,6415</w:t>
            </w:r>
          </w:p>
        </w:tc>
      </w:tr>
      <w:tr w:rsidR="003F079C" w:rsidRPr="003F079C" w:rsidTr="00C204EA">
        <w:trPr>
          <w:trHeight w:val="360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Irrigatiewater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F079C" w:rsidRPr="003F079C" w:rsidRDefault="003F079C" w:rsidP="003F079C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3,5000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jc w:val="right"/>
              <w:rPr>
                <w:rFonts w:ascii="Times New Roman" w:hAnsi="Times New Roman"/>
                <w:snapToGrid/>
                <w:szCs w:val="24"/>
                <w:lang w:val="nl-NL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3,1426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3F079C" w:rsidRPr="003F079C" w:rsidRDefault="003F079C" w:rsidP="003F079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/>
                <w:snapToGrid/>
                <w:color w:val="000000"/>
                <w:szCs w:val="24"/>
              </w:rPr>
            </w:pPr>
            <w:r w:rsidRPr="003F079C">
              <w:rPr>
                <w:rFonts w:ascii="Times New Roman" w:eastAsia="Calibri" w:hAnsi="Times New Roman"/>
                <w:snapToGrid/>
                <w:color w:val="000000"/>
                <w:szCs w:val="24"/>
              </w:rPr>
              <w:t>6,6426</w:t>
            </w:r>
          </w:p>
        </w:tc>
      </w:tr>
    </w:tbl>
    <w:p w:rsidR="003F079C" w:rsidRPr="003F079C" w:rsidRDefault="003F079C" w:rsidP="003F079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3F079C" w:rsidP="003F079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3F079C" w:rsidP="003F079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>Artikel II</w:t>
      </w:r>
    </w:p>
    <w:p w:rsidR="003F079C" w:rsidRPr="003F079C" w:rsidRDefault="003F079C" w:rsidP="003F079C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3F079C" w:rsidP="003F079C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3F079C" w:rsidRPr="003F079C" w:rsidRDefault="003F079C" w:rsidP="003F079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3F079C" w:rsidP="003F079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3F079C" w:rsidP="003F079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>Artikel III</w:t>
      </w:r>
    </w:p>
    <w:p w:rsidR="003F079C" w:rsidRPr="003F079C" w:rsidRDefault="003F079C" w:rsidP="003F079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3F079C" w:rsidP="003F079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>Deze regeling treedt in werking met ingang van 1 maart 2026.</w:t>
      </w:r>
    </w:p>
    <w:p w:rsidR="003F079C" w:rsidRPr="003F079C" w:rsidRDefault="003F079C" w:rsidP="003F079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3F079C" w:rsidP="003F079C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3F079C" w:rsidP="000B544A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>Gegeven te Willemstad, 25 februari 2026</w:t>
      </w:r>
    </w:p>
    <w:p w:rsidR="003F079C" w:rsidRDefault="003F079C" w:rsidP="000B544A">
      <w:pPr>
        <w:widowControl/>
        <w:ind w:left="4230" w:right="310"/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9E2819">
        <w:rPr>
          <w:rFonts w:ascii="Times New Roman" w:hAnsi="Times New Roman"/>
          <w:snapToGrid/>
          <w:szCs w:val="24"/>
          <w:lang w:val="nl-NL"/>
        </w:rPr>
        <w:t xml:space="preserve"> a.i.</w:t>
      </w:r>
      <w:r w:rsidR="000B544A">
        <w:rPr>
          <w:rFonts w:ascii="Times New Roman" w:hAnsi="Times New Roman"/>
          <w:snapToGrid/>
          <w:szCs w:val="24"/>
          <w:lang w:val="nl-NL"/>
        </w:rPr>
        <w:t>,</w:t>
      </w:r>
    </w:p>
    <w:p w:rsidR="009E2819" w:rsidRPr="003F079C" w:rsidRDefault="009E2819" w:rsidP="000B544A">
      <w:pPr>
        <w:widowControl/>
        <w:ind w:left="4230" w:right="400"/>
        <w:jc w:val="center"/>
        <w:rPr>
          <w:rFonts w:ascii="Times New Roman" w:hAnsi="Times New Roman"/>
          <w:snapToGrid/>
          <w:szCs w:val="24"/>
          <w:lang w:val="nl-NL"/>
        </w:rPr>
      </w:pPr>
      <w:r w:rsidRPr="009E2819">
        <w:rPr>
          <w:rFonts w:ascii="Times New Roman" w:hAnsi="Times New Roman"/>
          <w:snapToGrid/>
          <w:szCs w:val="24"/>
          <w:lang w:val="nl-NL"/>
        </w:rPr>
        <w:t>S.A. VAN HEYDOORN</w:t>
      </w:r>
    </w:p>
    <w:p w:rsidR="003F079C" w:rsidRPr="003F079C" w:rsidRDefault="003F079C" w:rsidP="003F079C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3F079C" w:rsidRPr="003F079C" w:rsidRDefault="003F079C" w:rsidP="000B544A">
      <w:pPr>
        <w:widowControl/>
        <w:ind w:left="4860" w:right="310"/>
        <w:rPr>
          <w:rFonts w:ascii="Times New Roman" w:hAnsi="Times New Roman"/>
          <w:snapToGrid/>
          <w:szCs w:val="24"/>
          <w:lang w:val="nl-NL"/>
        </w:rPr>
      </w:pPr>
      <w:bookmarkStart w:id="0" w:name="_GoBack"/>
      <w:bookmarkEnd w:id="0"/>
    </w:p>
    <w:p w:rsidR="003F079C" w:rsidRPr="003F079C" w:rsidRDefault="003F079C" w:rsidP="000B544A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</w:t>
      </w:r>
      <w:r w:rsidR="00002F65">
        <w:rPr>
          <w:rFonts w:ascii="Times New Roman" w:hAnsi="Times New Roman"/>
          <w:snapToGrid/>
          <w:szCs w:val="24"/>
          <w:lang w:val="nl-NL"/>
        </w:rPr>
        <w:t>7</w:t>
      </w:r>
      <w:r w:rsidRPr="003F079C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februari 2026</w:t>
      </w:r>
    </w:p>
    <w:p w:rsidR="008D5E2E" w:rsidRDefault="003F079C" w:rsidP="000B544A">
      <w:pPr>
        <w:tabs>
          <w:tab w:val="left" w:pos="7830"/>
        </w:tabs>
        <w:autoSpaceDE w:val="0"/>
        <w:autoSpaceDN w:val="0"/>
        <w:adjustRightInd w:val="0"/>
        <w:ind w:left="4230" w:right="1210"/>
        <w:rPr>
          <w:rFonts w:ascii="Times New Roman" w:hAnsi="Times New Roman"/>
          <w:snapToGrid/>
          <w:szCs w:val="24"/>
          <w:lang w:val="nl-NL"/>
        </w:rPr>
      </w:pPr>
      <w:r w:rsidRPr="003F079C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9E2819">
        <w:rPr>
          <w:rFonts w:ascii="Times New Roman" w:hAnsi="Times New Roman"/>
          <w:snapToGrid/>
          <w:szCs w:val="24"/>
          <w:lang w:val="nl-NL"/>
        </w:rPr>
        <w:t xml:space="preserve"> a.i.</w:t>
      </w:r>
      <w:r w:rsidR="000B544A">
        <w:rPr>
          <w:rFonts w:ascii="Times New Roman" w:hAnsi="Times New Roman"/>
          <w:snapToGrid/>
          <w:szCs w:val="24"/>
          <w:lang w:val="nl-NL"/>
        </w:rPr>
        <w:t>,</w:t>
      </w:r>
    </w:p>
    <w:p w:rsidR="009E2819" w:rsidRDefault="009E2819" w:rsidP="000B544A">
      <w:pPr>
        <w:autoSpaceDE w:val="0"/>
        <w:autoSpaceDN w:val="0"/>
        <w:adjustRightInd w:val="0"/>
        <w:ind w:left="4230" w:right="148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9E2819">
        <w:rPr>
          <w:rFonts w:ascii="Palatino Linotype" w:hAnsi="Palatino Linotype" w:cs="Arial"/>
          <w:snapToGrid/>
          <w:sz w:val="22"/>
          <w:szCs w:val="22"/>
          <w:lang w:val="nl-NL"/>
        </w:rPr>
        <w:t>C.F. COOPER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3F079C" w:rsidRPr="003F079C" w:rsidRDefault="003F079C" w:rsidP="003F079C">
      <w:pPr>
        <w:pStyle w:val="FootnoteText"/>
        <w:rPr>
          <w:rFonts w:ascii="Palatino Linotype" w:hAnsi="Palatino Linotype"/>
        </w:rPr>
      </w:pPr>
      <w:r w:rsidRPr="003F079C">
        <w:rPr>
          <w:rStyle w:val="FootnoteReference"/>
          <w:rFonts w:ascii="Palatino Linotype" w:hAnsi="Palatino Linotype"/>
          <w:sz w:val="18"/>
        </w:rPr>
        <w:footnoteRef/>
      </w:r>
      <w:r w:rsidRPr="003F079C">
        <w:rPr>
          <w:rFonts w:ascii="Palatino Linotype" w:hAnsi="Palatino Linotype"/>
          <w:sz w:val="18"/>
        </w:rPr>
        <w:t xml:space="preserve"> P.B. 2024, no.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F079C">
      <w:rPr>
        <w:rFonts w:ascii="Times New Roman" w:hAnsi="Times New Roman"/>
        <w:b/>
        <w:spacing w:val="-4"/>
        <w:sz w:val="36"/>
      </w:rPr>
      <w:t>3</w:t>
    </w:r>
    <w:r w:rsidR="001C4DF2">
      <w:rPr>
        <w:rFonts w:ascii="Times New Roman" w:hAnsi="Times New Roman"/>
        <w:b/>
        <w:spacing w:val="-4"/>
        <w:sz w:val="36"/>
      </w:rPr>
      <w:t>2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2F65"/>
    <w:rsid w:val="000055C2"/>
    <w:rsid w:val="0001282E"/>
    <w:rsid w:val="00022D76"/>
    <w:rsid w:val="00023DB3"/>
    <w:rsid w:val="000254C1"/>
    <w:rsid w:val="00064039"/>
    <w:rsid w:val="000829F9"/>
    <w:rsid w:val="000A0DBD"/>
    <w:rsid w:val="000B544A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3F079C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2819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43A7D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15F33C3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2131</Characters>
  <Application>Microsoft Office Word</Application>
  <DocSecurity>0</DocSecurity>
  <Lines>112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2026-02-27T22:02:00Z</dcterms:created>
  <dcterms:modified xsi:type="dcterms:W3CDTF">2026-02-27T22:02:00Z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