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D03575">
        <w:rPr>
          <w:b/>
          <w:sz w:val="36"/>
          <w:szCs w:val="36"/>
        </w:rPr>
        <w:t>9</w:t>
      </w:r>
      <w:r w:rsidR="003D25AC" w:rsidRPr="00B920FE">
        <w:rPr>
          <w:sz w:val="36"/>
          <w:szCs w:val="36"/>
        </w:rPr>
        <w:tab/>
      </w:r>
      <w:r w:rsidR="003D25AC" w:rsidRPr="00B920FE">
        <w:rPr>
          <w:b/>
          <w:sz w:val="36"/>
          <w:szCs w:val="36"/>
        </w:rPr>
        <w:t xml:space="preserve">N° </w:t>
      </w:r>
      <w:r w:rsidR="001836E9">
        <w:rPr>
          <w:b/>
          <w:sz w:val="36"/>
          <w:szCs w:val="36"/>
        </w:rPr>
        <w:fldChar w:fldCharType="begin">
          <w:ffData>
            <w:name w:val="Text2"/>
            <w:enabled/>
            <w:calcOnExit w:val="0"/>
            <w:textInput>
              <w:default w:val="77"/>
            </w:textInput>
          </w:ffData>
        </w:fldChar>
      </w:r>
      <w:bookmarkStart w:id="0" w:name="Text2"/>
      <w:r w:rsidR="001836E9">
        <w:rPr>
          <w:b/>
          <w:sz w:val="36"/>
          <w:szCs w:val="36"/>
        </w:rPr>
        <w:instrText xml:space="preserve"> FORMTEXT </w:instrText>
      </w:r>
      <w:r w:rsidR="001836E9">
        <w:rPr>
          <w:b/>
          <w:sz w:val="36"/>
          <w:szCs w:val="36"/>
        </w:rPr>
      </w:r>
      <w:r w:rsidR="001836E9">
        <w:rPr>
          <w:b/>
          <w:sz w:val="36"/>
          <w:szCs w:val="36"/>
        </w:rPr>
        <w:fldChar w:fldCharType="separate"/>
      </w:r>
      <w:r w:rsidR="001836E9">
        <w:rPr>
          <w:b/>
          <w:noProof/>
          <w:sz w:val="36"/>
          <w:szCs w:val="36"/>
        </w:rPr>
        <w:t>77</w:t>
      </w:r>
      <w:r w:rsidR="001836E9">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1836E9" w:rsidRPr="001836E9" w:rsidRDefault="001836E9" w:rsidP="001836E9">
      <w:pPr>
        <w:widowControl/>
        <w:spacing w:line="276" w:lineRule="auto"/>
        <w:jc w:val="both"/>
        <w:rPr>
          <w:rFonts w:ascii="Palatino Linotype" w:hAnsi="Palatino Linotype"/>
          <w:b/>
          <w:snapToGrid/>
          <w:sz w:val="22"/>
          <w:szCs w:val="22"/>
          <w:lang w:val="nl-NL"/>
        </w:rPr>
      </w:pPr>
      <w:r w:rsidRPr="001836E9">
        <w:rPr>
          <w:rFonts w:ascii="Palatino Linotype" w:hAnsi="Palatino Linotype"/>
          <w:b/>
          <w:snapToGrid/>
          <w:sz w:val="22"/>
          <w:szCs w:val="22"/>
          <w:lang w:val="nl-NL"/>
        </w:rPr>
        <w:t>MINISTERIËLE REGELING MET ALGEMENE WERKING, van de 28</w:t>
      </w:r>
      <w:r w:rsidRPr="001836E9">
        <w:rPr>
          <w:rFonts w:ascii="Palatino Linotype" w:hAnsi="Palatino Linotype"/>
          <w:b/>
          <w:snapToGrid/>
          <w:sz w:val="22"/>
          <w:szCs w:val="22"/>
          <w:vertAlign w:val="superscript"/>
          <w:lang w:val="nl-NL"/>
        </w:rPr>
        <w:t>ste</w:t>
      </w:r>
      <w:r w:rsidRPr="001836E9">
        <w:rPr>
          <w:rFonts w:ascii="Palatino Linotype" w:hAnsi="Palatino Linotype"/>
          <w:b/>
          <w:snapToGrid/>
          <w:sz w:val="22"/>
          <w:szCs w:val="22"/>
          <w:lang w:val="nl-NL"/>
        </w:rPr>
        <w:t xml:space="preserve"> november 2019, strekkende tot wijziging van de Regeling maximumprijzen geneesmiddelen 2019</w:t>
      </w:r>
      <w:r w:rsidRPr="001836E9">
        <w:rPr>
          <w:rFonts w:ascii="Palatino Linotype" w:hAnsi="Palatino Linotype"/>
          <w:b/>
          <w:snapToGrid/>
          <w:sz w:val="22"/>
          <w:szCs w:val="22"/>
          <w:vertAlign w:val="superscript"/>
          <w:lang w:val="nl-NL"/>
        </w:rPr>
        <w:footnoteReference w:id="1"/>
      </w:r>
      <w:r w:rsidRPr="001836E9">
        <w:rPr>
          <w:rFonts w:ascii="Palatino Linotype" w:hAnsi="Palatino Linotype"/>
          <w:b/>
          <w:snapToGrid/>
          <w:sz w:val="22"/>
          <w:szCs w:val="22"/>
          <w:lang w:val="nl-NL"/>
        </w:rPr>
        <w:t xml:space="preserve"> </w:t>
      </w:r>
    </w:p>
    <w:p w:rsidR="001836E9" w:rsidRPr="001836E9" w:rsidRDefault="001836E9" w:rsidP="001836E9">
      <w:pPr>
        <w:widowControl/>
        <w:spacing w:line="276" w:lineRule="auto"/>
        <w:jc w:val="center"/>
        <w:rPr>
          <w:rFonts w:ascii="Palatino Linotype" w:hAnsi="Palatino Linotype"/>
          <w:snapToGrid/>
          <w:sz w:val="22"/>
          <w:szCs w:val="22"/>
          <w:lang w:val="nl-NL"/>
        </w:rPr>
      </w:pPr>
      <w:r w:rsidRPr="001836E9">
        <w:rPr>
          <w:rFonts w:ascii="Palatino Linotype" w:hAnsi="Palatino Linotype"/>
          <w:snapToGrid/>
          <w:sz w:val="22"/>
          <w:szCs w:val="22"/>
          <w:lang w:val="nl-NL"/>
        </w:rPr>
        <w:t>____________</w:t>
      </w:r>
    </w:p>
    <w:p w:rsidR="001836E9" w:rsidRPr="001836E9" w:rsidRDefault="001836E9" w:rsidP="001836E9">
      <w:pPr>
        <w:widowControl/>
        <w:spacing w:line="276" w:lineRule="auto"/>
        <w:jc w:val="center"/>
        <w:rPr>
          <w:rFonts w:ascii="Palatino Linotype" w:hAnsi="Palatino Linotype"/>
          <w:snapToGrid/>
          <w:sz w:val="22"/>
          <w:szCs w:val="22"/>
          <w:lang w:val="nl-NL"/>
        </w:rPr>
      </w:pPr>
    </w:p>
    <w:p w:rsidR="001836E9" w:rsidRPr="001836E9" w:rsidRDefault="001836E9" w:rsidP="001836E9">
      <w:pPr>
        <w:widowControl/>
        <w:spacing w:line="276" w:lineRule="auto"/>
        <w:ind w:left="709" w:right="708"/>
        <w:jc w:val="center"/>
        <w:rPr>
          <w:rFonts w:ascii="Palatino Linotype" w:hAnsi="Palatino Linotype"/>
          <w:snapToGrid/>
          <w:sz w:val="22"/>
          <w:szCs w:val="22"/>
          <w:lang w:val="nl-NL"/>
        </w:rPr>
      </w:pPr>
      <w:r w:rsidRPr="001836E9">
        <w:rPr>
          <w:rFonts w:ascii="Palatino Linotype" w:hAnsi="Palatino Linotype"/>
          <w:snapToGrid/>
          <w:sz w:val="22"/>
          <w:szCs w:val="22"/>
          <w:lang w:val="nl-NL"/>
        </w:rPr>
        <w:t>De Minister van Economische Ontwikkeling, handelende na overleg met de Minister van Gezondheid, Milieu en Natuur,</w:t>
      </w:r>
    </w:p>
    <w:p w:rsidR="001836E9" w:rsidRPr="001836E9" w:rsidRDefault="001836E9" w:rsidP="001836E9">
      <w:pPr>
        <w:widowControl/>
        <w:spacing w:line="276" w:lineRule="auto"/>
        <w:rPr>
          <w:rFonts w:ascii="Palatino Linotype" w:hAnsi="Palatino Linotype"/>
          <w:snapToGrid/>
          <w:sz w:val="20"/>
          <w:lang w:val="nl-NL"/>
        </w:rPr>
      </w:pPr>
    </w:p>
    <w:p w:rsidR="001836E9" w:rsidRPr="001836E9" w:rsidRDefault="001836E9" w:rsidP="001836E9">
      <w:pPr>
        <w:widowControl/>
        <w:tabs>
          <w:tab w:val="left" w:pos="567"/>
        </w:tabs>
        <w:spacing w:line="276" w:lineRule="auto"/>
        <w:ind w:left="567" w:hanging="567"/>
        <w:rPr>
          <w:rFonts w:ascii="Palatino Linotype" w:hAnsi="Palatino Linotype"/>
          <w:snapToGrid/>
          <w:sz w:val="22"/>
          <w:szCs w:val="22"/>
          <w:lang w:val="nl-NL"/>
        </w:rPr>
      </w:pPr>
      <w:r w:rsidRPr="001836E9">
        <w:rPr>
          <w:rFonts w:ascii="Palatino Linotype" w:hAnsi="Palatino Linotype"/>
          <w:snapToGrid/>
          <w:sz w:val="22"/>
          <w:szCs w:val="22"/>
          <w:lang w:val="nl-NL"/>
        </w:rPr>
        <w:tab/>
        <w:t>Overwegende:</w:t>
      </w:r>
    </w:p>
    <w:p w:rsidR="001836E9" w:rsidRPr="001836E9" w:rsidRDefault="001836E9" w:rsidP="001836E9">
      <w:pPr>
        <w:widowControl/>
        <w:spacing w:line="276" w:lineRule="auto"/>
        <w:rPr>
          <w:rFonts w:ascii="Palatino Linotype" w:hAnsi="Palatino Linotype"/>
          <w:snapToGrid/>
          <w:sz w:val="22"/>
          <w:szCs w:val="22"/>
          <w:lang w:val="nl-NL"/>
        </w:rPr>
      </w:pPr>
    </w:p>
    <w:p w:rsidR="001836E9" w:rsidRPr="001836E9" w:rsidRDefault="001836E9" w:rsidP="001836E9">
      <w:pPr>
        <w:keepNext/>
        <w:widowControl/>
        <w:spacing w:line="276" w:lineRule="auto"/>
        <w:outlineLvl w:val="0"/>
        <w:rPr>
          <w:rFonts w:ascii="Palatino Linotype" w:hAnsi="Palatino Linotype"/>
          <w:snapToGrid/>
          <w:sz w:val="22"/>
          <w:szCs w:val="22"/>
          <w:lang w:val="nl-NL"/>
        </w:rPr>
      </w:pPr>
      <w:r w:rsidRPr="001836E9">
        <w:rPr>
          <w:rFonts w:ascii="Palatino Linotype" w:hAnsi="Palatino Linotype"/>
          <w:snapToGrid/>
          <w:sz w:val="22"/>
          <w:szCs w:val="22"/>
          <w:lang w:val="nl-NL"/>
        </w:rPr>
        <w:t>dat het in verband met een verbetering van de uitvoerbaarheid van de Regeling maximumprijzen geneesmiddelen 2019, het wenselijk is deze te wijzigen;</w:t>
      </w:r>
    </w:p>
    <w:p w:rsidR="001836E9" w:rsidRPr="001836E9" w:rsidRDefault="001836E9" w:rsidP="001836E9">
      <w:pPr>
        <w:widowControl/>
        <w:rPr>
          <w:rFonts w:ascii="Times New Roman" w:hAnsi="Times New Roman"/>
          <w:snapToGrid/>
          <w:sz w:val="20"/>
          <w:lang w:val="nl-NL"/>
        </w:rPr>
      </w:pPr>
    </w:p>
    <w:p w:rsidR="001836E9" w:rsidRPr="001836E9" w:rsidRDefault="001836E9" w:rsidP="001836E9">
      <w:pPr>
        <w:widowControl/>
        <w:jc w:val="both"/>
        <w:rPr>
          <w:rFonts w:ascii="Palatino Linotype" w:hAnsi="Palatino Linotype"/>
          <w:snapToGrid/>
          <w:sz w:val="22"/>
          <w:szCs w:val="22"/>
          <w:lang w:val="nl-NL"/>
        </w:rPr>
      </w:pPr>
      <w:r w:rsidRPr="001836E9">
        <w:rPr>
          <w:rFonts w:ascii="Palatino Linotype" w:hAnsi="Palatino Linotype"/>
          <w:snapToGrid/>
          <w:sz w:val="22"/>
          <w:szCs w:val="22"/>
          <w:lang w:val="nl-NL"/>
        </w:rPr>
        <w:t xml:space="preserve">dat het wenselijk is de bijlage behorende bij de Regeling maximumprijzen geneesmiddelen 2019 te wijzigen, in het bijzonder ten einde een aantal geneesmiddelen met de bijbehorende maximumprijzen toe te voegen en een aantal aanpassingen door te voeren in de maximumprijzen; </w:t>
      </w:r>
    </w:p>
    <w:p w:rsidR="001836E9" w:rsidRPr="001836E9" w:rsidRDefault="001836E9" w:rsidP="001836E9">
      <w:pPr>
        <w:widowControl/>
        <w:rPr>
          <w:rFonts w:ascii="Palatino Linotype" w:hAnsi="Palatino Linotype"/>
          <w:snapToGrid/>
          <w:sz w:val="20"/>
          <w:lang w:val="nl-NL"/>
        </w:rPr>
      </w:pPr>
    </w:p>
    <w:p w:rsidR="001836E9" w:rsidRPr="001836E9" w:rsidRDefault="001836E9" w:rsidP="001836E9">
      <w:pPr>
        <w:keepNext/>
        <w:widowControl/>
        <w:spacing w:line="276" w:lineRule="auto"/>
        <w:outlineLvl w:val="0"/>
        <w:rPr>
          <w:rFonts w:ascii="Palatino Linotype" w:hAnsi="Palatino Linotype"/>
          <w:snapToGrid/>
          <w:sz w:val="20"/>
          <w:lang w:val="nl-NL"/>
        </w:rPr>
      </w:pPr>
    </w:p>
    <w:p w:rsidR="001836E9" w:rsidRPr="001836E9" w:rsidRDefault="001836E9" w:rsidP="001836E9">
      <w:pPr>
        <w:widowControl/>
        <w:rPr>
          <w:rFonts w:ascii="Palatino Linotype" w:hAnsi="Palatino Linotype"/>
          <w:snapToGrid/>
          <w:sz w:val="22"/>
          <w:lang w:val="nl-NL"/>
        </w:rPr>
      </w:pPr>
      <w:r w:rsidRPr="001836E9">
        <w:rPr>
          <w:rFonts w:ascii="Palatino Linotype" w:hAnsi="Palatino Linotype"/>
          <w:snapToGrid/>
          <w:sz w:val="22"/>
          <w:lang w:val="nl-NL"/>
        </w:rPr>
        <w:tab/>
        <w:t>Gelet op:</w:t>
      </w:r>
    </w:p>
    <w:p w:rsidR="001836E9" w:rsidRPr="001836E9" w:rsidRDefault="001836E9" w:rsidP="001836E9">
      <w:pPr>
        <w:widowControl/>
        <w:rPr>
          <w:rFonts w:ascii="Palatino Linotype" w:hAnsi="Palatino Linotype"/>
          <w:snapToGrid/>
          <w:sz w:val="20"/>
          <w:lang w:val="nl-NL"/>
        </w:rPr>
      </w:pPr>
    </w:p>
    <w:p w:rsidR="001836E9" w:rsidRPr="001836E9" w:rsidRDefault="001836E9" w:rsidP="001836E9">
      <w:pPr>
        <w:widowControl/>
        <w:rPr>
          <w:rFonts w:ascii="Palatino Linotype" w:hAnsi="Palatino Linotype"/>
          <w:snapToGrid/>
          <w:sz w:val="22"/>
          <w:lang w:val="nl-NL"/>
        </w:rPr>
      </w:pPr>
      <w:r w:rsidRPr="001836E9">
        <w:rPr>
          <w:rFonts w:ascii="Palatino Linotype" w:hAnsi="Palatino Linotype"/>
          <w:snapToGrid/>
          <w:sz w:val="22"/>
          <w:lang w:val="nl-NL"/>
        </w:rPr>
        <w:t>artikel 2, onderdeel a, van de Prijzenverordening 1961</w:t>
      </w:r>
      <w:r w:rsidRPr="001836E9">
        <w:rPr>
          <w:rFonts w:ascii="Palatino Linotype" w:hAnsi="Palatino Linotype"/>
          <w:snapToGrid/>
          <w:sz w:val="22"/>
          <w:vertAlign w:val="superscript"/>
          <w:lang w:val="nl-NL"/>
        </w:rPr>
        <w:footnoteReference w:id="2"/>
      </w:r>
      <w:r w:rsidRPr="001836E9">
        <w:rPr>
          <w:rFonts w:ascii="Palatino Linotype" w:hAnsi="Palatino Linotype"/>
          <w:snapToGrid/>
          <w:sz w:val="22"/>
          <w:lang w:val="nl-NL"/>
        </w:rPr>
        <w:t>;</w:t>
      </w:r>
    </w:p>
    <w:p w:rsidR="001836E9" w:rsidRPr="001836E9" w:rsidRDefault="001836E9" w:rsidP="001836E9">
      <w:pPr>
        <w:widowControl/>
        <w:spacing w:line="276" w:lineRule="auto"/>
        <w:jc w:val="center"/>
        <w:rPr>
          <w:rFonts w:ascii="Palatino Linotype" w:hAnsi="Palatino Linotype"/>
          <w:snapToGrid/>
          <w:sz w:val="22"/>
          <w:szCs w:val="22"/>
          <w:lang w:val="nl-NL"/>
        </w:rPr>
      </w:pPr>
    </w:p>
    <w:p w:rsidR="001836E9" w:rsidRPr="001836E9" w:rsidRDefault="001836E9" w:rsidP="001836E9">
      <w:pPr>
        <w:widowControl/>
        <w:spacing w:line="276" w:lineRule="auto"/>
        <w:jc w:val="center"/>
        <w:rPr>
          <w:rFonts w:ascii="Palatino Linotype" w:hAnsi="Palatino Linotype"/>
          <w:snapToGrid/>
          <w:sz w:val="22"/>
          <w:szCs w:val="22"/>
          <w:lang w:val="nl-NL"/>
        </w:rPr>
      </w:pPr>
      <w:proofErr w:type="gramStart"/>
      <w:r w:rsidRPr="001836E9">
        <w:rPr>
          <w:rFonts w:ascii="Palatino Linotype" w:hAnsi="Palatino Linotype"/>
          <w:snapToGrid/>
          <w:sz w:val="22"/>
          <w:szCs w:val="22"/>
          <w:lang w:val="nl-NL"/>
        </w:rPr>
        <w:t>Heeft besloten:</w:t>
      </w:r>
      <w:proofErr w:type="gramEnd"/>
    </w:p>
    <w:p w:rsidR="001836E9" w:rsidRPr="001836E9" w:rsidRDefault="001836E9" w:rsidP="001836E9">
      <w:pPr>
        <w:widowControl/>
        <w:spacing w:line="276" w:lineRule="auto"/>
        <w:jc w:val="center"/>
        <w:rPr>
          <w:rFonts w:ascii="Palatino Linotype" w:hAnsi="Palatino Linotype"/>
          <w:snapToGrid/>
          <w:sz w:val="22"/>
          <w:szCs w:val="22"/>
          <w:lang w:val="nl-NL"/>
        </w:rPr>
      </w:pPr>
    </w:p>
    <w:p w:rsidR="001836E9" w:rsidRPr="001836E9" w:rsidRDefault="001836E9" w:rsidP="001836E9">
      <w:pPr>
        <w:widowControl/>
        <w:spacing w:line="276" w:lineRule="auto"/>
        <w:jc w:val="both"/>
        <w:rPr>
          <w:rFonts w:ascii="Palatino Linotype" w:hAnsi="Palatino Linotype"/>
          <w:bCs/>
          <w:snapToGrid/>
          <w:sz w:val="22"/>
          <w:szCs w:val="22"/>
          <w:lang w:val="nl-NL"/>
        </w:rPr>
      </w:pPr>
      <w:r w:rsidRPr="001836E9">
        <w:rPr>
          <w:rFonts w:ascii="Palatino Linotype" w:hAnsi="Palatino Linotype"/>
          <w:bCs/>
          <w:snapToGrid/>
          <w:sz w:val="22"/>
          <w:szCs w:val="22"/>
          <w:lang w:val="nl-NL"/>
        </w:rPr>
        <w:t>Artikel I</w:t>
      </w:r>
    </w:p>
    <w:p w:rsidR="001836E9" w:rsidRPr="001836E9" w:rsidRDefault="001836E9" w:rsidP="001836E9">
      <w:pPr>
        <w:widowControl/>
        <w:spacing w:line="276" w:lineRule="auto"/>
        <w:jc w:val="both"/>
        <w:rPr>
          <w:rFonts w:ascii="Palatino Linotype" w:hAnsi="Palatino Linotype"/>
          <w:bCs/>
          <w:snapToGrid/>
          <w:sz w:val="22"/>
          <w:szCs w:val="22"/>
          <w:lang w:val="nl-NL"/>
        </w:rPr>
      </w:pPr>
    </w:p>
    <w:p w:rsidR="001836E9" w:rsidRPr="001836E9" w:rsidRDefault="001836E9" w:rsidP="001836E9">
      <w:pPr>
        <w:widowControl/>
        <w:spacing w:line="276" w:lineRule="auto"/>
        <w:jc w:val="both"/>
        <w:rPr>
          <w:rFonts w:ascii="Palatino Linotype" w:hAnsi="Palatino Linotype"/>
          <w:bCs/>
          <w:snapToGrid/>
          <w:sz w:val="22"/>
          <w:szCs w:val="22"/>
          <w:lang w:val="nl-NL"/>
        </w:rPr>
      </w:pPr>
      <w:r w:rsidRPr="001836E9">
        <w:rPr>
          <w:rFonts w:ascii="Palatino Linotype" w:hAnsi="Palatino Linotype"/>
          <w:bCs/>
          <w:snapToGrid/>
          <w:sz w:val="22"/>
          <w:szCs w:val="22"/>
          <w:lang w:val="nl-NL"/>
        </w:rPr>
        <w:t>De Regeling maximumprijzen geneesmiddelen 2019 wordt gewijzigd als volgt:</w:t>
      </w:r>
    </w:p>
    <w:p w:rsidR="001836E9" w:rsidRPr="001836E9" w:rsidRDefault="001836E9" w:rsidP="001836E9">
      <w:pPr>
        <w:widowControl/>
        <w:spacing w:line="276" w:lineRule="auto"/>
        <w:jc w:val="both"/>
        <w:rPr>
          <w:rFonts w:ascii="Palatino Linotype" w:hAnsi="Palatino Linotype"/>
          <w:bCs/>
          <w:snapToGrid/>
          <w:sz w:val="22"/>
          <w:szCs w:val="22"/>
          <w:lang w:val="nl-NL"/>
        </w:rPr>
      </w:pPr>
    </w:p>
    <w:p w:rsidR="001836E9" w:rsidRPr="001836E9" w:rsidRDefault="001836E9" w:rsidP="001836E9">
      <w:pPr>
        <w:widowControl/>
        <w:spacing w:line="276" w:lineRule="auto"/>
        <w:jc w:val="both"/>
        <w:rPr>
          <w:rFonts w:ascii="Palatino Linotype" w:hAnsi="Palatino Linotype"/>
          <w:bCs/>
          <w:snapToGrid/>
          <w:sz w:val="22"/>
          <w:szCs w:val="22"/>
          <w:lang w:val="nl-NL"/>
        </w:rPr>
      </w:pPr>
      <w:r w:rsidRPr="001836E9">
        <w:rPr>
          <w:rFonts w:ascii="Palatino Linotype" w:hAnsi="Palatino Linotype"/>
          <w:bCs/>
          <w:snapToGrid/>
          <w:sz w:val="22"/>
          <w:szCs w:val="22"/>
          <w:lang w:val="nl-NL"/>
        </w:rPr>
        <w:t>A</w:t>
      </w:r>
      <w:r w:rsidRPr="001836E9">
        <w:rPr>
          <w:rFonts w:ascii="Palatino Linotype" w:hAnsi="Palatino Linotype"/>
          <w:bCs/>
          <w:snapToGrid/>
          <w:sz w:val="22"/>
          <w:szCs w:val="22"/>
          <w:lang w:val="nl-NL"/>
        </w:rPr>
        <w:tab/>
        <w:t xml:space="preserve">Artikel 1, onderdeel e, komt te luiden als volgt: </w:t>
      </w:r>
    </w:p>
    <w:p w:rsidR="001836E9" w:rsidRPr="001836E9" w:rsidRDefault="001836E9" w:rsidP="001836E9">
      <w:pPr>
        <w:widowControl/>
        <w:tabs>
          <w:tab w:val="left" w:pos="2520"/>
        </w:tabs>
        <w:spacing w:line="276" w:lineRule="auto"/>
        <w:ind w:firstLine="720"/>
        <w:jc w:val="both"/>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 xml:space="preserve">e. spécialité: </w:t>
      </w:r>
      <w:r w:rsidRPr="001836E9">
        <w:rPr>
          <w:rFonts w:ascii="Palatino Linotype" w:hAnsi="Palatino Linotype"/>
          <w:snapToGrid/>
          <w:color w:val="141413"/>
          <w:sz w:val="22"/>
          <w:szCs w:val="22"/>
          <w:lang w:val="nl-NL"/>
        </w:rPr>
        <w:tab/>
        <w:t xml:space="preserve">een verpakt geneesmiddel in een farmaceutische </w:t>
      </w:r>
    </w:p>
    <w:p w:rsidR="001836E9" w:rsidRPr="001836E9" w:rsidRDefault="001836E9" w:rsidP="001836E9">
      <w:pPr>
        <w:widowControl/>
        <w:tabs>
          <w:tab w:val="left" w:pos="2520"/>
        </w:tabs>
        <w:spacing w:line="276" w:lineRule="auto"/>
        <w:ind w:left="2520" w:right="720"/>
        <w:jc w:val="both"/>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 xml:space="preserve">vorm, dat in de handel wordt gebracht onder een speciale benaming, in een standaardverpakking en waarop nog </w:t>
      </w:r>
      <w:r w:rsidRPr="001836E9">
        <w:rPr>
          <w:rFonts w:ascii="Palatino Linotype" w:hAnsi="Palatino Linotype"/>
          <w:snapToGrid/>
          <w:color w:val="141413"/>
          <w:sz w:val="22"/>
          <w:szCs w:val="22"/>
          <w:lang w:val="nl-NL"/>
        </w:rPr>
        <w:lastRenderedPageBreak/>
        <w:t>intellectuele eigendommen rusten dan wel hebben gerust en die zijn verstreken;</w:t>
      </w:r>
    </w:p>
    <w:p w:rsidR="001836E9" w:rsidRPr="001836E9" w:rsidRDefault="001836E9" w:rsidP="001836E9">
      <w:pPr>
        <w:widowControl/>
        <w:tabs>
          <w:tab w:val="left" w:pos="2520"/>
        </w:tabs>
        <w:spacing w:line="276" w:lineRule="auto"/>
        <w:ind w:right="720"/>
        <w:jc w:val="both"/>
        <w:rPr>
          <w:rFonts w:ascii="Palatino Linotype" w:hAnsi="Palatino Linotype"/>
          <w:snapToGrid/>
          <w:color w:val="141413"/>
          <w:sz w:val="20"/>
          <w:lang w:val="nl-NL"/>
        </w:rPr>
      </w:pPr>
    </w:p>
    <w:p w:rsidR="001836E9" w:rsidRPr="001836E9" w:rsidRDefault="001836E9" w:rsidP="001836E9">
      <w:pPr>
        <w:widowControl/>
        <w:tabs>
          <w:tab w:val="left" w:pos="720"/>
          <w:tab w:val="left" w:pos="2520"/>
        </w:tabs>
        <w:spacing w:line="276" w:lineRule="auto"/>
        <w:ind w:right="720"/>
        <w:jc w:val="both"/>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B</w:t>
      </w:r>
      <w:r w:rsidRPr="001836E9">
        <w:rPr>
          <w:rFonts w:ascii="Palatino Linotype" w:hAnsi="Palatino Linotype"/>
          <w:snapToGrid/>
          <w:color w:val="141413"/>
          <w:sz w:val="22"/>
          <w:szCs w:val="22"/>
          <w:lang w:val="nl-NL"/>
        </w:rPr>
        <w:tab/>
        <w:t>Artikel 2 wordt gewijzigd als volgt:</w:t>
      </w:r>
    </w:p>
    <w:p w:rsidR="001836E9" w:rsidRPr="001836E9" w:rsidRDefault="001836E9" w:rsidP="001836E9">
      <w:pPr>
        <w:widowControl/>
        <w:tabs>
          <w:tab w:val="left" w:pos="720"/>
          <w:tab w:val="left" w:pos="1080"/>
        </w:tabs>
        <w:spacing w:line="276" w:lineRule="auto"/>
        <w:ind w:right="720"/>
        <w:jc w:val="both"/>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ab/>
        <w:t>1.</w:t>
      </w:r>
      <w:r w:rsidRPr="001836E9">
        <w:rPr>
          <w:rFonts w:ascii="Palatino Linotype" w:hAnsi="Palatino Linotype"/>
          <w:snapToGrid/>
          <w:color w:val="141413"/>
          <w:sz w:val="22"/>
          <w:szCs w:val="22"/>
          <w:lang w:val="nl-NL"/>
        </w:rPr>
        <w:tab/>
        <w:t>Artikel 2, eerste lid, komt te luiden als volgt:</w:t>
      </w:r>
    </w:p>
    <w:p w:rsidR="001836E9" w:rsidRPr="001836E9" w:rsidRDefault="001836E9" w:rsidP="001836E9">
      <w:pPr>
        <w:widowControl/>
        <w:tabs>
          <w:tab w:val="left" w:pos="720"/>
          <w:tab w:val="left" w:pos="1080"/>
        </w:tabs>
        <w:spacing w:line="276" w:lineRule="auto"/>
        <w:ind w:left="1080" w:right="720"/>
        <w:jc w:val="both"/>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 xml:space="preserve">1. </w:t>
      </w:r>
      <w:r w:rsidRPr="001836E9">
        <w:rPr>
          <w:rFonts w:ascii="Palatino Linotype" w:hAnsi="Palatino Linotype"/>
          <w:snapToGrid/>
          <w:color w:val="141413"/>
          <w:sz w:val="22"/>
          <w:szCs w:val="22"/>
          <w:lang w:val="nl-NL"/>
        </w:rPr>
        <w:tab/>
        <w:t xml:space="preserve">Het is een importeur verboden geneesmiddelen aan te bieden of </w:t>
      </w:r>
    </w:p>
    <w:p w:rsidR="001836E9" w:rsidRPr="001836E9" w:rsidRDefault="001836E9" w:rsidP="001836E9">
      <w:pPr>
        <w:widowControl/>
        <w:tabs>
          <w:tab w:val="left" w:pos="720"/>
        </w:tabs>
        <w:spacing w:line="276" w:lineRule="auto"/>
        <w:ind w:left="1440" w:right="720"/>
        <w:jc w:val="both"/>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te verkopen tegen een hogere prijs dan de maximumprijs, genoemd in de bijlage, waarbij een onderscheid wordt gemaakt tussen spécialités en generieke geneesmiddelen.</w:t>
      </w:r>
    </w:p>
    <w:p w:rsidR="001836E9" w:rsidRPr="001836E9" w:rsidRDefault="001836E9" w:rsidP="001836E9">
      <w:pPr>
        <w:widowControl/>
        <w:tabs>
          <w:tab w:val="left" w:pos="720"/>
          <w:tab w:val="left" w:pos="1080"/>
        </w:tabs>
        <w:spacing w:line="276" w:lineRule="auto"/>
        <w:ind w:right="720"/>
        <w:jc w:val="both"/>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ab/>
        <w:t>2.</w:t>
      </w:r>
      <w:r w:rsidRPr="001836E9">
        <w:rPr>
          <w:rFonts w:ascii="Palatino Linotype" w:hAnsi="Palatino Linotype"/>
          <w:snapToGrid/>
          <w:color w:val="141413"/>
          <w:sz w:val="22"/>
          <w:szCs w:val="22"/>
          <w:lang w:val="nl-NL"/>
        </w:rPr>
        <w:tab/>
        <w:t xml:space="preserve">Voor de tweede volzin van het tweede lid, wordt de aanduiding 3. </w:t>
      </w:r>
    </w:p>
    <w:p w:rsidR="001836E9" w:rsidRPr="001836E9" w:rsidRDefault="001836E9" w:rsidP="001836E9">
      <w:pPr>
        <w:widowControl/>
        <w:tabs>
          <w:tab w:val="left" w:pos="720"/>
          <w:tab w:val="left" w:pos="1080"/>
        </w:tabs>
        <w:spacing w:line="276" w:lineRule="auto"/>
        <w:ind w:right="720"/>
        <w:jc w:val="both"/>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ab/>
      </w:r>
      <w:r w:rsidRPr="001836E9">
        <w:rPr>
          <w:rFonts w:ascii="Palatino Linotype" w:hAnsi="Palatino Linotype"/>
          <w:snapToGrid/>
          <w:color w:val="141413"/>
          <w:sz w:val="22"/>
          <w:szCs w:val="22"/>
          <w:lang w:val="nl-NL"/>
        </w:rPr>
        <w:tab/>
        <w:t>geplaatst.</w:t>
      </w:r>
      <w:r w:rsidRPr="001836E9">
        <w:rPr>
          <w:rFonts w:ascii="Palatino Linotype" w:eastAsia="Palatino Linotype" w:hAnsi="Palatino Linotype" w:cs="Palatino Linotype"/>
          <w:snapToGrid/>
          <w:sz w:val="22"/>
          <w:szCs w:val="22"/>
          <w:lang w:val="nl-NL"/>
        </w:rPr>
        <w:t xml:space="preserve"> </w:t>
      </w:r>
    </w:p>
    <w:p w:rsidR="001836E9" w:rsidRPr="001836E9" w:rsidRDefault="001836E9" w:rsidP="001836E9">
      <w:pPr>
        <w:widowControl/>
        <w:tabs>
          <w:tab w:val="left" w:pos="720"/>
          <w:tab w:val="left" w:pos="1080"/>
        </w:tabs>
        <w:spacing w:line="276" w:lineRule="auto"/>
        <w:ind w:right="720"/>
        <w:jc w:val="both"/>
        <w:rPr>
          <w:rFonts w:ascii="Palatino Linotype" w:hAnsi="Palatino Linotype"/>
          <w:snapToGrid/>
          <w:color w:val="141413"/>
          <w:sz w:val="22"/>
          <w:szCs w:val="22"/>
          <w:lang w:val="nl-NL"/>
        </w:rPr>
      </w:pPr>
    </w:p>
    <w:p w:rsidR="001836E9" w:rsidRPr="001836E9" w:rsidRDefault="001836E9" w:rsidP="001836E9">
      <w:pPr>
        <w:widowControl/>
        <w:tabs>
          <w:tab w:val="left" w:pos="720"/>
          <w:tab w:val="left" w:pos="2520"/>
        </w:tabs>
        <w:spacing w:line="276" w:lineRule="auto"/>
        <w:ind w:right="720"/>
        <w:jc w:val="both"/>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C</w:t>
      </w:r>
      <w:r w:rsidRPr="001836E9">
        <w:rPr>
          <w:rFonts w:ascii="Palatino Linotype" w:hAnsi="Palatino Linotype"/>
          <w:snapToGrid/>
          <w:color w:val="141413"/>
          <w:sz w:val="22"/>
          <w:szCs w:val="22"/>
          <w:lang w:val="nl-NL"/>
        </w:rPr>
        <w:tab/>
        <w:t>Artikel 6 komt te luiden als volgt:</w:t>
      </w:r>
    </w:p>
    <w:p w:rsidR="001836E9" w:rsidRPr="001836E9" w:rsidRDefault="001836E9" w:rsidP="001836E9">
      <w:pPr>
        <w:widowControl/>
        <w:tabs>
          <w:tab w:val="left" w:pos="720"/>
          <w:tab w:val="left" w:pos="2520"/>
        </w:tabs>
        <w:spacing w:line="276" w:lineRule="auto"/>
        <w:ind w:right="720"/>
        <w:jc w:val="center"/>
        <w:rPr>
          <w:rFonts w:ascii="Palatino Linotype" w:hAnsi="Palatino Linotype"/>
          <w:snapToGrid/>
          <w:color w:val="141413"/>
          <w:sz w:val="22"/>
          <w:szCs w:val="22"/>
          <w:lang w:val="nl-NL"/>
        </w:rPr>
      </w:pPr>
    </w:p>
    <w:p w:rsidR="001836E9" w:rsidRPr="001836E9" w:rsidRDefault="001836E9" w:rsidP="001836E9">
      <w:pPr>
        <w:widowControl/>
        <w:tabs>
          <w:tab w:val="left" w:pos="720"/>
          <w:tab w:val="left" w:pos="2520"/>
        </w:tabs>
        <w:spacing w:line="276" w:lineRule="auto"/>
        <w:ind w:right="720"/>
        <w:jc w:val="center"/>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Artikel 6</w:t>
      </w:r>
    </w:p>
    <w:p w:rsidR="001836E9" w:rsidRPr="001836E9" w:rsidRDefault="001836E9" w:rsidP="001836E9">
      <w:pPr>
        <w:widowControl/>
        <w:tabs>
          <w:tab w:val="left" w:pos="720"/>
          <w:tab w:val="left" w:pos="2520"/>
        </w:tabs>
        <w:spacing w:line="276" w:lineRule="auto"/>
        <w:ind w:right="720"/>
        <w:jc w:val="center"/>
        <w:rPr>
          <w:rFonts w:ascii="Palatino Linotype" w:hAnsi="Palatino Linotype"/>
          <w:snapToGrid/>
          <w:color w:val="141413"/>
          <w:sz w:val="22"/>
          <w:szCs w:val="22"/>
          <w:lang w:val="nl-NL"/>
        </w:rPr>
      </w:pPr>
    </w:p>
    <w:p w:rsidR="001836E9" w:rsidRPr="001836E9" w:rsidRDefault="001836E9" w:rsidP="001836E9">
      <w:pPr>
        <w:widowControl/>
        <w:spacing w:line="276" w:lineRule="auto"/>
        <w:ind w:left="720" w:right="720"/>
        <w:jc w:val="both"/>
        <w:rPr>
          <w:rFonts w:ascii="Palatino Linotype" w:hAnsi="Palatino Linotype"/>
          <w:snapToGrid/>
          <w:color w:val="141413"/>
          <w:sz w:val="22"/>
          <w:szCs w:val="22"/>
          <w:lang w:val="nl-NL"/>
        </w:rPr>
      </w:pPr>
      <w:r w:rsidRPr="001836E9">
        <w:rPr>
          <w:rFonts w:ascii="Palatino Linotype" w:hAnsi="Palatino Linotype"/>
          <w:snapToGrid/>
          <w:color w:val="141413"/>
          <w:sz w:val="22"/>
          <w:szCs w:val="22"/>
          <w:lang w:val="nl-NL"/>
        </w:rPr>
        <w:t xml:space="preserve">De bijlage wordt </w:t>
      </w:r>
      <w:proofErr w:type="gramStart"/>
      <w:r w:rsidRPr="001836E9">
        <w:rPr>
          <w:rFonts w:ascii="Palatino Linotype" w:hAnsi="Palatino Linotype"/>
          <w:snapToGrid/>
          <w:color w:val="141413"/>
          <w:sz w:val="22"/>
          <w:szCs w:val="22"/>
          <w:lang w:val="nl-NL"/>
        </w:rPr>
        <w:t>ten minste</w:t>
      </w:r>
      <w:proofErr w:type="gramEnd"/>
      <w:r w:rsidRPr="001836E9">
        <w:rPr>
          <w:rFonts w:ascii="Palatino Linotype" w:hAnsi="Palatino Linotype"/>
          <w:snapToGrid/>
          <w:color w:val="141413"/>
          <w:sz w:val="22"/>
          <w:szCs w:val="22"/>
          <w:lang w:val="nl-NL"/>
        </w:rPr>
        <w:t xml:space="preserve"> elk kwartaal aangepast en ligt ter inzage bij het Ministerie van Economische Ontwikkeling en wordt tevens ter kennisneming geplaatst op de website </w:t>
      </w:r>
      <w:hyperlink r:id="rId10" w:history="1">
        <w:r w:rsidRPr="001836E9">
          <w:rPr>
            <w:rFonts w:ascii="Palatino Linotype" w:hAnsi="Palatino Linotype"/>
            <w:snapToGrid/>
            <w:color w:val="0563C1" w:themeColor="hyperlink"/>
            <w:sz w:val="22"/>
            <w:szCs w:val="22"/>
            <w:u w:val="single"/>
            <w:lang w:val="nl-NL"/>
          </w:rPr>
          <w:t>www.tarievencuracao.cw</w:t>
        </w:r>
      </w:hyperlink>
      <w:r w:rsidRPr="001836E9">
        <w:rPr>
          <w:rFonts w:ascii="Palatino Linotype" w:hAnsi="Palatino Linotype"/>
          <w:snapToGrid/>
          <w:color w:val="141413"/>
          <w:sz w:val="22"/>
          <w:szCs w:val="22"/>
          <w:lang w:val="nl-NL"/>
        </w:rPr>
        <w:t>.</w:t>
      </w:r>
    </w:p>
    <w:p w:rsidR="001836E9" w:rsidRPr="001836E9" w:rsidRDefault="001836E9" w:rsidP="001836E9">
      <w:pPr>
        <w:widowControl/>
        <w:spacing w:line="276" w:lineRule="auto"/>
        <w:ind w:left="720" w:right="720"/>
        <w:jc w:val="both"/>
        <w:rPr>
          <w:rFonts w:ascii="Palatino Linotype" w:hAnsi="Palatino Linotype"/>
          <w:bCs/>
          <w:snapToGrid/>
          <w:sz w:val="22"/>
          <w:szCs w:val="22"/>
          <w:lang w:val="nl-NL"/>
        </w:rPr>
      </w:pPr>
    </w:p>
    <w:p w:rsidR="001836E9" w:rsidRPr="001836E9" w:rsidRDefault="001836E9" w:rsidP="001836E9">
      <w:pPr>
        <w:widowControl/>
        <w:spacing w:line="276" w:lineRule="auto"/>
        <w:ind w:right="720"/>
        <w:rPr>
          <w:rFonts w:ascii="Palatino Linotype" w:hAnsi="Palatino Linotype"/>
          <w:bCs/>
          <w:snapToGrid/>
          <w:sz w:val="22"/>
          <w:szCs w:val="22"/>
          <w:lang w:val="nl-NL"/>
        </w:rPr>
      </w:pPr>
      <w:r w:rsidRPr="001836E9">
        <w:rPr>
          <w:rFonts w:ascii="Palatino Linotype" w:hAnsi="Palatino Linotype"/>
          <w:bCs/>
          <w:snapToGrid/>
          <w:sz w:val="22"/>
          <w:szCs w:val="22"/>
          <w:lang w:val="nl-NL"/>
        </w:rPr>
        <w:t>Artikel II</w:t>
      </w:r>
    </w:p>
    <w:p w:rsidR="001836E9" w:rsidRPr="001836E9" w:rsidRDefault="001836E9" w:rsidP="001836E9">
      <w:pPr>
        <w:widowControl/>
        <w:spacing w:line="276" w:lineRule="auto"/>
        <w:ind w:right="720"/>
        <w:rPr>
          <w:rFonts w:ascii="Palatino Linotype" w:hAnsi="Palatino Linotype"/>
          <w:bCs/>
          <w:snapToGrid/>
          <w:sz w:val="22"/>
          <w:szCs w:val="22"/>
          <w:lang w:val="nl-NL"/>
        </w:rPr>
      </w:pPr>
    </w:p>
    <w:p w:rsidR="001836E9" w:rsidRPr="001836E9" w:rsidRDefault="001836E9" w:rsidP="001836E9">
      <w:pPr>
        <w:widowControl/>
        <w:spacing w:line="276" w:lineRule="auto"/>
        <w:ind w:right="720"/>
        <w:rPr>
          <w:rFonts w:ascii="Palatino Linotype" w:hAnsi="Palatino Linotype"/>
          <w:bCs/>
          <w:snapToGrid/>
          <w:sz w:val="22"/>
          <w:szCs w:val="22"/>
          <w:lang w:val="nl-NL"/>
        </w:rPr>
      </w:pPr>
      <w:r w:rsidRPr="001836E9">
        <w:rPr>
          <w:rFonts w:ascii="Palatino Linotype" w:hAnsi="Palatino Linotype"/>
          <w:bCs/>
          <w:snapToGrid/>
          <w:sz w:val="22"/>
          <w:szCs w:val="22"/>
          <w:lang w:val="nl-NL"/>
        </w:rPr>
        <w:t>De “Bijlage: Lijst maximumprijzen geneesmiddelen september 2019” wordt vervangen door de bijlage gevoegd bij deze regeling, aangeduid als: Bijlage: Lijst maximumprijzen geneesmiddelen december 2019.</w:t>
      </w:r>
    </w:p>
    <w:p w:rsidR="001836E9" w:rsidRPr="001836E9" w:rsidRDefault="001836E9" w:rsidP="001836E9">
      <w:pPr>
        <w:widowControl/>
        <w:spacing w:line="276" w:lineRule="auto"/>
        <w:ind w:right="720"/>
        <w:rPr>
          <w:rFonts w:ascii="Palatino Linotype" w:hAnsi="Palatino Linotype"/>
          <w:bCs/>
          <w:snapToGrid/>
          <w:sz w:val="22"/>
          <w:szCs w:val="22"/>
          <w:lang w:val="nl-NL"/>
        </w:rPr>
      </w:pPr>
    </w:p>
    <w:p w:rsidR="001836E9" w:rsidRPr="001836E9" w:rsidRDefault="001836E9" w:rsidP="001836E9">
      <w:pPr>
        <w:widowControl/>
        <w:spacing w:line="276" w:lineRule="auto"/>
        <w:ind w:right="720"/>
        <w:rPr>
          <w:rFonts w:ascii="Palatino Linotype" w:hAnsi="Palatino Linotype"/>
          <w:bCs/>
          <w:snapToGrid/>
          <w:sz w:val="22"/>
          <w:szCs w:val="22"/>
          <w:lang w:val="nl-NL"/>
        </w:rPr>
      </w:pPr>
      <w:r w:rsidRPr="001836E9">
        <w:rPr>
          <w:rFonts w:ascii="Palatino Linotype" w:hAnsi="Palatino Linotype"/>
          <w:bCs/>
          <w:snapToGrid/>
          <w:sz w:val="22"/>
          <w:szCs w:val="22"/>
          <w:lang w:val="nl-NL"/>
        </w:rPr>
        <w:t>Artikel III</w:t>
      </w:r>
    </w:p>
    <w:p w:rsidR="001836E9" w:rsidRPr="001836E9" w:rsidRDefault="001836E9" w:rsidP="001836E9">
      <w:pPr>
        <w:widowControl/>
        <w:tabs>
          <w:tab w:val="left" w:pos="720"/>
        </w:tabs>
        <w:spacing w:line="276" w:lineRule="auto"/>
        <w:ind w:right="720"/>
        <w:jc w:val="both"/>
        <w:rPr>
          <w:rFonts w:ascii="Palatino Linotype" w:hAnsi="Palatino Linotype"/>
          <w:snapToGrid/>
          <w:sz w:val="22"/>
          <w:szCs w:val="22"/>
          <w:lang w:val="nl-NL"/>
        </w:rPr>
      </w:pPr>
    </w:p>
    <w:p w:rsidR="001836E9" w:rsidRPr="001836E9" w:rsidRDefault="001836E9" w:rsidP="001836E9">
      <w:pPr>
        <w:widowControl/>
        <w:spacing w:line="276" w:lineRule="auto"/>
        <w:ind w:right="720"/>
        <w:jc w:val="both"/>
        <w:rPr>
          <w:rFonts w:ascii="Palatino Linotype" w:hAnsi="Palatino Linotype"/>
          <w:snapToGrid/>
          <w:sz w:val="22"/>
          <w:szCs w:val="22"/>
          <w:lang w:val="nl-NL"/>
        </w:rPr>
      </w:pPr>
      <w:r w:rsidRPr="001836E9">
        <w:rPr>
          <w:rFonts w:ascii="Palatino Linotype" w:hAnsi="Palatino Linotype"/>
          <w:snapToGrid/>
          <w:sz w:val="22"/>
          <w:szCs w:val="22"/>
          <w:lang w:val="nl-NL"/>
        </w:rPr>
        <w:t>Deze regeling treedt in werking met ingang van 1 december 2019, met dien verstande dat artikel I, onderdelen A en B, terug werken tot en met 1 oktober 2019.</w:t>
      </w:r>
    </w:p>
    <w:p w:rsidR="001836E9" w:rsidRPr="001836E9" w:rsidRDefault="001836E9" w:rsidP="001836E9">
      <w:pPr>
        <w:widowControl/>
        <w:spacing w:line="276" w:lineRule="auto"/>
        <w:rPr>
          <w:rFonts w:ascii="Palatino Linotype" w:hAnsi="Palatino Linotype"/>
          <w:snapToGrid/>
          <w:sz w:val="22"/>
          <w:szCs w:val="22"/>
          <w:lang w:val="nl-NL"/>
        </w:rPr>
      </w:pPr>
    </w:p>
    <w:p w:rsidR="001836E9" w:rsidRPr="001836E9" w:rsidRDefault="001836E9" w:rsidP="001836E9">
      <w:pPr>
        <w:widowControl/>
        <w:spacing w:line="276" w:lineRule="auto"/>
        <w:ind w:left="2880" w:right="720"/>
        <w:jc w:val="both"/>
        <w:rPr>
          <w:rFonts w:ascii="Palatino Linotype" w:hAnsi="Palatino Linotype"/>
          <w:snapToGrid/>
          <w:sz w:val="22"/>
          <w:szCs w:val="22"/>
          <w:lang w:val="nl-NL"/>
        </w:rPr>
      </w:pPr>
    </w:p>
    <w:p w:rsidR="001836E9" w:rsidRPr="001836E9" w:rsidRDefault="001836E9" w:rsidP="001836E9">
      <w:pPr>
        <w:widowControl/>
        <w:spacing w:line="276" w:lineRule="auto"/>
        <w:ind w:left="2880" w:firstLine="720"/>
        <w:jc w:val="both"/>
        <w:rPr>
          <w:rFonts w:ascii="Palatino Linotype" w:hAnsi="Palatino Linotype"/>
          <w:snapToGrid/>
          <w:sz w:val="22"/>
          <w:szCs w:val="22"/>
          <w:lang w:val="nl-NL"/>
        </w:rPr>
      </w:pPr>
      <w:r w:rsidRPr="001836E9">
        <w:rPr>
          <w:rFonts w:ascii="Palatino Linotype" w:hAnsi="Palatino Linotype"/>
          <w:snapToGrid/>
          <w:sz w:val="22"/>
          <w:szCs w:val="22"/>
          <w:lang w:val="nl-NL"/>
        </w:rPr>
        <w:t>Willemstad, 28 november 2019</w:t>
      </w:r>
    </w:p>
    <w:p w:rsidR="001836E9" w:rsidRPr="001836E9" w:rsidRDefault="001836E9" w:rsidP="001836E9">
      <w:pPr>
        <w:widowControl/>
        <w:spacing w:line="276" w:lineRule="auto"/>
        <w:ind w:left="3600" w:right="720"/>
        <w:rPr>
          <w:rFonts w:ascii="Palatino Linotype" w:hAnsi="Palatino Linotype"/>
          <w:snapToGrid/>
          <w:sz w:val="22"/>
          <w:szCs w:val="22"/>
          <w:lang w:val="nl-NL"/>
        </w:rPr>
      </w:pPr>
      <w:r w:rsidRPr="001836E9">
        <w:rPr>
          <w:rFonts w:ascii="Palatino Linotype" w:hAnsi="Palatino Linotype"/>
          <w:snapToGrid/>
          <w:sz w:val="22"/>
          <w:szCs w:val="22"/>
          <w:lang w:val="nl-NL"/>
        </w:rPr>
        <w:t>De Minister van Economische Ontwikkeling,</w:t>
      </w:r>
    </w:p>
    <w:p w:rsidR="001836E9" w:rsidRPr="001836E9" w:rsidRDefault="001836E9" w:rsidP="001836E9">
      <w:pPr>
        <w:widowControl/>
        <w:ind w:left="1843" w:right="238"/>
        <w:jc w:val="center"/>
        <w:rPr>
          <w:rFonts w:ascii="Palatino Linotype" w:hAnsi="Palatino Linotype"/>
          <w:snapToGrid/>
          <w:sz w:val="22"/>
          <w:szCs w:val="22"/>
        </w:rPr>
      </w:pPr>
      <w:r w:rsidRPr="001836E9">
        <w:rPr>
          <w:rFonts w:ascii="Palatino Linotype" w:eastAsia="MS Mincho" w:hAnsi="Palatino Linotype"/>
          <w:snapToGrid/>
          <w:sz w:val="22"/>
          <w:szCs w:val="22"/>
          <w:lang w:val="nl-NL"/>
        </w:rPr>
        <w:t>G.M. Mc. WILLIAM</w:t>
      </w:r>
    </w:p>
    <w:p w:rsidR="001836E9" w:rsidRPr="001836E9" w:rsidRDefault="001836E9" w:rsidP="001836E9">
      <w:pPr>
        <w:widowControl/>
        <w:spacing w:line="276" w:lineRule="auto"/>
        <w:ind w:left="3600" w:right="720"/>
        <w:rPr>
          <w:rFonts w:ascii="Palatino Linotype" w:hAnsi="Palatino Linotype"/>
          <w:snapToGrid/>
          <w:sz w:val="22"/>
          <w:szCs w:val="22"/>
          <w:lang w:val="nl-NL"/>
        </w:rPr>
      </w:pPr>
    </w:p>
    <w:p w:rsidR="001836E9" w:rsidRPr="001836E9" w:rsidRDefault="001836E9" w:rsidP="001836E9">
      <w:pPr>
        <w:widowControl/>
        <w:spacing w:line="276" w:lineRule="auto"/>
        <w:ind w:right="720"/>
        <w:jc w:val="both"/>
        <w:rPr>
          <w:rFonts w:ascii="Palatino Linotype" w:hAnsi="Palatino Linotype"/>
          <w:snapToGrid/>
          <w:sz w:val="22"/>
          <w:szCs w:val="22"/>
          <w:lang w:val="nl-NL"/>
        </w:rPr>
      </w:pPr>
    </w:p>
    <w:p w:rsidR="001836E9" w:rsidRPr="001836E9" w:rsidRDefault="001836E9" w:rsidP="001836E9">
      <w:pPr>
        <w:widowControl/>
        <w:spacing w:line="276" w:lineRule="auto"/>
        <w:ind w:left="2880" w:right="720" w:firstLine="720"/>
        <w:jc w:val="both"/>
        <w:rPr>
          <w:rFonts w:ascii="Palatino Linotype" w:hAnsi="Palatino Linotype"/>
          <w:snapToGrid/>
          <w:sz w:val="22"/>
          <w:szCs w:val="22"/>
          <w:lang w:val="nl-NL"/>
        </w:rPr>
      </w:pPr>
      <w:r w:rsidRPr="001836E9">
        <w:rPr>
          <w:rFonts w:ascii="Palatino Linotype" w:hAnsi="Palatino Linotype"/>
          <w:snapToGrid/>
          <w:sz w:val="22"/>
          <w:szCs w:val="22"/>
          <w:lang w:val="nl-NL"/>
        </w:rPr>
        <w:t>Uitgegeven de 29</w:t>
      </w:r>
      <w:r w:rsidRPr="001836E9">
        <w:rPr>
          <w:rFonts w:ascii="Palatino Linotype" w:hAnsi="Palatino Linotype"/>
          <w:snapToGrid/>
          <w:sz w:val="22"/>
          <w:szCs w:val="22"/>
          <w:vertAlign w:val="superscript"/>
          <w:lang w:val="nl-NL"/>
        </w:rPr>
        <w:t>ste</w:t>
      </w:r>
      <w:r w:rsidRPr="001836E9">
        <w:rPr>
          <w:rFonts w:ascii="Palatino Linotype" w:hAnsi="Palatino Linotype"/>
          <w:snapToGrid/>
          <w:sz w:val="22"/>
          <w:szCs w:val="22"/>
          <w:lang w:val="nl-NL"/>
        </w:rPr>
        <w:t xml:space="preserve"> november 2019</w:t>
      </w:r>
    </w:p>
    <w:p w:rsidR="001836E9" w:rsidRPr="001836E9" w:rsidRDefault="001836E9" w:rsidP="001836E9">
      <w:pPr>
        <w:widowControl/>
        <w:spacing w:line="276" w:lineRule="auto"/>
        <w:ind w:left="2880" w:firstLine="720"/>
        <w:jc w:val="both"/>
        <w:rPr>
          <w:rFonts w:ascii="Palatino Linotype" w:hAnsi="Palatino Linotype"/>
          <w:snapToGrid/>
          <w:sz w:val="22"/>
          <w:szCs w:val="22"/>
          <w:lang w:val="nl-NL"/>
        </w:rPr>
      </w:pPr>
      <w:r w:rsidRPr="001836E9">
        <w:rPr>
          <w:rFonts w:ascii="Palatino Linotype" w:hAnsi="Palatino Linotype"/>
          <w:snapToGrid/>
          <w:sz w:val="22"/>
          <w:szCs w:val="22"/>
          <w:lang w:val="nl-NL"/>
        </w:rPr>
        <w:t xml:space="preserve">De Minister van Algemene Zaken, </w:t>
      </w:r>
    </w:p>
    <w:p w:rsidR="001836E9" w:rsidRPr="001836E9" w:rsidRDefault="001836E9" w:rsidP="001045D2">
      <w:pPr>
        <w:widowControl/>
        <w:spacing w:line="276" w:lineRule="auto"/>
        <w:ind w:left="3544" w:right="2222"/>
        <w:jc w:val="center"/>
        <w:rPr>
          <w:rFonts w:ascii="Palatino Linotype" w:hAnsi="Palatino Linotype"/>
          <w:snapToGrid/>
          <w:sz w:val="22"/>
          <w:szCs w:val="22"/>
          <w:lang w:val="nl-NL"/>
        </w:rPr>
      </w:pPr>
      <w:bookmarkStart w:id="1" w:name="_GoBack"/>
      <w:bookmarkEnd w:id="1"/>
      <w:r w:rsidRPr="001836E9">
        <w:rPr>
          <w:rFonts w:ascii="Palatino Linotype" w:eastAsia="MS Mincho" w:hAnsi="Palatino Linotype"/>
          <w:sz w:val="22"/>
          <w:szCs w:val="22"/>
          <w:lang w:val="nl-NL"/>
        </w:rPr>
        <w:t>E.P. RHUGGENAATH</w:t>
      </w:r>
    </w:p>
    <w:p w:rsidR="001836E9" w:rsidRPr="001836E9" w:rsidRDefault="001836E9" w:rsidP="001836E9">
      <w:pPr>
        <w:widowControl/>
        <w:spacing w:line="276" w:lineRule="auto"/>
        <w:jc w:val="both"/>
        <w:rPr>
          <w:rFonts w:ascii="Palatino Linotype" w:hAnsi="Palatino Linotype"/>
          <w:b/>
          <w:snapToGrid/>
          <w:sz w:val="22"/>
          <w:szCs w:val="22"/>
          <w:lang w:val="nl-NL"/>
        </w:rPr>
      </w:pPr>
      <w:r w:rsidRPr="001836E9">
        <w:rPr>
          <w:rFonts w:ascii="Palatino Linotype" w:hAnsi="Palatino Linotype"/>
          <w:b/>
          <w:snapToGrid/>
          <w:sz w:val="22"/>
          <w:szCs w:val="22"/>
          <w:lang w:val="nl-NL"/>
        </w:rPr>
        <w:lastRenderedPageBreak/>
        <w:t>TOELICHTING bij de Ministeriele regeling met algemene werking van de 28</w:t>
      </w:r>
      <w:r w:rsidRPr="001836E9">
        <w:rPr>
          <w:rFonts w:ascii="Palatino Linotype" w:hAnsi="Palatino Linotype"/>
          <w:b/>
          <w:snapToGrid/>
          <w:sz w:val="22"/>
          <w:szCs w:val="22"/>
          <w:vertAlign w:val="superscript"/>
          <w:lang w:val="nl-NL"/>
        </w:rPr>
        <w:t>ste</w:t>
      </w:r>
      <w:r w:rsidRPr="001836E9">
        <w:rPr>
          <w:rFonts w:ascii="Palatino Linotype" w:hAnsi="Palatino Linotype"/>
          <w:b/>
          <w:snapToGrid/>
          <w:sz w:val="22"/>
          <w:szCs w:val="22"/>
          <w:lang w:val="nl-NL"/>
        </w:rPr>
        <w:t xml:space="preserve"> november 2019, strekkende tot wijziging van de Regeling maximumprijzen geneesmiddelen 2019</w:t>
      </w:r>
    </w:p>
    <w:p w:rsidR="001836E9" w:rsidRPr="001836E9" w:rsidRDefault="001836E9" w:rsidP="001836E9">
      <w:pPr>
        <w:widowControl/>
        <w:spacing w:line="276" w:lineRule="auto"/>
        <w:jc w:val="both"/>
        <w:rPr>
          <w:rFonts w:ascii="Palatino Linotype" w:hAnsi="Palatino Linotype"/>
          <w:b/>
          <w:snapToGrid/>
          <w:sz w:val="22"/>
          <w:szCs w:val="22"/>
          <w:lang w:val="nl-NL"/>
        </w:rPr>
      </w:pPr>
    </w:p>
    <w:p w:rsidR="001836E9" w:rsidRPr="001836E9" w:rsidRDefault="001836E9" w:rsidP="001836E9">
      <w:pPr>
        <w:widowControl/>
        <w:spacing w:line="276" w:lineRule="auto"/>
        <w:jc w:val="both"/>
        <w:rPr>
          <w:rFonts w:ascii="Palatino Linotype" w:hAnsi="Palatino Linotype"/>
          <w:i/>
          <w:snapToGrid/>
          <w:sz w:val="22"/>
          <w:szCs w:val="22"/>
          <w:lang w:val="nl-NL"/>
        </w:rPr>
      </w:pPr>
      <w:r w:rsidRPr="001836E9">
        <w:rPr>
          <w:rFonts w:ascii="Palatino Linotype" w:hAnsi="Palatino Linotype"/>
          <w:i/>
          <w:snapToGrid/>
          <w:sz w:val="22"/>
          <w:szCs w:val="22"/>
          <w:lang w:val="nl-NL"/>
        </w:rPr>
        <w:t>Algemeen deel</w:t>
      </w:r>
    </w:p>
    <w:p w:rsidR="001836E9" w:rsidRPr="001836E9" w:rsidRDefault="001836E9" w:rsidP="001836E9">
      <w:pPr>
        <w:widowControl/>
        <w:spacing w:line="276" w:lineRule="auto"/>
        <w:jc w:val="both"/>
        <w:rPr>
          <w:rFonts w:ascii="Palatino Linotype" w:hAnsi="Palatino Linotype"/>
          <w:snapToGrid/>
          <w:sz w:val="22"/>
          <w:szCs w:val="22"/>
          <w:lang w:val="nl-NL"/>
        </w:rPr>
      </w:pPr>
      <w:r w:rsidRPr="001836E9">
        <w:rPr>
          <w:rFonts w:ascii="Palatino Linotype" w:hAnsi="Palatino Linotype"/>
          <w:snapToGrid/>
          <w:sz w:val="22"/>
          <w:szCs w:val="22"/>
          <w:lang w:val="nl-NL"/>
        </w:rPr>
        <w:t>Het is wenselijk de Regeling maximumprijzen geneesmiddelen 2019 verder te wijzigen, in verband met het verfijnen van de definitie van spécialité. De noodzaak van deze verfijning is aan het licht gekomen bij het samenstellen van de bijlage en na constatering van enige onduidelijkheid bij de sector, over de interpretatie van het onderscheid tussen spécialité geneesmiddelen en generieke geneesmiddelen.</w:t>
      </w:r>
    </w:p>
    <w:p w:rsidR="001836E9" w:rsidRPr="001836E9" w:rsidRDefault="001836E9" w:rsidP="001836E9">
      <w:pPr>
        <w:widowControl/>
        <w:spacing w:line="276" w:lineRule="auto"/>
        <w:jc w:val="both"/>
        <w:rPr>
          <w:rFonts w:ascii="Palatino Linotype" w:hAnsi="Palatino Linotype"/>
          <w:snapToGrid/>
          <w:sz w:val="22"/>
          <w:szCs w:val="22"/>
          <w:lang w:val="nl-NL"/>
        </w:rPr>
      </w:pPr>
    </w:p>
    <w:p w:rsidR="001836E9" w:rsidRPr="001836E9" w:rsidRDefault="001836E9" w:rsidP="001836E9">
      <w:pPr>
        <w:widowControl/>
        <w:spacing w:line="276" w:lineRule="auto"/>
        <w:jc w:val="both"/>
        <w:rPr>
          <w:rFonts w:ascii="Palatino Linotype" w:hAnsi="Palatino Linotype"/>
          <w:snapToGrid/>
          <w:sz w:val="22"/>
          <w:szCs w:val="22"/>
          <w:lang w:val="nl-NL"/>
        </w:rPr>
      </w:pPr>
      <w:r w:rsidRPr="001836E9">
        <w:rPr>
          <w:rFonts w:ascii="Palatino Linotype" w:hAnsi="Palatino Linotype"/>
          <w:snapToGrid/>
          <w:sz w:val="22"/>
          <w:szCs w:val="22"/>
          <w:lang w:val="nl-NL"/>
        </w:rPr>
        <w:t xml:space="preserve">Alle verschillende soorten generieke geneesmiddelen hebben echter gemeen, dat ze over het algemeen, goedkoper zijn dan het originele geneesmiddel. In zijn algemeenheid blijft het originele geneesmiddel een slag duurder dan generieke geneesmiddelen, omdat het ook na beëindiging van het intellectueel eigendom, geniet van voordelen van naamsbekendheid of ervaren betrouwbaarheid. </w:t>
      </w:r>
    </w:p>
    <w:p w:rsidR="001836E9" w:rsidRPr="001836E9" w:rsidRDefault="001836E9" w:rsidP="001836E9">
      <w:pPr>
        <w:widowControl/>
        <w:spacing w:line="276" w:lineRule="auto"/>
        <w:jc w:val="both"/>
        <w:rPr>
          <w:rFonts w:ascii="Palatino Linotype" w:hAnsi="Palatino Linotype"/>
          <w:snapToGrid/>
          <w:sz w:val="22"/>
          <w:szCs w:val="22"/>
          <w:lang w:val="nl-NL"/>
        </w:rPr>
      </w:pPr>
    </w:p>
    <w:p w:rsidR="001836E9" w:rsidRPr="001836E9" w:rsidRDefault="001836E9" w:rsidP="001836E9">
      <w:pPr>
        <w:widowControl/>
        <w:spacing w:line="276" w:lineRule="auto"/>
        <w:jc w:val="both"/>
        <w:rPr>
          <w:rFonts w:ascii="Palatino Linotype" w:hAnsi="Palatino Linotype"/>
          <w:snapToGrid/>
          <w:sz w:val="22"/>
          <w:szCs w:val="22"/>
          <w:lang w:val="nl-NL"/>
        </w:rPr>
      </w:pPr>
      <w:r w:rsidRPr="001836E9">
        <w:rPr>
          <w:rFonts w:ascii="Palatino Linotype" w:hAnsi="Palatino Linotype"/>
          <w:snapToGrid/>
          <w:sz w:val="22"/>
          <w:szCs w:val="22"/>
          <w:lang w:val="nl-NL"/>
        </w:rPr>
        <w:t xml:space="preserve">Voor de uitvoering van de regeling voor de maximumprijzen is enkel het onderscheid tussen het originele geneesmiddel, dat onder bescherming van intellectueel eigendom op de markt is verschenen en de geneesmiddelen die na het eindigen van deze bescherming, als nabootsing van het origineel, op de markt zijn gebracht, van belang. </w:t>
      </w:r>
      <w:proofErr w:type="gramStart"/>
      <w:r w:rsidRPr="001836E9">
        <w:rPr>
          <w:rFonts w:ascii="Palatino Linotype" w:hAnsi="Palatino Linotype"/>
          <w:snapToGrid/>
          <w:sz w:val="22"/>
          <w:szCs w:val="22"/>
          <w:lang w:val="nl-NL"/>
        </w:rPr>
        <w:t xml:space="preserve">De beperkte aanpassing van de definitie van spécialité weergeeft deze afweging. </w:t>
      </w:r>
      <w:proofErr w:type="gramEnd"/>
    </w:p>
    <w:p w:rsidR="001836E9" w:rsidRPr="001836E9" w:rsidRDefault="001836E9" w:rsidP="001836E9">
      <w:pPr>
        <w:widowControl/>
        <w:spacing w:line="276" w:lineRule="auto"/>
        <w:jc w:val="both"/>
        <w:rPr>
          <w:rFonts w:ascii="Palatino Linotype" w:hAnsi="Palatino Linotype"/>
          <w:snapToGrid/>
          <w:sz w:val="22"/>
          <w:szCs w:val="22"/>
          <w:lang w:val="nl-NL"/>
        </w:rPr>
      </w:pPr>
      <w:r w:rsidRPr="001836E9">
        <w:rPr>
          <w:rFonts w:ascii="Palatino Linotype" w:hAnsi="Palatino Linotype"/>
          <w:snapToGrid/>
          <w:sz w:val="22"/>
          <w:szCs w:val="22"/>
          <w:lang w:val="nl-NL"/>
        </w:rPr>
        <w:t>Hoewel is nagegaan of het wenselijk zou zijn om meerdere categorieën geneesmiddelen te definiëren, is geconcludeerd dat deze verdergaande verfijning, geen toegevoegde waarde heeft voor de toepassing van de regeling. Voor het treffen van deze conclusie is overleg gevoerd met de Inspectie der Geneesmiddelen en de SVB.</w:t>
      </w:r>
    </w:p>
    <w:p w:rsidR="001836E9" w:rsidRPr="001836E9" w:rsidRDefault="001836E9" w:rsidP="001836E9">
      <w:pPr>
        <w:widowControl/>
        <w:spacing w:line="276" w:lineRule="auto"/>
        <w:jc w:val="both"/>
        <w:rPr>
          <w:rFonts w:ascii="Palatino Linotype" w:hAnsi="Palatino Linotype"/>
          <w:snapToGrid/>
          <w:sz w:val="22"/>
          <w:szCs w:val="22"/>
          <w:lang w:val="nl-NL"/>
        </w:rPr>
      </w:pPr>
    </w:p>
    <w:p w:rsidR="001836E9" w:rsidRPr="001836E9" w:rsidRDefault="001836E9" w:rsidP="001836E9">
      <w:pPr>
        <w:widowControl/>
        <w:spacing w:line="276" w:lineRule="auto"/>
        <w:jc w:val="both"/>
        <w:rPr>
          <w:rFonts w:ascii="Palatino Linotype" w:hAnsi="Palatino Linotype"/>
          <w:i/>
          <w:snapToGrid/>
          <w:sz w:val="22"/>
          <w:szCs w:val="22"/>
          <w:lang w:val="nl-NL"/>
        </w:rPr>
      </w:pPr>
      <w:r w:rsidRPr="001836E9">
        <w:rPr>
          <w:rFonts w:ascii="Palatino Linotype" w:hAnsi="Palatino Linotype"/>
          <w:i/>
          <w:snapToGrid/>
          <w:sz w:val="22"/>
          <w:szCs w:val="22"/>
          <w:lang w:val="nl-NL"/>
        </w:rPr>
        <w:t>Artikelsgewijs deel</w:t>
      </w:r>
    </w:p>
    <w:p w:rsidR="001836E9" w:rsidRPr="001836E9" w:rsidRDefault="001836E9" w:rsidP="001836E9">
      <w:pPr>
        <w:widowControl/>
        <w:spacing w:line="276" w:lineRule="auto"/>
        <w:jc w:val="both"/>
        <w:rPr>
          <w:rFonts w:ascii="Palatino Linotype" w:hAnsi="Palatino Linotype"/>
          <w:snapToGrid/>
          <w:sz w:val="22"/>
          <w:szCs w:val="22"/>
          <w:lang w:val="nl-NL"/>
        </w:rPr>
      </w:pPr>
      <w:r w:rsidRPr="001836E9">
        <w:rPr>
          <w:rFonts w:ascii="Palatino Linotype" w:hAnsi="Palatino Linotype"/>
          <w:snapToGrid/>
          <w:sz w:val="22"/>
          <w:szCs w:val="22"/>
          <w:lang w:val="nl-NL"/>
        </w:rPr>
        <w:t>De wijziging van artikel 2, eerste lid, hangt samen met de wijziging van de definitie van spécialité. De verwijzing naar het Landsbesluit verpakte geneesmiddelen is op dit moment niet wenselijk, aangezien het proces voor aanpassing van de definities in die regeling, nog niet is voltooid.</w:t>
      </w:r>
    </w:p>
    <w:p w:rsidR="001836E9" w:rsidRPr="001836E9" w:rsidRDefault="001836E9" w:rsidP="001836E9">
      <w:pPr>
        <w:widowControl/>
        <w:spacing w:line="276" w:lineRule="auto"/>
        <w:jc w:val="both"/>
        <w:rPr>
          <w:rFonts w:ascii="Palatino Linotype" w:hAnsi="Palatino Linotype"/>
          <w:snapToGrid/>
          <w:sz w:val="22"/>
          <w:szCs w:val="22"/>
          <w:lang w:val="nl-NL"/>
        </w:rPr>
      </w:pPr>
    </w:p>
    <w:p w:rsidR="001836E9" w:rsidRPr="001836E9" w:rsidRDefault="001836E9" w:rsidP="001836E9">
      <w:pPr>
        <w:widowControl/>
        <w:spacing w:line="276" w:lineRule="auto"/>
        <w:jc w:val="both"/>
        <w:rPr>
          <w:rFonts w:ascii="Palatino Linotype" w:hAnsi="Palatino Linotype"/>
          <w:snapToGrid/>
          <w:sz w:val="22"/>
          <w:szCs w:val="22"/>
          <w:lang w:val="nl-NL"/>
        </w:rPr>
      </w:pPr>
      <w:r w:rsidRPr="001836E9">
        <w:rPr>
          <w:rFonts w:ascii="Palatino Linotype" w:hAnsi="Palatino Linotype"/>
          <w:snapToGrid/>
          <w:sz w:val="22"/>
          <w:szCs w:val="22"/>
          <w:lang w:val="nl-NL"/>
        </w:rPr>
        <w:t xml:space="preserve">De wijziging van artikel 6 betreft het scheppen van de mogelijkheid om de bijlage vaker dan per kwartaal aan te passen. Natuurlijk zal een grotere frequentie van aanpassingen nog wel periodiek geschieden, opdat de toepassing van de regeling, niet onnodig wordt bemoeilijkt. Men denke aan bijvoorbeeld maandelijkse aanpassingen. </w:t>
      </w:r>
    </w:p>
    <w:p w:rsidR="001836E9" w:rsidRPr="001836E9" w:rsidRDefault="001836E9" w:rsidP="001836E9">
      <w:pPr>
        <w:widowControl/>
        <w:spacing w:line="276" w:lineRule="auto"/>
        <w:jc w:val="both"/>
        <w:rPr>
          <w:rFonts w:ascii="Palatino Linotype" w:hAnsi="Palatino Linotype"/>
          <w:snapToGrid/>
          <w:sz w:val="22"/>
          <w:szCs w:val="22"/>
          <w:lang w:val="nl-NL"/>
        </w:rPr>
      </w:pPr>
    </w:p>
    <w:p w:rsidR="001836E9" w:rsidRPr="001836E9" w:rsidRDefault="001836E9" w:rsidP="001836E9">
      <w:pPr>
        <w:widowControl/>
        <w:spacing w:line="276" w:lineRule="auto"/>
        <w:jc w:val="both"/>
        <w:rPr>
          <w:rFonts w:ascii="Palatino Linotype" w:hAnsi="Palatino Linotype"/>
          <w:snapToGrid/>
          <w:color w:val="FF0000"/>
          <w:sz w:val="22"/>
          <w:szCs w:val="22"/>
          <w:lang w:val="nl-NL"/>
        </w:rPr>
      </w:pPr>
      <w:r w:rsidRPr="001836E9">
        <w:rPr>
          <w:rFonts w:ascii="Palatino Linotype" w:hAnsi="Palatino Linotype"/>
          <w:snapToGrid/>
          <w:sz w:val="22"/>
          <w:szCs w:val="22"/>
          <w:lang w:val="nl-NL"/>
        </w:rPr>
        <w:t xml:space="preserve">In artikel II is gebruik gemaakt van de gelegenheid om de bijlage te vervangen door een </w:t>
      </w:r>
      <w:proofErr w:type="spellStart"/>
      <w:r w:rsidRPr="001836E9">
        <w:rPr>
          <w:rFonts w:ascii="Palatino Linotype" w:hAnsi="Palatino Linotype"/>
          <w:snapToGrid/>
          <w:sz w:val="22"/>
          <w:szCs w:val="22"/>
          <w:lang w:val="nl-NL"/>
        </w:rPr>
        <w:t>herziene</w:t>
      </w:r>
      <w:proofErr w:type="spellEnd"/>
      <w:r w:rsidRPr="001836E9">
        <w:rPr>
          <w:rFonts w:ascii="Palatino Linotype" w:hAnsi="Palatino Linotype"/>
          <w:snapToGrid/>
          <w:sz w:val="22"/>
          <w:szCs w:val="22"/>
          <w:lang w:val="nl-NL"/>
        </w:rPr>
        <w:t xml:space="preserve"> bijlage. Het Ministerie van Economische Ontwikkeling heeft een aantal verzoeken van importeurs van geneesmiddelen ontvangen voor het berekenen van de maximale prijs van een </w:t>
      </w:r>
      <w:r w:rsidRPr="001836E9">
        <w:rPr>
          <w:rFonts w:ascii="Palatino Linotype" w:hAnsi="Palatino Linotype"/>
          <w:snapToGrid/>
          <w:sz w:val="22"/>
          <w:szCs w:val="22"/>
          <w:lang w:val="nl-NL"/>
        </w:rPr>
        <w:lastRenderedPageBreak/>
        <w:t xml:space="preserve">aantal (nieuw geregistreerde) geneesmiddelen. Deze geneesmiddelen zijn met de bijbehorende maximumprijzen aan de huidige bijlage toegevoegd. Daarnaast zijn er in de bijlage bij een aantal geneesmiddelen aanpassingen in de maximumprijs doorgevoerd en zijn er geneesmiddelen opnieuw aan de bijlage toegevoegd, nadat is gebleken dat ze bij de laatste bijlage door een technische fout niet waren gepubliceerd. </w:t>
      </w:r>
      <w:proofErr w:type="gramStart"/>
      <w:r w:rsidRPr="001836E9">
        <w:rPr>
          <w:rFonts w:ascii="Palatino Linotype" w:hAnsi="Palatino Linotype"/>
          <w:snapToGrid/>
          <w:sz w:val="22"/>
          <w:szCs w:val="22"/>
          <w:lang w:val="nl-NL"/>
        </w:rPr>
        <w:t>Tenslotte</w:t>
      </w:r>
      <w:proofErr w:type="gramEnd"/>
      <w:r w:rsidRPr="001836E9">
        <w:rPr>
          <w:rFonts w:ascii="Palatino Linotype" w:hAnsi="Palatino Linotype"/>
          <w:snapToGrid/>
          <w:sz w:val="22"/>
          <w:szCs w:val="22"/>
          <w:lang w:val="nl-NL"/>
        </w:rPr>
        <w:t>, heeft er een aanpassing plaatsgevonden voor wat betreft de gebruikte hoogte van de koersen. In de onderstaande tabel is een overzicht opgenomen van de voornaamste wijzigingen die in de lijst zijn verwerkt met telkens een korte toelichting.</w:t>
      </w:r>
    </w:p>
    <w:p w:rsidR="001836E9" w:rsidRPr="001836E9" w:rsidRDefault="001836E9" w:rsidP="001836E9">
      <w:pPr>
        <w:widowControl/>
        <w:spacing w:line="276" w:lineRule="auto"/>
        <w:jc w:val="both"/>
        <w:rPr>
          <w:rFonts w:ascii="Palatino Linotype" w:hAnsi="Palatino Linotype"/>
          <w:snapToGrid/>
          <w:color w:val="FF0000"/>
          <w:sz w:val="22"/>
          <w:szCs w:val="22"/>
          <w:lang w:val="nl-NL"/>
        </w:rPr>
      </w:pPr>
      <w:r w:rsidRPr="001836E9">
        <w:rPr>
          <w:rFonts w:ascii="Times New Roman" w:hAnsi="Times New Roman"/>
          <w:noProof/>
          <w:snapToGrid/>
          <w:color w:val="FF0000"/>
          <w:sz w:val="20"/>
        </w:rPr>
        <w:lastRenderedPageBreak/>
        <w:drawing>
          <wp:inline distT="0" distB="0" distL="0" distR="0" wp14:anchorId="0E337A44" wp14:editId="67E64922">
            <wp:extent cx="5631180" cy="7371809"/>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1773" cy="7372585"/>
                    </a:xfrm>
                    <a:prstGeom prst="rect">
                      <a:avLst/>
                    </a:prstGeom>
                    <a:noFill/>
                    <a:ln>
                      <a:noFill/>
                    </a:ln>
                  </pic:spPr>
                </pic:pic>
              </a:graphicData>
            </a:graphic>
          </wp:inline>
        </w:drawing>
      </w:r>
    </w:p>
    <w:p w:rsidR="001836E9" w:rsidRPr="001836E9" w:rsidRDefault="001836E9" w:rsidP="001836E9">
      <w:pPr>
        <w:widowControl/>
        <w:rPr>
          <w:rFonts w:ascii="Palatino Linotype" w:hAnsi="Palatino Linotype"/>
          <w:snapToGrid/>
          <w:color w:val="FF0000"/>
          <w:sz w:val="22"/>
          <w:szCs w:val="22"/>
          <w:lang w:val="nl-NL"/>
        </w:rPr>
      </w:pPr>
      <w:r w:rsidRPr="001836E9">
        <w:rPr>
          <w:rFonts w:ascii="Palatino Linotype" w:hAnsi="Palatino Linotype"/>
          <w:snapToGrid/>
          <w:color w:val="FF0000"/>
          <w:sz w:val="22"/>
          <w:szCs w:val="22"/>
          <w:lang w:val="nl-NL"/>
        </w:rPr>
        <w:br w:type="page"/>
      </w:r>
    </w:p>
    <w:p w:rsidR="001836E9" w:rsidRPr="001836E9" w:rsidRDefault="001836E9" w:rsidP="001836E9">
      <w:pPr>
        <w:widowControl/>
        <w:spacing w:line="276" w:lineRule="auto"/>
        <w:jc w:val="both"/>
        <w:rPr>
          <w:rFonts w:ascii="Palatino Linotype" w:hAnsi="Palatino Linotype"/>
          <w:snapToGrid/>
          <w:sz w:val="22"/>
          <w:szCs w:val="22"/>
          <w:lang w:val="nl-NL"/>
        </w:rPr>
      </w:pPr>
      <w:r w:rsidRPr="001836E9">
        <w:rPr>
          <w:rFonts w:ascii="Palatino Linotype" w:hAnsi="Palatino Linotype"/>
          <w:snapToGrid/>
          <w:sz w:val="22"/>
          <w:szCs w:val="22"/>
          <w:lang w:val="nl-NL"/>
        </w:rPr>
        <w:lastRenderedPageBreak/>
        <w:t xml:space="preserve">Aan de inwerkingtreding van de wijziging van de definitie van spécialité en de wijziging van artikel 2, eerste lid, is in artikel III terugwerkende kracht verleend, aangezien bij brief van 1 oktober 2019 van de Minister van Gezondheid, Natuur en Milieu, vooruitlopend op de aanpassing van deze regeling, de importeurs zijn geïnformeerd, dat bij de toepassing van de regeling uitgegaan zou worden van de definitie van spécialité zoals bij onderhavige regeling is aangepast. </w:t>
      </w:r>
    </w:p>
    <w:p w:rsidR="001836E9" w:rsidRPr="001836E9" w:rsidRDefault="001836E9" w:rsidP="001836E9">
      <w:pPr>
        <w:widowControl/>
        <w:spacing w:line="276" w:lineRule="auto"/>
        <w:jc w:val="both"/>
        <w:rPr>
          <w:rFonts w:ascii="Palatino Linotype" w:hAnsi="Palatino Linotype"/>
          <w:snapToGrid/>
          <w:sz w:val="22"/>
          <w:szCs w:val="22"/>
          <w:lang w:val="nl-NL"/>
        </w:rPr>
      </w:pPr>
      <w:r w:rsidRPr="001836E9">
        <w:rPr>
          <w:rFonts w:ascii="Palatino Linotype" w:hAnsi="Palatino Linotype"/>
          <w:snapToGrid/>
          <w:sz w:val="22"/>
          <w:szCs w:val="22"/>
          <w:lang w:val="nl-NL"/>
        </w:rPr>
        <w:t xml:space="preserve">Door aan de inwerkingtreding terugwerkende kracht te verlenen is de vereiste wettelijke grondslag gegeven aan de anticiperende werking van de hierboven genoemde brief. </w:t>
      </w:r>
    </w:p>
    <w:p w:rsidR="001836E9" w:rsidRPr="001836E9" w:rsidRDefault="001836E9" w:rsidP="001836E9">
      <w:pPr>
        <w:widowControl/>
        <w:autoSpaceDE w:val="0"/>
        <w:autoSpaceDN w:val="0"/>
        <w:adjustRightInd w:val="0"/>
        <w:jc w:val="both"/>
        <w:rPr>
          <w:rFonts w:ascii="Palatino Linotype" w:hAnsi="Palatino Linotype"/>
          <w:b/>
          <w:snapToGrid/>
          <w:sz w:val="22"/>
          <w:szCs w:val="22"/>
          <w:lang w:val="nl-NL"/>
        </w:rPr>
      </w:pPr>
    </w:p>
    <w:p w:rsidR="001836E9" w:rsidRPr="001836E9" w:rsidRDefault="001836E9" w:rsidP="001836E9">
      <w:pPr>
        <w:widowControl/>
        <w:spacing w:line="276" w:lineRule="auto"/>
        <w:jc w:val="both"/>
        <w:rPr>
          <w:rFonts w:ascii="Palatino Linotype" w:hAnsi="Palatino Linotype"/>
          <w:i/>
          <w:snapToGrid/>
          <w:sz w:val="22"/>
          <w:szCs w:val="22"/>
          <w:lang w:val="nl-NL"/>
        </w:rPr>
      </w:pPr>
      <w:r w:rsidRPr="001836E9">
        <w:rPr>
          <w:rFonts w:ascii="Palatino Linotype" w:hAnsi="Palatino Linotype"/>
          <w:i/>
          <w:snapToGrid/>
          <w:sz w:val="22"/>
          <w:szCs w:val="22"/>
          <w:lang w:val="nl-NL"/>
        </w:rPr>
        <w:t>Budgettaire gevolgen</w:t>
      </w:r>
    </w:p>
    <w:p w:rsidR="001836E9" w:rsidRPr="001836E9" w:rsidRDefault="001836E9" w:rsidP="001836E9">
      <w:pPr>
        <w:widowControl/>
        <w:autoSpaceDE w:val="0"/>
        <w:autoSpaceDN w:val="0"/>
        <w:adjustRightInd w:val="0"/>
        <w:jc w:val="both"/>
        <w:rPr>
          <w:rFonts w:ascii="Palatino Linotype" w:hAnsi="Palatino Linotype"/>
          <w:snapToGrid/>
          <w:sz w:val="22"/>
          <w:szCs w:val="22"/>
          <w:lang w:val="nl-NL"/>
        </w:rPr>
      </w:pPr>
      <w:r w:rsidRPr="001836E9">
        <w:rPr>
          <w:rFonts w:ascii="Palatino Linotype" w:hAnsi="Palatino Linotype"/>
          <w:snapToGrid/>
          <w:sz w:val="22"/>
          <w:szCs w:val="22"/>
          <w:lang w:val="nl-NL"/>
        </w:rPr>
        <w:t xml:space="preserve">De wijzigingen in de bijlage bij deze Ministeriele Regeling betreffen </w:t>
      </w:r>
      <w:proofErr w:type="gramStart"/>
      <w:r w:rsidRPr="001836E9">
        <w:rPr>
          <w:rFonts w:ascii="Palatino Linotype" w:hAnsi="Palatino Linotype"/>
          <w:snapToGrid/>
          <w:sz w:val="22"/>
          <w:szCs w:val="22"/>
          <w:lang w:val="nl-NL"/>
        </w:rPr>
        <w:t>met name</w:t>
      </w:r>
      <w:proofErr w:type="gramEnd"/>
      <w:r w:rsidRPr="001836E9">
        <w:rPr>
          <w:rFonts w:ascii="Palatino Linotype" w:hAnsi="Palatino Linotype"/>
          <w:snapToGrid/>
          <w:sz w:val="22"/>
          <w:szCs w:val="22"/>
          <w:lang w:val="nl-NL"/>
        </w:rPr>
        <w:t xml:space="preserve"> het toevoegen van enkele geneesmiddelen aan de lijst van geneesmiddelen en het doorvoeren van de nodige aanpassingen in de maximumprijs van enkele geneesmiddelen. Deze aanpassingen zijn te omschrijven als technische wijzigingen. Daarnaast zijn de gehanteerde wisselkoersen waar nodig aangepast. </w:t>
      </w:r>
    </w:p>
    <w:p w:rsidR="001836E9" w:rsidRPr="001836E9" w:rsidRDefault="001836E9" w:rsidP="001836E9">
      <w:pPr>
        <w:widowControl/>
        <w:autoSpaceDE w:val="0"/>
        <w:autoSpaceDN w:val="0"/>
        <w:adjustRightInd w:val="0"/>
        <w:jc w:val="both"/>
        <w:rPr>
          <w:rFonts w:ascii="Palatino Linotype" w:hAnsi="Palatino Linotype"/>
          <w:snapToGrid/>
          <w:sz w:val="22"/>
          <w:szCs w:val="22"/>
          <w:lang w:val="nl-NL"/>
        </w:rPr>
      </w:pPr>
    </w:p>
    <w:p w:rsidR="001836E9" w:rsidRPr="001836E9" w:rsidRDefault="001836E9" w:rsidP="001836E9">
      <w:pPr>
        <w:widowControl/>
        <w:autoSpaceDE w:val="0"/>
        <w:autoSpaceDN w:val="0"/>
        <w:adjustRightInd w:val="0"/>
        <w:jc w:val="both"/>
        <w:rPr>
          <w:rFonts w:ascii="Palatino Linotype" w:hAnsi="Palatino Linotype"/>
          <w:snapToGrid/>
          <w:sz w:val="22"/>
          <w:szCs w:val="22"/>
          <w:lang w:val="nl-NL"/>
        </w:rPr>
      </w:pPr>
      <w:r w:rsidRPr="001836E9">
        <w:rPr>
          <w:rFonts w:ascii="Palatino Linotype" w:hAnsi="Palatino Linotype"/>
          <w:snapToGrid/>
          <w:sz w:val="22"/>
          <w:szCs w:val="22"/>
          <w:lang w:val="nl-NL"/>
        </w:rPr>
        <w:t xml:space="preserve">Anders dan de beoogde besparingen (circa </w:t>
      </w:r>
      <w:proofErr w:type="spellStart"/>
      <w:r w:rsidRPr="001836E9">
        <w:rPr>
          <w:rFonts w:ascii="Palatino Linotype" w:hAnsi="Palatino Linotype"/>
          <w:snapToGrid/>
          <w:sz w:val="22"/>
          <w:szCs w:val="22"/>
          <w:lang w:val="nl-NL"/>
        </w:rPr>
        <w:t>NAf</w:t>
      </w:r>
      <w:proofErr w:type="spellEnd"/>
      <w:r w:rsidRPr="001836E9">
        <w:rPr>
          <w:rFonts w:ascii="Palatino Linotype" w:hAnsi="Palatino Linotype"/>
          <w:snapToGrid/>
          <w:sz w:val="22"/>
          <w:szCs w:val="22"/>
          <w:lang w:val="nl-NL"/>
        </w:rPr>
        <w:t>. 34 miljoen) voor het Fonds Basisverzekering Ziektekosten op de uitgaven aan geneesmiddelen als gevolg van het substitutiebeleid, hebben de hiervoor genoemde aanpassingen geen (noemenswaardige)gevolgen voor de landsbegroting.</w:t>
      </w:r>
    </w:p>
    <w:p w:rsidR="001836E9" w:rsidRPr="001836E9" w:rsidRDefault="001836E9" w:rsidP="001836E9">
      <w:pPr>
        <w:widowControl/>
        <w:spacing w:line="276" w:lineRule="auto"/>
        <w:jc w:val="both"/>
        <w:rPr>
          <w:rFonts w:ascii="Palatino Linotype" w:hAnsi="Palatino Linotype"/>
          <w:b/>
          <w:snapToGrid/>
          <w:sz w:val="22"/>
          <w:szCs w:val="22"/>
          <w:lang w:val="nl-NL"/>
        </w:rPr>
      </w:pPr>
    </w:p>
    <w:p w:rsidR="001836E9" w:rsidRPr="001836E9" w:rsidRDefault="001836E9" w:rsidP="001836E9">
      <w:pPr>
        <w:widowControl/>
        <w:spacing w:line="276" w:lineRule="auto"/>
        <w:ind w:left="3600"/>
        <w:rPr>
          <w:rFonts w:ascii="Palatino Linotype" w:hAnsi="Palatino Linotype"/>
          <w:snapToGrid/>
          <w:sz w:val="22"/>
          <w:szCs w:val="22"/>
          <w:lang w:val="nl-NL"/>
        </w:rPr>
      </w:pPr>
    </w:p>
    <w:p w:rsidR="001836E9" w:rsidRPr="001836E9" w:rsidRDefault="001836E9" w:rsidP="001836E9">
      <w:pPr>
        <w:widowControl/>
        <w:spacing w:line="276" w:lineRule="auto"/>
        <w:ind w:left="3600"/>
        <w:rPr>
          <w:rFonts w:ascii="Palatino Linotype" w:hAnsi="Palatino Linotype"/>
          <w:snapToGrid/>
          <w:sz w:val="22"/>
          <w:szCs w:val="22"/>
          <w:lang w:val="nl-NL"/>
        </w:rPr>
      </w:pPr>
      <w:r w:rsidRPr="001836E9">
        <w:rPr>
          <w:rFonts w:ascii="Palatino Linotype" w:hAnsi="Palatino Linotype"/>
          <w:snapToGrid/>
          <w:sz w:val="22"/>
          <w:szCs w:val="22"/>
          <w:lang w:val="nl-NL"/>
        </w:rPr>
        <w:t>Willemstad, 28 november 2019</w:t>
      </w:r>
    </w:p>
    <w:p w:rsidR="001836E9" w:rsidRPr="001836E9" w:rsidRDefault="001836E9" w:rsidP="001836E9">
      <w:pPr>
        <w:widowControl/>
        <w:spacing w:line="276" w:lineRule="auto"/>
        <w:ind w:left="3600"/>
        <w:rPr>
          <w:rFonts w:ascii="Palatino Linotype" w:hAnsi="Palatino Linotype"/>
          <w:snapToGrid/>
          <w:sz w:val="22"/>
          <w:szCs w:val="22"/>
          <w:lang w:val="nl-NL"/>
        </w:rPr>
      </w:pPr>
      <w:r w:rsidRPr="001836E9">
        <w:rPr>
          <w:rFonts w:ascii="Palatino Linotype" w:hAnsi="Palatino Linotype"/>
          <w:snapToGrid/>
          <w:sz w:val="22"/>
          <w:szCs w:val="22"/>
          <w:lang w:val="nl-NL"/>
        </w:rPr>
        <w:t xml:space="preserve">De Minister van Economische </w:t>
      </w:r>
    </w:p>
    <w:p w:rsidR="001836E9" w:rsidRPr="001836E9" w:rsidRDefault="001836E9" w:rsidP="001836E9">
      <w:pPr>
        <w:widowControl/>
        <w:spacing w:line="276" w:lineRule="auto"/>
        <w:ind w:left="3600"/>
        <w:rPr>
          <w:rFonts w:ascii="Palatino Linotype" w:hAnsi="Palatino Linotype"/>
          <w:snapToGrid/>
          <w:sz w:val="22"/>
          <w:szCs w:val="22"/>
          <w:lang w:val="nl-NL"/>
        </w:rPr>
      </w:pPr>
      <w:r w:rsidRPr="001836E9">
        <w:rPr>
          <w:rFonts w:ascii="Palatino Linotype" w:hAnsi="Palatino Linotype"/>
          <w:snapToGrid/>
          <w:sz w:val="22"/>
          <w:szCs w:val="22"/>
          <w:lang w:val="nl-NL"/>
        </w:rPr>
        <w:t>Ontwikkeling,</w:t>
      </w:r>
    </w:p>
    <w:p w:rsidR="001836E9" w:rsidRPr="001836E9" w:rsidRDefault="001836E9" w:rsidP="001836E9">
      <w:pPr>
        <w:widowControl/>
        <w:ind w:left="3544" w:right="2647"/>
        <w:jc w:val="center"/>
        <w:rPr>
          <w:rFonts w:ascii="Palatino Linotype" w:eastAsia="MS Mincho" w:hAnsi="Palatino Linotype"/>
          <w:snapToGrid/>
          <w:sz w:val="22"/>
          <w:szCs w:val="22"/>
          <w:lang w:val="nl-NL"/>
        </w:rPr>
      </w:pPr>
      <w:r w:rsidRPr="001836E9">
        <w:rPr>
          <w:rFonts w:ascii="Palatino Linotype" w:eastAsia="MS Mincho" w:hAnsi="Palatino Linotype"/>
          <w:snapToGrid/>
          <w:sz w:val="22"/>
          <w:szCs w:val="22"/>
          <w:lang w:val="nl-NL"/>
        </w:rPr>
        <w:t>G.M. Mc. WILLIAM</w:t>
      </w:r>
    </w:p>
    <w:p w:rsidR="001836E9" w:rsidRPr="001836E9" w:rsidRDefault="001836E9" w:rsidP="001836E9">
      <w:pPr>
        <w:widowControl/>
        <w:ind w:left="3544" w:right="1842"/>
        <w:rPr>
          <w:rFonts w:ascii="Palatino Linotype" w:hAnsi="Palatino Linotype"/>
          <w:snapToGrid/>
          <w:sz w:val="22"/>
          <w:szCs w:val="22"/>
        </w:rPr>
      </w:pPr>
    </w:p>
    <w:p w:rsidR="001836E9" w:rsidRDefault="001836E9">
      <w:pPr>
        <w:widowControl/>
        <w:rPr>
          <w:rFonts w:ascii="Palatino Linotype" w:hAnsi="Palatino Linotype"/>
          <w:b/>
          <w:snapToGrid/>
          <w:sz w:val="22"/>
          <w:szCs w:val="22"/>
          <w:lang w:val="nl-NL"/>
        </w:rPr>
      </w:pPr>
    </w:p>
    <w:p w:rsidR="00781FC2" w:rsidRDefault="00781FC2">
      <w:pPr>
        <w:widowControl/>
        <w:rPr>
          <w:rFonts w:ascii="Palatino Linotype" w:hAnsi="Palatino Linotype"/>
          <w:b/>
          <w:snapToGrid/>
          <w:sz w:val="22"/>
          <w:szCs w:val="22"/>
          <w:lang w:val="nl-NL"/>
        </w:rPr>
      </w:pPr>
      <w:r>
        <w:rPr>
          <w:rFonts w:ascii="Palatino Linotype" w:hAnsi="Palatino Linotype"/>
          <w:b/>
          <w:snapToGrid/>
          <w:sz w:val="22"/>
          <w:szCs w:val="22"/>
          <w:lang w:val="nl-NL"/>
        </w:rPr>
        <w:br w:type="page"/>
      </w:r>
    </w:p>
    <w:p w:rsidR="001836E9" w:rsidRPr="001836E9" w:rsidRDefault="001836E9" w:rsidP="001836E9">
      <w:pPr>
        <w:widowControl/>
        <w:spacing w:line="276" w:lineRule="auto"/>
        <w:ind w:left="3600"/>
        <w:rPr>
          <w:rFonts w:ascii="Palatino Linotype" w:hAnsi="Palatino Linotype"/>
          <w:b/>
          <w:snapToGrid/>
          <w:sz w:val="22"/>
          <w:szCs w:val="22"/>
          <w:lang w:val="nl-NL"/>
        </w:rPr>
      </w:pPr>
    </w:p>
    <w:p w:rsidR="00781FC2" w:rsidRDefault="00781FC2" w:rsidP="00781FC2">
      <w:pPr>
        <w:rPr>
          <w:rFonts w:ascii="Arial" w:hAnsi="Arial" w:cs="Arial"/>
          <w:sz w:val="44"/>
          <w:szCs w:val="44"/>
        </w:rPr>
      </w:pPr>
    </w:p>
    <w:p w:rsidR="00781FC2" w:rsidRDefault="00781FC2" w:rsidP="00781FC2">
      <w:pPr>
        <w:rPr>
          <w:rFonts w:ascii="Arial" w:hAnsi="Arial" w:cs="Arial"/>
          <w:sz w:val="44"/>
          <w:szCs w:val="44"/>
        </w:rPr>
      </w:pPr>
    </w:p>
    <w:p w:rsidR="00781FC2" w:rsidRDefault="00781FC2" w:rsidP="00781FC2">
      <w:pPr>
        <w:rPr>
          <w:rFonts w:ascii="Arial" w:hAnsi="Arial" w:cs="Arial"/>
          <w:sz w:val="44"/>
          <w:szCs w:val="44"/>
        </w:rPr>
      </w:pPr>
    </w:p>
    <w:p w:rsidR="00781FC2" w:rsidRDefault="00781FC2" w:rsidP="00781FC2">
      <w:pPr>
        <w:rPr>
          <w:rFonts w:ascii="Arial" w:hAnsi="Arial" w:cs="Arial"/>
          <w:sz w:val="44"/>
          <w:szCs w:val="44"/>
        </w:rPr>
      </w:pPr>
    </w:p>
    <w:p w:rsidR="00781FC2" w:rsidRDefault="00781FC2" w:rsidP="00781FC2">
      <w:pPr>
        <w:rPr>
          <w:rFonts w:ascii="Arial" w:hAnsi="Arial" w:cs="Arial"/>
          <w:sz w:val="44"/>
          <w:szCs w:val="44"/>
        </w:rPr>
      </w:pPr>
    </w:p>
    <w:p w:rsidR="00781FC2" w:rsidRDefault="00781FC2" w:rsidP="00781FC2">
      <w:pPr>
        <w:rPr>
          <w:rFonts w:ascii="Arial" w:hAnsi="Arial" w:cs="Arial"/>
          <w:sz w:val="44"/>
          <w:szCs w:val="44"/>
        </w:rPr>
      </w:pPr>
    </w:p>
    <w:p w:rsidR="00781FC2" w:rsidRDefault="00781FC2" w:rsidP="00781FC2">
      <w:pPr>
        <w:rPr>
          <w:rFonts w:ascii="Arial" w:hAnsi="Arial" w:cs="Arial"/>
          <w:sz w:val="44"/>
          <w:szCs w:val="44"/>
        </w:rPr>
      </w:pPr>
    </w:p>
    <w:p w:rsidR="00781FC2" w:rsidRDefault="00781FC2" w:rsidP="00781FC2">
      <w:pPr>
        <w:rPr>
          <w:rFonts w:ascii="Arial" w:hAnsi="Arial" w:cs="Arial"/>
          <w:sz w:val="44"/>
          <w:szCs w:val="44"/>
        </w:rPr>
      </w:pPr>
    </w:p>
    <w:p w:rsidR="00781FC2" w:rsidRPr="00416F5D" w:rsidRDefault="00781FC2" w:rsidP="00781FC2">
      <w:pPr>
        <w:jc w:val="center"/>
        <w:rPr>
          <w:rFonts w:ascii="Palatino Linotype" w:hAnsi="Palatino Linotype" w:cs="Arial"/>
          <w:color w:val="E36C0A"/>
          <w:sz w:val="52"/>
          <w:szCs w:val="52"/>
        </w:rPr>
      </w:pPr>
      <w:proofErr w:type="spellStart"/>
      <w:r w:rsidRPr="00416F5D">
        <w:rPr>
          <w:rFonts w:ascii="Palatino Linotype" w:hAnsi="Palatino Linotype" w:cs="Arial"/>
          <w:color w:val="E36C0A"/>
          <w:sz w:val="52"/>
          <w:szCs w:val="52"/>
        </w:rPr>
        <w:t>Bijlage</w:t>
      </w:r>
      <w:proofErr w:type="spellEnd"/>
      <w:r w:rsidRPr="00416F5D">
        <w:rPr>
          <w:rFonts w:ascii="Palatino Linotype" w:hAnsi="Palatino Linotype" w:cs="Arial"/>
          <w:color w:val="E36C0A"/>
          <w:sz w:val="52"/>
          <w:szCs w:val="52"/>
        </w:rPr>
        <w:t xml:space="preserve"> </w:t>
      </w:r>
      <w:proofErr w:type="spellStart"/>
      <w:r w:rsidRPr="00416F5D">
        <w:rPr>
          <w:rFonts w:ascii="Palatino Linotype" w:hAnsi="Palatino Linotype" w:cs="Arial"/>
          <w:color w:val="E36C0A"/>
          <w:sz w:val="52"/>
          <w:szCs w:val="52"/>
        </w:rPr>
        <w:t>bij</w:t>
      </w:r>
      <w:proofErr w:type="spellEnd"/>
      <w:r w:rsidRPr="00416F5D">
        <w:rPr>
          <w:rFonts w:ascii="Palatino Linotype" w:hAnsi="Palatino Linotype" w:cs="Arial"/>
          <w:color w:val="E36C0A"/>
          <w:sz w:val="52"/>
          <w:szCs w:val="52"/>
        </w:rPr>
        <w:t xml:space="preserve"> de </w:t>
      </w:r>
      <w:proofErr w:type="spellStart"/>
      <w:r w:rsidRPr="00416F5D">
        <w:rPr>
          <w:rFonts w:ascii="Palatino Linotype" w:hAnsi="Palatino Linotype" w:cs="Arial"/>
          <w:color w:val="E36C0A"/>
          <w:sz w:val="52"/>
          <w:szCs w:val="52"/>
        </w:rPr>
        <w:t>Regeling</w:t>
      </w:r>
      <w:proofErr w:type="spellEnd"/>
      <w:r w:rsidRPr="00416F5D">
        <w:rPr>
          <w:rFonts w:ascii="Palatino Linotype" w:hAnsi="Palatino Linotype" w:cs="Arial"/>
          <w:color w:val="E36C0A"/>
          <w:sz w:val="52"/>
          <w:szCs w:val="52"/>
        </w:rPr>
        <w:t xml:space="preserve"> </w:t>
      </w:r>
      <w:proofErr w:type="spellStart"/>
      <w:r w:rsidRPr="00416F5D">
        <w:rPr>
          <w:rFonts w:ascii="Palatino Linotype" w:hAnsi="Palatino Linotype" w:cs="Arial"/>
          <w:color w:val="E36C0A"/>
          <w:sz w:val="52"/>
          <w:szCs w:val="52"/>
        </w:rPr>
        <w:t>maximumprijzen</w:t>
      </w:r>
      <w:proofErr w:type="spellEnd"/>
      <w:r w:rsidRPr="00416F5D">
        <w:rPr>
          <w:rFonts w:ascii="Palatino Linotype" w:hAnsi="Palatino Linotype" w:cs="Arial"/>
          <w:color w:val="E36C0A"/>
          <w:sz w:val="52"/>
          <w:szCs w:val="52"/>
        </w:rPr>
        <w:t xml:space="preserve"> </w:t>
      </w:r>
      <w:proofErr w:type="spellStart"/>
      <w:r w:rsidRPr="00416F5D">
        <w:rPr>
          <w:rFonts w:ascii="Palatino Linotype" w:hAnsi="Palatino Linotype" w:cs="Arial"/>
          <w:color w:val="E36C0A"/>
          <w:sz w:val="52"/>
          <w:szCs w:val="52"/>
        </w:rPr>
        <w:t>geneesmiddelen</w:t>
      </w:r>
      <w:proofErr w:type="spellEnd"/>
      <w:r w:rsidRPr="00416F5D">
        <w:rPr>
          <w:rFonts w:ascii="Palatino Linotype" w:hAnsi="Palatino Linotype" w:cs="Arial"/>
          <w:color w:val="E36C0A"/>
          <w:sz w:val="52"/>
          <w:szCs w:val="52"/>
        </w:rPr>
        <w:t xml:space="preserve"> 2019:</w:t>
      </w:r>
    </w:p>
    <w:p w:rsidR="00781FC2" w:rsidRPr="00416F5D" w:rsidRDefault="00781FC2" w:rsidP="00781FC2">
      <w:pPr>
        <w:rPr>
          <w:rFonts w:ascii="Palatino Linotype" w:hAnsi="Palatino Linotype" w:cs="Arial"/>
          <w:color w:val="E36C0A"/>
          <w:sz w:val="52"/>
          <w:szCs w:val="52"/>
        </w:rPr>
      </w:pPr>
    </w:p>
    <w:p w:rsidR="00781FC2" w:rsidRPr="00416F5D" w:rsidRDefault="00781FC2" w:rsidP="00781FC2">
      <w:pPr>
        <w:jc w:val="center"/>
        <w:rPr>
          <w:rFonts w:ascii="Palatino Linotype" w:hAnsi="Palatino Linotype" w:cs="Arial"/>
          <w:b/>
          <w:color w:val="E36C0A"/>
          <w:sz w:val="52"/>
          <w:szCs w:val="52"/>
        </w:rPr>
      </w:pPr>
      <w:proofErr w:type="spellStart"/>
      <w:r w:rsidRPr="00416F5D">
        <w:rPr>
          <w:rFonts w:ascii="Palatino Linotype" w:hAnsi="Palatino Linotype" w:cs="Arial"/>
          <w:b/>
          <w:color w:val="E36C0A"/>
          <w:sz w:val="52"/>
          <w:szCs w:val="52"/>
        </w:rPr>
        <w:t>Lijst</w:t>
      </w:r>
      <w:proofErr w:type="spellEnd"/>
      <w:r w:rsidRPr="00416F5D">
        <w:rPr>
          <w:rFonts w:ascii="Palatino Linotype" w:hAnsi="Palatino Linotype" w:cs="Arial"/>
          <w:b/>
          <w:color w:val="E36C0A"/>
          <w:sz w:val="52"/>
          <w:szCs w:val="52"/>
        </w:rPr>
        <w:t xml:space="preserve"> </w:t>
      </w:r>
      <w:proofErr w:type="spellStart"/>
      <w:r w:rsidRPr="00416F5D">
        <w:rPr>
          <w:rFonts w:ascii="Palatino Linotype" w:hAnsi="Palatino Linotype" w:cs="Arial"/>
          <w:b/>
          <w:color w:val="E36C0A"/>
          <w:sz w:val="52"/>
          <w:szCs w:val="52"/>
        </w:rPr>
        <w:t>maximumprijzen</w:t>
      </w:r>
      <w:proofErr w:type="spellEnd"/>
      <w:r w:rsidRPr="00416F5D">
        <w:rPr>
          <w:rFonts w:ascii="Palatino Linotype" w:hAnsi="Palatino Linotype" w:cs="Arial"/>
          <w:b/>
          <w:color w:val="E36C0A"/>
          <w:sz w:val="52"/>
          <w:szCs w:val="52"/>
        </w:rPr>
        <w:t xml:space="preserve"> </w:t>
      </w:r>
      <w:proofErr w:type="spellStart"/>
      <w:r w:rsidRPr="00416F5D">
        <w:rPr>
          <w:rFonts w:ascii="Palatino Linotype" w:hAnsi="Palatino Linotype" w:cs="Arial"/>
          <w:b/>
          <w:color w:val="E36C0A"/>
          <w:sz w:val="52"/>
          <w:szCs w:val="52"/>
        </w:rPr>
        <w:t>geneesmiddelen</w:t>
      </w:r>
      <w:proofErr w:type="spellEnd"/>
      <w:r w:rsidRPr="00416F5D">
        <w:rPr>
          <w:rFonts w:ascii="Palatino Linotype" w:hAnsi="Palatino Linotype" w:cs="Arial"/>
          <w:b/>
          <w:color w:val="E36C0A"/>
          <w:sz w:val="52"/>
          <w:szCs w:val="52"/>
        </w:rPr>
        <w:t xml:space="preserve"> </w:t>
      </w:r>
      <w:proofErr w:type="spellStart"/>
      <w:proofErr w:type="gramStart"/>
      <w:r w:rsidRPr="00416F5D">
        <w:rPr>
          <w:rFonts w:ascii="Palatino Linotype" w:hAnsi="Palatino Linotype" w:cs="Arial"/>
          <w:b/>
          <w:color w:val="E36C0A"/>
          <w:sz w:val="52"/>
          <w:szCs w:val="52"/>
        </w:rPr>
        <w:t>december</w:t>
      </w:r>
      <w:proofErr w:type="spellEnd"/>
      <w:proofErr w:type="gramEnd"/>
      <w:r w:rsidRPr="00416F5D">
        <w:rPr>
          <w:rFonts w:ascii="Palatino Linotype" w:hAnsi="Palatino Linotype" w:cs="Arial"/>
          <w:b/>
          <w:color w:val="E36C0A"/>
          <w:sz w:val="52"/>
          <w:szCs w:val="52"/>
        </w:rPr>
        <w:t xml:space="preserve"> 2019</w:t>
      </w:r>
    </w:p>
    <w:p w:rsidR="00781FC2" w:rsidRPr="00416F5D" w:rsidRDefault="00781FC2" w:rsidP="00781FC2">
      <w:pPr>
        <w:jc w:val="center"/>
        <w:rPr>
          <w:rFonts w:ascii="Palatino Linotype" w:hAnsi="Palatino Linotype" w:cs="Arial"/>
          <w:b/>
          <w:color w:val="E36C0A"/>
          <w:sz w:val="52"/>
          <w:szCs w:val="52"/>
        </w:rPr>
      </w:pPr>
    </w:p>
    <w:tbl>
      <w:tblPr>
        <w:tblpPr w:leftFromText="141" w:rightFromText="141" w:vertAnchor="text" w:horzAnchor="page" w:tblpX="7335" w:tblpY="563"/>
        <w:tblW w:w="3897" w:type="dxa"/>
        <w:tblCellMar>
          <w:left w:w="70" w:type="dxa"/>
          <w:right w:w="70" w:type="dxa"/>
        </w:tblCellMar>
        <w:tblLook w:val="04A0" w:firstRow="1" w:lastRow="0" w:firstColumn="1" w:lastColumn="0" w:noHBand="0" w:noVBand="1"/>
      </w:tblPr>
      <w:tblGrid>
        <w:gridCol w:w="1986"/>
        <w:gridCol w:w="1911"/>
      </w:tblGrid>
      <w:tr w:rsidR="00781FC2" w:rsidRPr="00416F5D" w:rsidTr="00484E9A">
        <w:trPr>
          <w:trHeight w:val="315"/>
        </w:trPr>
        <w:tc>
          <w:tcPr>
            <w:tcW w:w="1986" w:type="dxa"/>
            <w:tcBorders>
              <w:top w:val="nil"/>
              <w:left w:val="nil"/>
              <w:bottom w:val="nil"/>
              <w:right w:val="nil"/>
            </w:tcBorders>
            <w:shd w:val="clear" w:color="000000" w:fill="FFFFFF"/>
            <w:noWrap/>
            <w:vAlign w:val="bottom"/>
            <w:hideMark/>
          </w:tcPr>
          <w:p w:rsidR="00781FC2" w:rsidRPr="00416F5D" w:rsidRDefault="00781FC2" w:rsidP="00484E9A">
            <w:pPr>
              <w:rPr>
                <w:rFonts w:ascii="Palatino Linotype" w:hAnsi="Palatino Linotype" w:cs="Arial"/>
                <w:b/>
                <w:bCs/>
                <w:color w:val="F79646"/>
                <w:szCs w:val="22"/>
              </w:rPr>
            </w:pPr>
          </w:p>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LEGENDA</w:t>
            </w:r>
          </w:p>
        </w:tc>
        <w:tc>
          <w:tcPr>
            <w:tcW w:w="1911" w:type="dxa"/>
            <w:tcBorders>
              <w:top w:val="nil"/>
              <w:left w:val="nil"/>
              <w:bottom w:val="nil"/>
              <w:right w:val="nil"/>
            </w:tcBorders>
            <w:shd w:val="clear" w:color="000000" w:fill="FFFFFF"/>
            <w:noWrap/>
            <w:vAlign w:val="bottom"/>
            <w:hideMark/>
          </w:tcPr>
          <w:p w:rsidR="00781FC2" w:rsidRPr="00416F5D" w:rsidRDefault="00781FC2" w:rsidP="00484E9A">
            <w:pPr>
              <w:rPr>
                <w:rFonts w:ascii="Palatino Linotype" w:hAnsi="Palatino Linotype" w:cs="Arial"/>
                <w:color w:val="000000"/>
                <w:szCs w:val="22"/>
              </w:rPr>
            </w:pPr>
            <w:r w:rsidRPr="00416F5D">
              <w:rPr>
                <w:rFonts w:ascii="Palatino Linotype" w:hAnsi="Palatino Linotype" w:cs="Arial"/>
                <w:color w:val="000000"/>
                <w:szCs w:val="22"/>
              </w:rPr>
              <w:t> </w:t>
            </w:r>
          </w:p>
        </w:tc>
      </w:tr>
      <w:tr w:rsidR="00781FC2" w:rsidRPr="00416F5D" w:rsidTr="00484E9A">
        <w:trPr>
          <w:trHeight w:val="570"/>
        </w:trPr>
        <w:tc>
          <w:tcPr>
            <w:tcW w:w="1986" w:type="dxa"/>
            <w:tcBorders>
              <w:top w:val="single" w:sz="8" w:space="0" w:color="auto"/>
              <w:left w:val="single" w:sz="8" w:space="0" w:color="auto"/>
              <w:bottom w:val="single" w:sz="4" w:space="0" w:color="auto"/>
              <w:right w:val="single" w:sz="4" w:space="0" w:color="auto"/>
            </w:tcBorders>
            <w:shd w:val="clear" w:color="000000" w:fill="E26B0A"/>
            <w:hideMark/>
          </w:tcPr>
          <w:p w:rsidR="00781FC2" w:rsidRPr="00416F5D" w:rsidRDefault="00781FC2" w:rsidP="00484E9A">
            <w:pPr>
              <w:rPr>
                <w:rFonts w:ascii="Palatino Linotype" w:hAnsi="Palatino Linotype" w:cs="Arial"/>
                <w:b/>
                <w:bCs/>
                <w:color w:val="FFFFFF"/>
                <w:szCs w:val="18"/>
              </w:rPr>
            </w:pPr>
            <w:r w:rsidRPr="00416F5D">
              <w:rPr>
                <w:rFonts w:ascii="Palatino Linotype" w:hAnsi="Palatino Linotype" w:cs="Arial"/>
                <w:b/>
                <w:bCs/>
                <w:color w:val="FFFFFF"/>
                <w:szCs w:val="18"/>
              </w:rPr>
              <w:t>VERPAKKINGS EENHEID</w:t>
            </w:r>
          </w:p>
        </w:tc>
        <w:tc>
          <w:tcPr>
            <w:tcW w:w="1911" w:type="dxa"/>
            <w:tcBorders>
              <w:top w:val="single" w:sz="8" w:space="0" w:color="auto"/>
              <w:left w:val="nil"/>
              <w:bottom w:val="single" w:sz="4" w:space="0" w:color="auto"/>
              <w:right w:val="single" w:sz="8" w:space="0" w:color="auto"/>
            </w:tcBorders>
            <w:shd w:val="clear" w:color="000000" w:fill="E26B0A"/>
            <w:hideMark/>
          </w:tcPr>
          <w:p w:rsidR="00781FC2" w:rsidRPr="00416F5D" w:rsidRDefault="00781FC2" w:rsidP="00484E9A">
            <w:pPr>
              <w:rPr>
                <w:rFonts w:ascii="Palatino Linotype" w:hAnsi="Palatino Linotype" w:cs="Arial"/>
                <w:b/>
                <w:bCs/>
                <w:color w:val="FFFFFF"/>
                <w:szCs w:val="22"/>
              </w:rPr>
            </w:pPr>
            <w:r w:rsidRPr="00416F5D">
              <w:rPr>
                <w:rFonts w:ascii="Palatino Linotype" w:hAnsi="Palatino Linotype" w:cs="Arial"/>
                <w:b/>
                <w:bCs/>
                <w:color w:val="FFFFFF"/>
                <w:szCs w:val="22"/>
              </w:rPr>
              <w:t>TOELICHTING</w:t>
            </w:r>
          </w:p>
        </w:tc>
      </w:tr>
      <w:tr w:rsidR="00781FC2" w:rsidRPr="00416F5D" w:rsidTr="00484E9A">
        <w:trPr>
          <w:trHeight w:val="300"/>
        </w:trPr>
        <w:tc>
          <w:tcPr>
            <w:tcW w:w="1986" w:type="dxa"/>
            <w:tcBorders>
              <w:top w:val="nil"/>
              <w:left w:val="single" w:sz="8" w:space="0" w:color="auto"/>
              <w:bottom w:val="single" w:sz="4" w:space="0" w:color="auto"/>
              <w:right w:val="single" w:sz="4" w:space="0" w:color="auto"/>
            </w:tcBorders>
            <w:shd w:val="clear" w:color="000000" w:fill="FFFFFF"/>
            <w:hideMark/>
          </w:tcPr>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DO</w:t>
            </w:r>
          </w:p>
        </w:tc>
        <w:tc>
          <w:tcPr>
            <w:tcW w:w="1911" w:type="dxa"/>
            <w:tcBorders>
              <w:top w:val="nil"/>
              <w:left w:val="nil"/>
              <w:bottom w:val="single" w:sz="4" w:space="0" w:color="auto"/>
              <w:right w:val="single" w:sz="8" w:space="0" w:color="auto"/>
            </w:tcBorders>
            <w:shd w:val="clear" w:color="000000" w:fill="FFFFFF"/>
            <w:hideMark/>
          </w:tcPr>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DOSES</w:t>
            </w:r>
          </w:p>
        </w:tc>
      </w:tr>
      <w:tr w:rsidR="00781FC2" w:rsidRPr="00416F5D" w:rsidTr="00484E9A">
        <w:trPr>
          <w:trHeight w:val="300"/>
        </w:trPr>
        <w:tc>
          <w:tcPr>
            <w:tcW w:w="1986" w:type="dxa"/>
            <w:tcBorders>
              <w:top w:val="nil"/>
              <w:left w:val="single" w:sz="8" w:space="0" w:color="auto"/>
              <w:bottom w:val="single" w:sz="4" w:space="0" w:color="auto"/>
              <w:right w:val="single" w:sz="4" w:space="0" w:color="auto"/>
            </w:tcBorders>
            <w:shd w:val="clear" w:color="000000" w:fill="FFFFFF"/>
            <w:hideMark/>
          </w:tcPr>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G</w:t>
            </w:r>
          </w:p>
        </w:tc>
        <w:tc>
          <w:tcPr>
            <w:tcW w:w="1911" w:type="dxa"/>
            <w:tcBorders>
              <w:top w:val="nil"/>
              <w:left w:val="nil"/>
              <w:bottom w:val="single" w:sz="4" w:space="0" w:color="auto"/>
              <w:right w:val="single" w:sz="8" w:space="0" w:color="auto"/>
            </w:tcBorders>
            <w:shd w:val="clear" w:color="000000" w:fill="FFFFFF"/>
            <w:hideMark/>
          </w:tcPr>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GRAM</w:t>
            </w:r>
          </w:p>
        </w:tc>
      </w:tr>
      <w:tr w:rsidR="00781FC2" w:rsidRPr="00416F5D" w:rsidTr="00484E9A">
        <w:trPr>
          <w:trHeight w:val="300"/>
        </w:trPr>
        <w:tc>
          <w:tcPr>
            <w:tcW w:w="1986" w:type="dxa"/>
            <w:tcBorders>
              <w:top w:val="nil"/>
              <w:left w:val="single" w:sz="8" w:space="0" w:color="auto"/>
              <w:bottom w:val="single" w:sz="4" w:space="0" w:color="auto"/>
              <w:right w:val="single" w:sz="4" w:space="0" w:color="auto"/>
            </w:tcBorders>
            <w:shd w:val="clear" w:color="000000" w:fill="FFFFFF"/>
            <w:hideMark/>
          </w:tcPr>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MG</w:t>
            </w:r>
          </w:p>
        </w:tc>
        <w:tc>
          <w:tcPr>
            <w:tcW w:w="1911" w:type="dxa"/>
            <w:tcBorders>
              <w:top w:val="nil"/>
              <w:left w:val="nil"/>
              <w:bottom w:val="single" w:sz="4" w:space="0" w:color="auto"/>
              <w:right w:val="single" w:sz="8" w:space="0" w:color="auto"/>
            </w:tcBorders>
            <w:shd w:val="clear" w:color="000000" w:fill="FFFFFF"/>
            <w:hideMark/>
          </w:tcPr>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MILLIGRAM</w:t>
            </w:r>
          </w:p>
        </w:tc>
      </w:tr>
      <w:tr w:rsidR="00781FC2" w:rsidRPr="00416F5D" w:rsidTr="00484E9A">
        <w:trPr>
          <w:trHeight w:val="300"/>
        </w:trPr>
        <w:tc>
          <w:tcPr>
            <w:tcW w:w="1986" w:type="dxa"/>
            <w:tcBorders>
              <w:top w:val="nil"/>
              <w:left w:val="single" w:sz="8" w:space="0" w:color="auto"/>
              <w:bottom w:val="single" w:sz="4" w:space="0" w:color="auto"/>
              <w:right w:val="single" w:sz="4" w:space="0" w:color="auto"/>
            </w:tcBorders>
            <w:shd w:val="clear" w:color="000000" w:fill="FFFFFF"/>
            <w:hideMark/>
          </w:tcPr>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ML</w:t>
            </w:r>
          </w:p>
        </w:tc>
        <w:tc>
          <w:tcPr>
            <w:tcW w:w="1911" w:type="dxa"/>
            <w:tcBorders>
              <w:top w:val="nil"/>
              <w:left w:val="nil"/>
              <w:bottom w:val="single" w:sz="4" w:space="0" w:color="auto"/>
              <w:right w:val="single" w:sz="8" w:space="0" w:color="auto"/>
            </w:tcBorders>
            <w:shd w:val="clear" w:color="000000" w:fill="FFFFFF"/>
            <w:hideMark/>
          </w:tcPr>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MILLILITER</w:t>
            </w:r>
          </w:p>
        </w:tc>
      </w:tr>
      <w:tr w:rsidR="00781FC2" w:rsidRPr="00416F5D" w:rsidTr="00484E9A">
        <w:trPr>
          <w:trHeight w:val="315"/>
        </w:trPr>
        <w:tc>
          <w:tcPr>
            <w:tcW w:w="1986" w:type="dxa"/>
            <w:tcBorders>
              <w:top w:val="nil"/>
              <w:left w:val="single" w:sz="8" w:space="0" w:color="auto"/>
              <w:bottom w:val="single" w:sz="8" w:space="0" w:color="auto"/>
              <w:right w:val="single" w:sz="4" w:space="0" w:color="auto"/>
            </w:tcBorders>
            <w:shd w:val="clear" w:color="000000" w:fill="FFFFFF"/>
            <w:hideMark/>
          </w:tcPr>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ST</w:t>
            </w:r>
          </w:p>
        </w:tc>
        <w:tc>
          <w:tcPr>
            <w:tcW w:w="1911" w:type="dxa"/>
            <w:tcBorders>
              <w:top w:val="nil"/>
              <w:left w:val="nil"/>
              <w:bottom w:val="single" w:sz="8" w:space="0" w:color="auto"/>
              <w:right w:val="single" w:sz="8" w:space="0" w:color="auto"/>
            </w:tcBorders>
            <w:shd w:val="clear" w:color="000000" w:fill="FFFFFF"/>
            <w:hideMark/>
          </w:tcPr>
          <w:p w:rsidR="00781FC2" w:rsidRPr="00416F5D" w:rsidRDefault="00781FC2" w:rsidP="00484E9A">
            <w:pPr>
              <w:rPr>
                <w:rFonts w:ascii="Palatino Linotype" w:hAnsi="Palatino Linotype" w:cs="Arial"/>
                <w:b/>
                <w:bCs/>
                <w:color w:val="F79646"/>
                <w:szCs w:val="22"/>
              </w:rPr>
            </w:pPr>
            <w:r w:rsidRPr="00416F5D">
              <w:rPr>
                <w:rFonts w:ascii="Palatino Linotype" w:hAnsi="Palatino Linotype" w:cs="Arial"/>
                <w:b/>
                <w:bCs/>
                <w:color w:val="F79646"/>
                <w:szCs w:val="22"/>
              </w:rPr>
              <w:t>STUK, SACHETS</w:t>
            </w:r>
          </w:p>
        </w:tc>
      </w:tr>
    </w:tbl>
    <w:p w:rsidR="00781FC2" w:rsidRPr="00416F5D" w:rsidRDefault="00781FC2" w:rsidP="00781FC2">
      <w:pPr>
        <w:jc w:val="center"/>
        <w:rPr>
          <w:rFonts w:ascii="Palatino Linotype" w:hAnsi="Palatino Linotype" w:cs="Arial"/>
          <w:b/>
          <w:color w:val="E36C0A"/>
          <w:sz w:val="52"/>
          <w:szCs w:val="52"/>
        </w:rPr>
      </w:pPr>
    </w:p>
    <w:p w:rsidR="00781FC2" w:rsidRPr="00416F5D" w:rsidRDefault="00781FC2" w:rsidP="00781FC2">
      <w:pPr>
        <w:jc w:val="center"/>
        <w:rPr>
          <w:rFonts w:ascii="Palatino Linotype" w:hAnsi="Palatino Linotype" w:cs="Arial"/>
          <w:b/>
          <w:color w:val="E36C0A"/>
          <w:sz w:val="52"/>
          <w:szCs w:val="52"/>
        </w:rPr>
      </w:pPr>
    </w:p>
    <w:p w:rsidR="00781FC2" w:rsidRPr="00416F5D" w:rsidRDefault="00781FC2" w:rsidP="00781FC2">
      <w:pPr>
        <w:jc w:val="center"/>
        <w:rPr>
          <w:rFonts w:ascii="Palatino Linotype" w:hAnsi="Palatino Linotype" w:cs="Arial"/>
          <w:b/>
          <w:color w:val="E36C0A"/>
          <w:sz w:val="52"/>
          <w:szCs w:val="52"/>
        </w:rPr>
      </w:pPr>
    </w:p>
    <w:p w:rsidR="00781FC2" w:rsidRPr="00416F5D" w:rsidRDefault="00781FC2" w:rsidP="00781FC2">
      <w:pPr>
        <w:jc w:val="center"/>
        <w:rPr>
          <w:rFonts w:ascii="Palatino Linotype" w:hAnsi="Palatino Linotype" w:cs="Arial"/>
          <w:b/>
          <w:color w:val="E36C0A"/>
          <w:sz w:val="52"/>
          <w:szCs w:val="52"/>
        </w:rPr>
      </w:pPr>
    </w:p>
    <w:p w:rsidR="00781FC2" w:rsidRDefault="00781FC2">
      <w:pPr>
        <w:widowControl/>
        <w:rPr>
          <w:rFonts w:ascii="Palatino Linotype" w:hAnsi="Palatino Linotype"/>
          <w:bCs/>
          <w:spacing w:val="-3"/>
          <w:sz w:val="22"/>
          <w:szCs w:val="22"/>
          <w:lang w:val="nl-NL"/>
        </w:rPr>
      </w:pPr>
    </w:p>
    <w:sectPr w:rsidR="00781FC2">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6E9" w:rsidRDefault="001836E9">
      <w:pPr>
        <w:spacing w:line="20" w:lineRule="exact"/>
      </w:pPr>
    </w:p>
  </w:endnote>
  <w:endnote w:type="continuationSeparator" w:id="0">
    <w:p w:rsidR="001836E9" w:rsidRDefault="001836E9">
      <w:r>
        <w:t xml:space="preserve"> </w:t>
      </w:r>
    </w:p>
  </w:endnote>
  <w:endnote w:type="continuationNotice" w:id="1">
    <w:p w:rsidR="001836E9" w:rsidRDefault="001836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6E9" w:rsidRDefault="001836E9">
      <w:r>
        <w:separator/>
      </w:r>
    </w:p>
  </w:footnote>
  <w:footnote w:type="continuationSeparator" w:id="0">
    <w:p w:rsidR="001836E9" w:rsidRDefault="001836E9">
      <w:r>
        <w:continuationSeparator/>
      </w:r>
    </w:p>
  </w:footnote>
  <w:footnote w:id="1">
    <w:p w:rsidR="001836E9" w:rsidRPr="00610609" w:rsidRDefault="001836E9" w:rsidP="001836E9">
      <w:pPr>
        <w:pStyle w:val="FootnoteText"/>
        <w:rPr>
          <w:rFonts w:ascii="Palatino Linotype" w:hAnsi="Palatino Linotype"/>
          <w:sz w:val="18"/>
        </w:rPr>
      </w:pPr>
      <w:r w:rsidRPr="00610609">
        <w:rPr>
          <w:rStyle w:val="FootnoteReference"/>
          <w:rFonts w:ascii="Palatino Linotype" w:hAnsi="Palatino Linotype"/>
          <w:sz w:val="18"/>
        </w:rPr>
        <w:footnoteRef/>
      </w:r>
      <w:r w:rsidRPr="00610609">
        <w:rPr>
          <w:rFonts w:ascii="Palatino Linotype" w:hAnsi="Palatino Linotype"/>
          <w:sz w:val="18"/>
        </w:rPr>
        <w:t xml:space="preserve"> P.B. 2019, no. 27, </w:t>
      </w:r>
      <w:proofErr w:type="spellStart"/>
      <w:r w:rsidRPr="00610609">
        <w:rPr>
          <w:rFonts w:ascii="Palatino Linotype" w:hAnsi="Palatino Linotype"/>
          <w:sz w:val="18"/>
        </w:rPr>
        <w:t>zoals</w:t>
      </w:r>
      <w:proofErr w:type="spellEnd"/>
      <w:r w:rsidRPr="00610609">
        <w:rPr>
          <w:rFonts w:ascii="Palatino Linotype" w:hAnsi="Palatino Linotype"/>
          <w:sz w:val="18"/>
        </w:rPr>
        <w:t xml:space="preserve"> </w:t>
      </w:r>
      <w:proofErr w:type="spellStart"/>
      <w:r w:rsidRPr="00610609">
        <w:rPr>
          <w:rFonts w:ascii="Palatino Linotype" w:hAnsi="Palatino Linotype"/>
          <w:sz w:val="18"/>
        </w:rPr>
        <w:t>gewijzigd</w:t>
      </w:r>
      <w:proofErr w:type="spellEnd"/>
      <w:r w:rsidRPr="00610609">
        <w:rPr>
          <w:rFonts w:ascii="Palatino Linotype" w:hAnsi="Palatino Linotype"/>
          <w:sz w:val="18"/>
        </w:rPr>
        <w:t>.</w:t>
      </w:r>
    </w:p>
  </w:footnote>
  <w:footnote w:id="2">
    <w:p w:rsidR="001836E9" w:rsidRPr="00610609" w:rsidRDefault="001836E9" w:rsidP="001836E9">
      <w:pPr>
        <w:pStyle w:val="FootnoteText"/>
        <w:rPr>
          <w:rFonts w:ascii="Palatino Linotype" w:hAnsi="Palatino Linotype"/>
          <w:sz w:val="18"/>
        </w:rPr>
      </w:pPr>
      <w:r w:rsidRPr="00610609">
        <w:rPr>
          <w:rStyle w:val="FootnoteReference"/>
          <w:rFonts w:ascii="Palatino Linotype" w:hAnsi="Palatino Linotype"/>
          <w:sz w:val="18"/>
        </w:rPr>
        <w:footnoteRef/>
      </w:r>
      <w:r w:rsidRPr="00610609">
        <w:rPr>
          <w:rFonts w:ascii="Palatino Linotype" w:hAnsi="Palatino Linotype"/>
          <w:sz w:val="18"/>
        </w:rPr>
        <w:t xml:space="preserve"> P.B. 1961, no. 117.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045D2">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045D2">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1836E9">
      <w:rPr>
        <w:rFonts w:ascii="Times New Roman" w:hAnsi="Times New Roman"/>
        <w:b/>
        <w:spacing w:val="-4"/>
        <w:sz w:val="36"/>
      </w:rPr>
      <w:t>77</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045D2">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045D2">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1836E9">
      <w:rPr>
        <w:rFonts w:ascii="Times New Roman" w:hAnsi="Times New Roman"/>
        <w:b/>
        <w:spacing w:val="-4"/>
        <w:sz w:val="36"/>
      </w:rPr>
      <w:t>77</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E9"/>
    <w:rsid w:val="0001282E"/>
    <w:rsid w:val="00023DB3"/>
    <w:rsid w:val="000254C1"/>
    <w:rsid w:val="00064039"/>
    <w:rsid w:val="000829F9"/>
    <w:rsid w:val="000A0DBD"/>
    <w:rsid w:val="001045D2"/>
    <w:rsid w:val="0014186C"/>
    <w:rsid w:val="00173FBA"/>
    <w:rsid w:val="001836E9"/>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6147F1"/>
    <w:rsid w:val="006169E6"/>
    <w:rsid w:val="006725E6"/>
    <w:rsid w:val="006C19FE"/>
    <w:rsid w:val="00781AD6"/>
    <w:rsid w:val="00781FC2"/>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D202E3C1-4993-43D9-8CC7-98CC154C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www.tarievencuracao.cw" TargetMode="Externa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5</TotalTime>
  <Pages>7</Pages>
  <Words>1049</Words>
  <Characters>6371</Characters>
  <Application>Microsoft Office Word</Application>
  <DocSecurity>0</DocSecurity>
  <Lines>205</Lines>
  <Paragraphs>81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2019-11-29T23:30:00Z</dcterms:created>
  <dcterms:modified xsi:type="dcterms:W3CDTF">2019-11-29T23:34:00Z</dcterms:modified>
</cp:coreProperties>
</file>