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F1C45">
        <w:rPr>
          <w:b/>
          <w:sz w:val="36"/>
          <w:szCs w:val="36"/>
          <w:lang w:val="nl-NL"/>
        </w:rPr>
        <w:t>6</w:t>
      </w:r>
      <w:r w:rsidR="003D25AC" w:rsidRPr="00022D76">
        <w:rPr>
          <w:sz w:val="36"/>
          <w:szCs w:val="36"/>
          <w:lang w:val="nl-NL"/>
        </w:rPr>
        <w:tab/>
      </w:r>
      <w:r w:rsidR="003D25AC" w:rsidRPr="00022D76">
        <w:rPr>
          <w:b/>
          <w:sz w:val="36"/>
          <w:szCs w:val="36"/>
          <w:lang w:val="nl-NL"/>
        </w:rPr>
        <w:t xml:space="preserve">N° </w:t>
      </w:r>
      <w:r w:rsidR="005F1C45">
        <w:rPr>
          <w:b/>
          <w:sz w:val="36"/>
          <w:szCs w:val="36"/>
          <w:lang w:val="nl-NL"/>
        </w:rPr>
        <w:t>45</w:t>
      </w:r>
      <w:r w:rsidR="00895B94" w:rsidRPr="005F1C45">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C0B2F" w:rsidRPr="003C0B2F" w:rsidRDefault="003C0B2F" w:rsidP="003C0B2F">
      <w:pPr>
        <w:widowControl/>
        <w:jc w:val="both"/>
        <w:rPr>
          <w:rFonts w:ascii="Palatino Linotype" w:hAnsi="Palatino Linotype"/>
          <w:b/>
          <w:snapToGrid/>
          <w:sz w:val="22"/>
          <w:szCs w:val="22"/>
          <w:lang w:val="nl-NL"/>
        </w:rPr>
      </w:pPr>
      <w:r w:rsidRPr="003C0B2F">
        <w:rPr>
          <w:rFonts w:ascii="Palatino Linotype" w:hAnsi="Palatino Linotype"/>
          <w:b/>
          <w:snapToGrid/>
          <w:sz w:val="22"/>
          <w:szCs w:val="22"/>
          <w:lang w:val="nl-NL"/>
        </w:rPr>
        <w:t>LANDSBESLUIT</w:t>
      </w:r>
      <w:r w:rsidRPr="003C0B2F">
        <w:rPr>
          <w:rFonts w:ascii="Palatino Linotype" w:hAnsi="Palatino Linotype"/>
          <w:b/>
          <w:snapToGrid/>
          <w:spacing w:val="46"/>
          <w:sz w:val="22"/>
          <w:szCs w:val="22"/>
          <w:lang w:val="nl-NL"/>
        </w:rPr>
        <w:t xml:space="preserve"> </w:t>
      </w:r>
      <w:r w:rsidRPr="003C0B2F">
        <w:rPr>
          <w:rFonts w:ascii="Palatino Linotype" w:hAnsi="Palatino Linotype"/>
          <w:b/>
          <w:snapToGrid/>
          <w:sz w:val="22"/>
          <w:szCs w:val="22"/>
          <w:lang w:val="nl-NL"/>
        </w:rPr>
        <w:t>van de 10</w:t>
      </w:r>
      <w:r w:rsidRPr="003C0B2F">
        <w:rPr>
          <w:rFonts w:ascii="Palatino Linotype" w:hAnsi="Palatino Linotype"/>
          <w:b/>
          <w:snapToGrid/>
          <w:sz w:val="22"/>
          <w:szCs w:val="22"/>
          <w:vertAlign w:val="superscript"/>
          <w:lang w:val="nl-NL"/>
        </w:rPr>
        <w:t>de</w:t>
      </w:r>
      <w:r w:rsidRPr="003C0B2F">
        <w:rPr>
          <w:rFonts w:ascii="Palatino Linotype" w:hAnsi="Palatino Linotype"/>
          <w:b/>
          <w:snapToGrid/>
          <w:sz w:val="22"/>
          <w:szCs w:val="22"/>
          <w:lang w:val="nl-NL"/>
        </w:rPr>
        <w:t xml:space="preserve"> november 2025, no. 25/2732, houdende vaststelling van de geconsolideerde tekst van het Landsbesluit Douane Nederlandse Antillen</w:t>
      </w:r>
      <w:r w:rsidRPr="003C0B2F">
        <w:rPr>
          <w:rFonts w:ascii="Palatino Linotype" w:hAnsi="Palatino Linotype"/>
          <w:b/>
          <w:snapToGrid/>
          <w:sz w:val="22"/>
          <w:szCs w:val="22"/>
          <w:vertAlign w:val="superscript"/>
          <w:lang w:val="nl-NL"/>
        </w:rPr>
        <w:footnoteReference w:id="1"/>
      </w:r>
    </w:p>
    <w:p w:rsidR="003C0B2F" w:rsidRPr="003C0B2F" w:rsidRDefault="003C0B2F" w:rsidP="003C0B2F">
      <w:pPr>
        <w:widowControl/>
        <w:rPr>
          <w:rFonts w:ascii="Palatino Linotype" w:hAnsi="Palatino Linotype"/>
          <w:snapToGrid/>
          <w:sz w:val="22"/>
          <w:szCs w:val="22"/>
          <w:lang w:val="nl-NL"/>
        </w:rPr>
      </w:pPr>
    </w:p>
    <w:p w:rsidR="003C0B2F" w:rsidRPr="003C0B2F" w:rsidRDefault="003C0B2F" w:rsidP="003C0B2F">
      <w:pPr>
        <w:widowControl/>
        <w:jc w:val="center"/>
        <w:rPr>
          <w:rFonts w:ascii="Palatino Linotype" w:hAnsi="Palatino Linotype"/>
          <w:b/>
          <w:snapToGrid/>
          <w:sz w:val="22"/>
          <w:szCs w:val="22"/>
          <w:lang w:val="nl-NL"/>
        </w:rPr>
      </w:pPr>
      <w:r w:rsidRPr="003C0B2F">
        <w:rPr>
          <w:rFonts w:ascii="Palatino Linotype" w:hAnsi="Palatino Linotype"/>
          <w:b/>
          <w:snapToGrid/>
          <w:sz w:val="22"/>
          <w:szCs w:val="22"/>
          <w:lang w:val="nl-NL"/>
        </w:rPr>
        <w:t>____________</w:t>
      </w:r>
    </w:p>
    <w:p w:rsidR="003C0B2F" w:rsidRPr="003C0B2F" w:rsidRDefault="003C0B2F" w:rsidP="003C0B2F">
      <w:pPr>
        <w:widowControl/>
        <w:jc w:val="center"/>
        <w:rPr>
          <w:rFonts w:ascii="Palatino Linotype" w:hAnsi="Palatino Linotype"/>
          <w:snapToGrid/>
          <w:sz w:val="22"/>
          <w:szCs w:val="22"/>
          <w:lang w:val="nl-NL"/>
        </w:rPr>
      </w:pPr>
    </w:p>
    <w:p w:rsidR="003C0B2F" w:rsidRPr="003C0B2F" w:rsidRDefault="003C0B2F" w:rsidP="003C0B2F">
      <w:pPr>
        <w:widowControl/>
        <w:jc w:val="center"/>
        <w:rPr>
          <w:rFonts w:ascii="Palatino Linotype" w:hAnsi="Palatino Linotype"/>
          <w:snapToGrid/>
          <w:sz w:val="22"/>
          <w:szCs w:val="22"/>
          <w:lang w:val="nl-NL"/>
        </w:rPr>
      </w:pPr>
      <w:r w:rsidRPr="003C0B2F">
        <w:rPr>
          <w:rFonts w:ascii="Palatino Linotype" w:hAnsi="Palatino Linotype"/>
          <w:snapToGrid/>
          <w:sz w:val="22"/>
          <w:szCs w:val="22"/>
          <w:lang w:val="nl-NL"/>
        </w:rPr>
        <w:t>De Gouverneur van Curaçao,</w:t>
      </w:r>
    </w:p>
    <w:p w:rsidR="003C0B2F" w:rsidRPr="003C0B2F" w:rsidRDefault="003C0B2F" w:rsidP="003C0B2F">
      <w:pPr>
        <w:widowControl/>
        <w:rPr>
          <w:rFonts w:ascii="Palatino Linotype" w:hAnsi="Palatino Linotype"/>
          <w:snapToGrid/>
          <w:sz w:val="22"/>
          <w:szCs w:val="22"/>
          <w:lang w:val="nl-NL"/>
        </w:rPr>
      </w:pPr>
    </w:p>
    <w:p w:rsidR="003C0B2F" w:rsidRPr="003C0B2F" w:rsidRDefault="003C0B2F" w:rsidP="003C0B2F">
      <w:pPr>
        <w:widowControl/>
        <w:ind w:firstLine="3"/>
        <w:jc w:val="both"/>
        <w:rPr>
          <w:rFonts w:ascii="Palatino Linotype" w:hAnsi="Palatino Linotype"/>
          <w:snapToGrid/>
          <w:spacing w:val="-3"/>
          <w:sz w:val="22"/>
          <w:szCs w:val="22"/>
          <w:lang w:val="nl-NL"/>
        </w:rPr>
      </w:pPr>
    </w:p>
    <w:p w:rsidR="003C0B2F" w:rsidRPr="003C0B2F" w:rsidRDefault="003C0B2F" w:rsidP="003C0B2F">
      <w:pPr>
        <w:widowControl/>
        <w:ind w:firstLine="3"/>
        <w:jc w:val="both"/>
        <w:rPr>
          <w:rFonts w:ascii="Palatino Linotype" w:hAnsi="Palatino Linotype"/>
          <w:snapToGrid/>
          <w:spacing w:val="-3"/>
          <w:sz w:val="22"/>
          <w:szCs w:val="22"/>
          <w:lang w:val="nl-NL"/>
        </w:rPr>
      </w:pPr>
      <w:r w:rsidRPr="003C0B2F">
        <w:rPr>
          <w:rFonts w:ascii="Palatino Linotype" w:hAnsi="Palatino Linotype"/>
          <w:snapToGrid/>
          <w:spacing w:val="-3"/>
          <w:sz w:val="22"/>
          <w:szCs w:val="22"/>
          <w:lang w:val="nl-NL"/>
        </w:rPr>
        <w:t>Op voordracht van de Minister van Justitie;</w:t>
      </w:r>
    </w:p>
    <w:p w:rsidR="003C0B2F" w:rsidRPr="003C0B2F" w:rsidRDefault="003C0B2F" w:rsidP="00895B94">
      <w:pPr>
        <w:widowControl/>
        <w:spacing w:line="200" w:lineRule="exact"/>
        <w:jc w:val="both"/>
        <w:rPr>
          <w:rFonts w:ascii="Palatino Linotype" w:hAnsi="Palatino Linotype"/>
          <w:snapToGrid/>
          <w:spacing w:val="-3"/>
          <w:sz w:val="22"/>
          <w:szCs w:val="22"/>
          <w:lang w:val="nl-NL"/>
        </w:rPr>
      </w:pPr>
    </w:p>
    <w:p w:rsidR="003C0B2F" w:rsidRPr="003C0B2F" w:rsidRDefault="003C0B2F" w:rsidP="003C0B2F">
      <w:pPr>
        <w:widowControl/>
        <w:jc w:val="both"/>
        <w:rPr>
          <w:rFonts w:ascii="Palatino Linotype" w:hAnsi="Palatino Linotype"/>
          <w:snapToGrid/>
          <w:spacing w:val="-3"/>
          <w:sz w:val="22"/>
          <w:szCs w:val="22"/>
          <w:lang w:val="nl-NL"/>
        </w:rPr>
      </w:pPr>
      <w:r w:rsidRPr="003C0B2F">
        <w:rPr>
          <w:rFonts w:ascii="Palatino Linotype" w:hAnsi="Palatino Linotype"/>
          <w:snapToGrid/>
          <w:spacing w:val="-3"/>
          <w:sz w:val="22"/>
          <w:szCs w:val="22"/>
          <w:lang w:val="nl-NL"/>
        </w:rPr>
        <w:t>Gelet op:</w:t>
      </w:r>
    </w:p>
    <w:p w:rsidR="003C0B2F" w:rsidRPr="003C0B2F" w:rsidRDefault="003C0B2F" w:rsidP="00895B94">
      <w:pPr>
        <w:widowControl/>
        <w:spacing w:line="200" w:lineRule="exact"/>
        <w:jc w:val="both"/>
        <w:rPr>
          <w:rFonts w:ascii="Palatino Linotype" w:hAnsi="Palatino Linotype"/>
          <w:snapToGrid/>
          <w:spacing w:val="-3"/>
          <w:sz w:val="22"/>
          <w:szCs w:val="22"/>
          <w:lang w:val="nl-NL"/>
        </w:rPr>
      </w:pPr>
    </w:p>
    <w:p w:rsidR="003C0B2F" w:rsidRPr="003C0B2F" w:rsidRDefault="003C0B2F" w:rsidP="003C0B2F">
      <w:pPr>
        <w:widowControl/>
        <w:ind w:firstLine="3"/>
        <w:jc w:val="both"/>
        <w:rPr>
          <w:rFonts w:ascii="Palatino Linotype" w:hAnsi="Palatino Linotype"/>
          <w:snapToGrid/>
          <w:spacing w:val="-3"/>
          <w:sz w:val="22"/>
          <w:szCs w:val="22"/>
          <w:lang w:val="nl-NL"/>
        </w:rPr>
      </w:pPr>
      <w:r w:rsidRPr="003C0B2F">
        <w:rPr>
          <w:rFonts w:ascii="Palatino Linotype" w:hAnsi="Palatino Linotype"/>
          <w:snapToGrid/>
          <w:spacing w:val="-3"/>
          <w:sz w:val="22"/>
          <w:szCs w:val="22"/>
          <w:lang w:val="nl-NL"/>
        </w:rPr>
        <w:t>de Algemene overgangsregeling wetgeving en bestuur Land Curaçao</w:t>
      </w:r>
      <w:r w:rsidRPr="003C0B2F">
        <w:rPr>
          <w:rFonts w:ascii="Palatino Linotype" w:hAnsi="Palatino Linotype"/>
          <w:snapToGrid/>
          <w:spacing w:val="-3"/>
          <w:sz w:val="22"/>
          <w:szCs w:val="22"/>
          <w:vertAlign w:val="superscript"/>
          <w:lang w:val="nl-NL"/>
        </w:rPr>
        <w:footnoteReference w:id="2"/>
      </w:r>
      <w:r w:rsidRPr="003C0B2F">
        <w:rPr>
          <w:rFonts w:ascii="Palatino Linotype" w:hAnsi="Palatino Linotype"/>
          <w:snapToGrid/>
          <w:spacing w:val="-3"/>
          <w:sz w:val="22"/>
          <w:szCs w:val="22"/>
          <w:lang w:val="nl-NL"/>
        </w:rPr>
        <w:t>;</w:t>
      </w:r>
    </w:p>
    <w:p w:rsidR="003C0B2F" w:rsidRPr="003C0B2F" w:rsidRDefault="003C0B2F" w:rsidP="00895B94">
      <w:pPr>
        <w:widowControl/>
        <w:spacing w:line="200" w:lineRule="exact"/>
        <w:jc w:val="center"/>
        <w:rPr>
          <w:rFonts w:ascii="Palatino Linotype" w:hAnsi="Palatino Linotype"/>
          <w:snapToGrid/>
          <w:spacing w:val="-3"/>
          <w:sz w:val="22"/>
          <w:szCs w:val="22"/>
          <w:lang w:val="nl-NL"/>
        </w:rPr>
      </w:pPr>
    </w:p>
    <w:p w:rsidR="003C0B2F" w:rsidRPr="003C0B2F" w:rsidRDefault="003C0B2F" w:rsidP="003C0B2F">
      <w:pPr>
        <w:widowControl/>
        <w:ind w:right="-46" w:firstLine="3"/>
        <w:jc w:val="both"/>
        <w:rPr>
          <w:rFonts w:ascii="Palatino Linotype" w:hAnsi="Palatino Linotype"/>
          <w:snapToGrid/>
          <w:spacing w:val="-3"/>
          <w:sz w:val="22"/>
          <w:szCs w:val="22"/>
          <w:lang w:val="nl-NL"/>
        </w:rPr>
      </w:pPr>
    </w:p>
    <w:p w:rsidR="003C0B2F" w:rsidRPr="003C0B2F" w:rsidRDefault="003C0B2F" w:rsidP="003C0B2F">
      <w:pPr>
        <w:widowControl/>
        <w:ind w:right="-46" w:firstLine="3"/>
        <w:jc w:val="center"/>
        <w:rPr>
          <w:rFonts w:ascii="Palatino Linotype" w:hAnsi="Palatino Linotype"/>
          <w:snapToGrid/>
          <w:spacing w:val="-3"/>
          <w:sz w:val="22"/>
          <w:szCs w:val="22"/>
          <w:lang w:val="nl-NL"/>
        </w:rPr>
      </w:pPr>
      <w:r w:rsidRPr="003C0B2F">
        <w:rPr>
          <w:rFonts w:ascii="Palatino Linotype" w:hAnsi="Palatino Linotype"/>
          <w:snapToGrid/>
          <w:spacing w:val="-3"/>
          <w:sz w:val="22"/>
          <w:szCs w:val="22"/>
          <w:lang w:val="nl-NL"/>
        </w:rPr>
        <w:t>Heeft goedgevonden:</w:t>
      </w:r>
    </w:p>
    <w:p w:rsidR="003C0B2F" w:rsidRPr="003C0B2F" w:rsidRDefault="003C0B2F" w:rsidP="003C0B2F">
      <w:pPr>
        <w:rPr>
          <w:rFonts w:ascii="Palatino Linotype" w:hAnsi="Palatino Linotype"/>
          <w:sz w:val="22"/>
          <w:szCs w:val="22"/>
          <w:lang w:val="nl-NL"/>
        </w:rPr>
      </w:pPr>
    </w:p>
    <w:p w:rsidR="003C0B2F" w:rsidRPr="003C0B2F" w:rsidRDefault="003C0B2F" w:rsidP="00895B94">
      <w:pPr>
        <w:spacing w:line="200" w:lineRule="exact"/>
        <w:jc w:val="both"/>
        <w:rPr>
          <w:rFonts w:ascii="Palatino Linotype" w:hAnsi="Palatino Linotype"/>
          <w:sz w:val="22"/>
          <w:szCs w:val="22"/>
          <w:lang w:val="nl-NL"/>
        </w:rPr>
      </w:pPr>
    </w:p>
    <w:p w:rsidR="003C0B2F" w:rsidRPr="003C0B2F" w:rsidRDefault="003C0B2F" w:rsidP="003C0B2F">
      <w:pPr>
        <w:jc w:val="center"/>
        <w:rPr>
          <w:rFonts w:ascii="Palatino Linotype" w:hAnsi="Palatino Linotype"/>
          <w:sz w:val="22"/>
          <w:szCs w:val="22"/>
          <w:lang w:val="nl-NL"/>
        </w:rPr>
      </w:pPr>
      <w:r w:rsidRPr="003C0B2F">
        <w:rPr>
          <w:rFonts w:ascii="Palatino Linotype" w:hAnsi="Palatino Linotype"/>
          <w:sz w:val="22"/>
          <w:szCs w:val="22"/>
          <w:lang w:val="nl-NL"/>
        </w:rPr>
        <w:t>Artikel 1</w:t>
      </w:r>
    </w:p>
    <w:p w:rsidR="003C0B2F" w:rsidRPr="003C0B2F" w:rsidRDefault="003C0B2F" w:rsidP="003C0B2F">
      <w:pPr>
        <w:jc w:val="center"/>
        <w:rPr>
          <w:rFonts w:ascii="Palatino Linotype" w:hAnsi="Palatino Linotype"/>
          <w:sz w:val="22"/>
          <w:szCs w:val="22"/>
          <w:lang w:val="nl-NL"/>
        </w:rPr>
      </w:pPr>
    </w:p>
    <w:p w:rsidR="003C0B2F" w:rsidRPr="003C0B2F" w:rsidRDefault="003C0B2F" w:rsidP="003C0B2F">
      <w:pPr>
        <w:jc w:val="both"/>
        <w:rPr>
          <w:rFonts w:ascii="Palatino Linotype" w:hAnsi="Palatino Linotype"/>
          <w:sz w:val="22"/>
          <w:szCs w:val="22"/>
          <w:lang w:val="nl-NL"/>
        </w:rPr>
      </w:pPr>
      <w:r w:rsidRPr="003C0B2F">
        <w:rPr>
          <w:rFonts w:ascii="Palatino Linotype" w:hAnsi="Palatino Linotype"/>
          <w:sz w:val="22"/>
          <w:szCs w:val="22"/>
          <w:lang w:val="nl-NL"/>
        </w:rPr>
        <w:t>De geconsolideerde tekst van het Landsbesluit Douane Nederlandse Antillen opgenomen in de bijlage bij dit landsbesluit wordt vastgesteld.</w:t>
      </w:r>
    </w:p>
    <w:p w:rsidR="003C0B2F" w:rsidRPr="003C0B2F" w:rsidRDefault="003C0B2F" w:rsidP="003C0B2F">
      <w:pPr>
        <w:jc w:val="both"/>
        <w:rPr>
          <w:rFonts w:ascii="Palatino Linotype" w:hAnsi="Palatino Linotype"/>
          <w:sz w:val="22"/>
          <w:szCs w:val="22"/>
          <w:lang w:val="nl-NL"/>
        </w:rPr>
      </w:pPr>
    </w:p>
    <w:p w:rsidR="003C0B2F" w:rsidRPr="003C0B2F" w:rsidRDefault="003C0B2F" w:rsidP="003C0B2F">
      <w:pPr>
        <w:jc w:val="center"/>
        <w:rPr>
          <w:rFonts w:ascii="Palatino Linotype" w:hAnsi="Palatino Linotype"/>
          <w:sz w:val="22"/>
          <w:szCs w:val="22"/>
          <w:lang w:val="nl-NL"/>
        </w:rPr>
      </w:pPr>
      <w:r w:rsidRPr="003C0B2F">
        <w:rPr>
          <w:rFonts w:ascii="Palatino Linotype" w:hAnsi="Palatino Linotype"/>
          <w:sz w:val="22"/>
          <w:szCs w:val="22"/>
          <w:lang w:val="nl-NL"/>
        </w:rPr>
        <w:t>Artikel 2</w:t>
      </w:r>
    </w:p>
    <w:p w:rsidR="003C0B2F" w:rsidRPr="003C0B2F" w:rsidRDefault="003C0B2F" w:rsidP="00895B94">
      <w:pPr>
        <w:spacing w:line="200" w:lineRule="exact"/>
        <w:jc w:val="center"/>
        <w:rPr>
          <w:rFonts w:ascii="Palatino Linotype" w:hAnsi="Palatino Linotype"/>
          <w:sz w:val="22"/>
          <w:szCs w:val="22"/>
          <w:lang w:val="nl-NL"/>
        </w:rPr>
      </w:pPr>
    </w:p>
    <w:p w:rsidR="003C0B2F" w:rsidRPr="003C0B2F" w:rsidRDefault="003C0B2F" w:rsidP="003C0B2F">
      <w:pPr>
        <w:rPr>
          <w:rFonts w:ascii="Palatino Linotype" w:hAnsi="Palatino Linotype"/>
          <w:sz w:val="22"/>
          <w:szCs w:val="22"/>
          <w:lang w:val="nl-NL"/>
        </w:rPr>
      </w:pPr>
      <w:r w:rsidRPr="003C0B2F">
        <w:rPr>
          <w:rFonts w:ascii="Palatino Linotype" w:hAnsi="Palatino Linotype"/>
          <w:sz w:val="22"/>
          <w:szCs w:val="22"/>
          <w:lang w:val="nl-NL"/>
        </w:rPr>
        <w:t>Dit landsbesluit met bijbehorende bijlage wordt bekendgemaakt in het Publicatieblad.</w:t>
      </w:r>
    </w:p>
    <w:p w:rsidR="003C0B2F" w:rsidRPr="003C0B2F" w:rsidRDefault="003C0B2F" w:rsidP="003C0B2F">
      <w:pPr>
        <w:jc w:val="both"/>
        <w:rPr>
          <w:rFonts w:ascii="Palatino Linotype" w:hAnsi="Palatino Linotype"/>
          <w:sz w:val="22"/>
          <w:szCs w:val="22"/>
          <w:lang w:val="nl-NL"/>
        </w:rPr>
      </w:pPr>
    </w:p>
    <w:p w:rsidR="003C0B2F" w:rsidRPr="003C0B2F" w:rsidRDefault="003C0B2F" w:rsidP="003C0B2F">
      <w:pPr>
        <w:tabs>
          <w:tab w:val="left" w:pos="5387"/>
        </w:tabs>
        <w:rPr>
          <w:rFonts w:ascii="Palatino Linotype" w:hAnsi="Palatino Linotype"/>
          <w:sz w:val="22"/>
          <w:szCs w:val="22"/>
          <w:lang w:val="nl-NL"/>
        </w:rPr>
      </w:pPr>
    </w:p>
    <w:p w:rsidR="003C0B2F" w:rsidRDefault="003C0B2F" w:rsidP="00895B94">
      <w:pPr>
        <w:tabs>
          <w:tab w:val="left" w:pos="5130"/>
          <w:tab w:val="left" w:pos="5220"/>
        </w:tabs>
        <w:rPr>
          <w:rFonts w:ascii="Palatino Linotype" w:hAnsi="Palatino Linotype"/>
          <w:sz w:val="22"/>
          <w:szCs w:val="22"/>
          <w:lang w:val="nl-NL"/>
        </w:rPr>
      </w:pPr>
      <w:r w:rsidRPr="003C0B2F">
        <w:rPr>
          <w:rFonts w:ascii="Palatino Linotype" w:hAnsi="Palatino Linotype"/>
          <w:sz w:val="22"/>
          <w:szCs w:val="22"/>
          <w:lang w:val="nl-NL"/>
        </w:rPr>
        <w:tab/>
        <w:t xml:space="preserve">Gegeven te Willemstad, </w:t>
      </w:r>
      <w:r>
        <w:rPr>
          <w:rFonts w:ascii="Palatino Linotype" w:hAnsi="Palatino Linotype"/>
          <w:sz w:val="22"/>
          <w:szCs w:val="22"/>
          <w:lang w:val="nl-NL"/>
        </w:rPr>
        <w:t>10 november 2025</w:t>
      </w:r>
    </w:p>
    <w:p w:rsidR="003C0B2F" w:rsidRPr="003C0B2F" w:rsidRDefault="003C0B2F" w:rsidP="003C0B2F">
      <w:pPr>
        <w:widowControl/>
        <w:autoSpaceDE w:val="0"/>
        <w:autoSpaceDN w:val="0"/>
        <w:ind w:left="3960" w:right="-1296"/>
        <w:jc w:val="center"/>
        <w:rPr>
          <w:rFonts w:ascii="Palatino Linotype" w:eastAsia="Calibri" w:hAnsi="Palatino Linotype" w:cs="Palatino Linotype"/>
          <w:snapToGrid/>
          <w:sz w:val="22"/>
          <w:szCs w:val="22"/>
          <w:lang w:val="nl-NL"/>
        </w:rPr>
      </w:pPr>
      <w:r w:rsidRPr="003C0B2F">
        <w:rPr>
          <w:rFonts w:ascii="Palatino Linotype" w:eastAsia="Palatino Linotype" w:hAnsi="Palatino Linotype" w:cs="Palatino Linotype"/>
          <w:snapToGrid/>
          <w:sz w:val="22"/>
          <w:szCs w:val="22"/>
          <w:lang w:val="nl-NL"/>
        </w:rPr>
        <w:t>L.A. GEORGE-WOUT</w:t>
      </w:r>
    </w:p>
    <w:p w:rsidR="00222411" w:rsidRDefault="00222411" w:rsidP="003C0B2F">
      <w:pPr>
        <w:jc w:val="both"/>
        <w:rPr>
          <w:rFonts w:ascii="Palatino Linotype" w:hAnsi="Palatino Linotype"/>
          <w:sz w:val="22"/>
          <w:szCs w:val="22"/>
          <w:lang w:val="nl-NL"/>
        </w:rPr>
      </w:pPr>
    </w:p>
    <w:p w:rsidR="003C0B2F" w:rsidRDefault="003C0B2F" w:rsidP="003C0B2F">
      <w:pPr>
        <w:jc w:val="both"/>
        <w:rPr>
          <w:rFonts w:ascii="Palatino Linotype" w:hAnsi="Palatino Linotype"/>
          <w:sz w:val="22"/>
          <w:szCs w:val="22"/>
          <w:lang w:val="nl-NL"/>
        </w:rPr>
      </w:pPr>
      <w:r w:rsidRPr="003C0B2F">
        <w:rPr>
          <w:rFonts w:ascii="Palatino Linotype" w:hAnsi="Palatino Linotype"/>
          <w:sz w:val="22"/>
          <w:szCs w:val="22"/>
          <w:lang w:val="nl-NL"/>
        </w:rPr>
        <w:t>De Minister van Justitie,</w:t>
      </w:r>
    </w:p>
    <w:p w:rsidR="003C0B2F" w:rsidRDefault="003C0B2F" w:rsidP="003C0B2F">
      <w:pPr>
        <w:autoSpaceDE w:val="0"/>
        <w:autoSpaceDN w:val="0"/>
        <w:ind w:firstLine="540"/>
        <w:rPr>
          <w:rFonts w:ascii="Palatino Linotype" w:eastAsia="Palatino Linotype" w:hAnsi="Palatino Linotype" w:cs="Palatino Linotype"/>
          <w:snapToGrid/>
          <w:sz w:val="22"/>
          <w:szCs w:val="22"/>
          <w:lang w:val="nl-NL"/>
        </w:rPr>
      </w:pPr>
      <w:r w:rsidRPr="003C0B2F">
        <w:rPr>
          <w:rFonts w:ascii="Palatino Linotype" w:eastAsia="Palatino Linotype" w:hAnsi="Palatino Linotype" w:cs="Palatino Linotype"/>
          <w:snapToGrid/>
          <w:sz w:val="22"/>
          <w:szCs w:val="22"/>
          <w:lang w:val="nl-NL"/>
        </w:rPr>
        <w:t>S.X.T. HATO</w:t>
      </w:r>
    </w:p>
    <w:p w:rsidR="00222411" w:rsidRPr="003C0B2F" w:rsidRDefault="00222411" w:rsidP="003C0B2F">
      <w:pPr>
        <w:autoSpaceDE w:val="0"/>
        <w:autoSpaceDN w:val="0"/>
        <w:ind w:firstLine="540"/>
        <w:rPr>
          <w:rFonts w:ascii="Palatino Linotype" w:eastAsia="Palatino Linotype" w:hAnsi="Palatino Linotype" w:cs="Palatino Linotype"/>
          <w:snapToGrid/>
          <w:sz w:val="22"/>
          <w:szCs w:val="22"/>
          <w:lang w:val="nl-NL"/>
        </w:rPr>
      </w:pPr>
    </w:p>
    <w:p w:rsidR="003C0B2F" w:rsidRPr="003C0B2F" w:rsidRDefault="003C0B2F" w:rsidP="00222411">
      <w:pPr>
        <w:jc w:val="center"/>
        <w:rPr>
          <w:rFonts w:ascii="Palatino Linotype" w:hAnsi="Palatino Linotype"/>
          <w:sz w:val="22"/>
          <w:szCs w:val="22"/>
          <w:lang w:val="nl-NL"/>
        </w:rPr>
      </w:pPr>
      <w:r>
        <w:rPr>
          <w:rFonts w:ascii="Palatino Linotype" w:hAnsi="Palatino Linotype"/>
          <w:sz w:val="22"/>
          <w:szCs w:val="22"/>
          <w:lang w:val="nl-NL"/>
        </w:rPr>
        <w:t xml:space="preserve">                                                  </w:t>
      </w:r>
      <w:r w:rsidR="00895B94">
        <w:rPr>
          <w:rFonts w:ascii="Palatino Linotype" w:hAnsi="Palatino Linotype"/>
          <w:sz w:val="22"/>
          <w:szCs w:val="22"/>
          <w:lang w:val="nl-NL"/>
        </w:rPr>
        <w:t xml:space="preserve">                     </w:t>
      </w:r>
      <w:r w:rsidRPr="003C0B2F">
        <w:rPr>
          <w:rFonts w:ascii="Palatino Linotype" w:hAnsi="Palatino Linotype"/>
          <w:sz w:val="22"/>
          <w:szCs w:val="22"/>
          <w:lang w:val="nl-NL"/>
        </w:rPr>
        <w:t>Uitgegeven de</w:t>
      </w:r>
      <w:r>
        <w:rPr>
          <w:rFonts w:ascii="Palatino Linotype" w:hAnsi="Palatino Linotype"/>
          <w:sz w:val="22"/>
          <w:szCs w:val="22"/>
          <w:lang w:val="nl-NL"/>
        </w:rPr>
        <w:t xml:space="preserve"> </w:t>
      </w:r>
      <w:r w:rsidR="00222411">
        <w:rPr>
          <w:rFonts w:ascii="Palatino Linotype" w:hAnsi="Palatino Linotype"/>
          <w:sz w:val="22"/>
          <w:szCs w:val="22"/>
          <w:lang w:val="nl-NL"/>
        </w:rPr>
        <w:t>27</w:t>
      </w:r>
      <w:r w:rsidR="00222411" w:rsidRPr="00222411">
        <w:rPr>
          <w:rFonts w:ascii="Palatino Linotype" w:hAnsi="Palatino Linotype"/>
          <w:sz w:val="22"/>
          <w:szCs w:val="22"/>
          <w:vertAlign w:val="superscript"/>
          <w:lang w:val="nl-NL"/>
        </w:rPr>
        <w:t>ste</w:t>
      </w:r>
      <w:r w:rsidR="00222411">
        <w:rPr>
          <w:rFonts w:ascii="Palatino Linotype" w:hAnsi="Palatino Linotype"/>
          <w:sz w:val="22"/>
          <w:szCs w:val="22"/>
          <w:lang w:val="nl-NL"/>
        </w:rPr>
        <w:t xml:space="preserve"> maart 2026</w:t>
      </w:r>
    </w:p>
    <w:p w:rsidR="003C0B2F" w:rsidRDefault="00895B94" w:rsidP="003C0B2F">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003C0B2F" w:rsidRPr="003C0B2F">
        <w:rPr>
          <w:rFonts w:ascii="Palatino Linotype" w:hAnsi="Palatino Linotype"/>
          <w:sz w:val="22"/>
          <w:szCs w:val="22"/>
          <w:lang w:val="nl-NL"/>
        </w:rPr>
        <w:t>De Minister van Algemene Zaken,</w:t>
      </w:r>
    </w:p>
    <w:p w:rsidR="00895B94" w:rsidRPr="00895B94" w:rsidRDefault="00895B94" w:rsidP="00895B94">
      <w:pPr>
        <w:autoSpaceDE w:val="0"/>
        <w:autoSpaceDN w:val="0"/>
        <w:ind w:left="6480"/>
        <w:rPr>
          <w:rFonts w:ascii="Palatino Linotype" w:eastAsia="Palatino Linotype" w:hAnsi="Palatino Linotype" w:cs="Palatino Linotype"/>
          <w:snapToGrid/>
          <w:sz w:val="22"/>
          <w:szCs w:val="22"/>
          <w:lang w:val="nl-NL"/>
        </w:rPr>
      </w:pPr>
      <w:r w:rsidRPr="00895B94">
        <w:rPr>
          <w:rFonts w:ascii="Palatino Linotype" w:eastAsia="Palatino Linotype" w:hAnsi="Palatino Linotype" w:cs="Palatino Linotype"/>
          <w:snapToGrid/>
          <w:sz w:val="22"/>
          <w:szCs w:val="22"/>
          <w:lang w:val="nl-NL"/>
        </w:rPr>
        <w:t>G.S. PISAS</w:t>
      </w:r>
    </w:p>
    <w:p w:rsidR="00222411" w:rsidRDefault="00222411">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3C0B2F">
      <w:pPr>
        <w:pBdr>
          <w:bottom w:val="single" w:sz="6" w:space="1" w:color="auto"/>
        </w:pBdr>
        <w:ind w:right="-29"/>
        <w:jc w:val="both"/>
        <w:rPr>
          <w:rFonts w:ascii="Palatino Linotype" w:hAnsi="Palatino Linotype"/>
          <w:sz w:val="22"/>
          <w:szCs w:val="22"/>
          <w:lang w:val="nl-NL"/>
        </w:rPr>
      </w:pPr>
      <w:bookmarkStart w:id="0" w:name="_GoBack"/>
      <w:bookmarkEnd w:id="0"/>
      <w:r w:rsidRPr="003C0B2F">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10</w:t>
      </w:r>
      <w:r w:rsidRPr="003C0B2F">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3C0B2F">
        <w:rPr>
          <w:rFonts w:ascii="Palatino Linotype" w:hAnsi="Palatino Linotype"/>
          <w:sz w:val="22"/>
          <w:szCs w:val="22"/>
          <w:lang w:val="nl-NL"/>
        </w:rPr>
        <w:t>, no.</w:t>
      </w:r>
      <w:r>
        <w:rPr>
          <w:rFonts w:ascii="Palatino Linotype" w:hAnsi="Palatino Linotype"/>
          <w:sz w:val="22"/>
          <w:szCs w:val="22"/>
          <w:lang w:val="nl-NL"/>
        </w:rPr>
        <w:t xml:space="preserve"> 25/2732</w:t>
      </w:r>
      <w:r w:rsidRPr="003C0B2F">
        <w:rPr>
          <w:rFonts w:ascii="Palatino Linotype" w:hAnsi="Palatino Linotype"/>
          <w:sz w:val="22"/>
          <w:szCs w:val="22"/>
          <w:lang w:val="nl-NL"/>
        </w:rPr>
        <w:t>, houdende vaststelling van de geconsolideerde tekst van het Landsbesluit Douane Nederlandse Antillen</w:t>
      </w:r>
      <w:r w:rsidRPr="003C0B2F">
        <w:rPr>
          <w:rFonts w:ascii="Palatino Linotype" w:hAnsi="Palatino Linotype"/>
          <w:i/>
          <w:sz w:val="22"/>
          <w:szCs w:val="22"/>
          <w:vertAlign w:val="superscript"/>
          <w:lang w:val="nl-NL"/>
        </w:rPr>
        <w:footnoteReference w:id="3"/>
      </w:r>
    </w:p>
    <w:p w:rsidR="003C0B2F" w:rsidRPr="003C0B2F" w:rsidRDefault="003C0B2F" w:rsidP="003C0B2F">
      <w:pPr>
        <w:pBdr>
          <w:bottom w:val="single" w:sz="6" w:space="1" w:color="auto"/>
        </w:pBdr>
        <w:ind w:right="-29"/>
        <w:jc w:val="both"/>
        <w:rPr>
          <w:rFonts w:ascii="Palatino Linotype" w:hAnsi="Palatino Linotype"/>
          <w:sz w:val="22"/>
          <w:szCs w:val="22"/>
          <w:lang w:val="nl-NL"/>
        </w:rPr>
      </w:pPr>
    </w:p>
    <w:p w:rsidR="003C0B2F" w:rsidRPr="003C0B2F" w:rsidRDefault="003C0B2F" w:rsidP="003C0B2F">
      <w:pPr>
        <w:ind w:right="-29"/>
        <w:jc w:val="both"/>
        <w:rPr>
          <w:rFonts w:ascii="Palatino Linotype" w:hAnsi="Palatino Linotype"/>
          <w:sz w:val="22"/>
          <w:szCs w:val="22"/>
          <w:lang w:val="nl-NL"/>
        </w:rPr>
      </w:pPr>
    </w:p>
    <w:p w:rsidR="003C0B2F" w:rsidRPr="003C0B2F" w:rsidRDefault="003C0B2F" w:rsidP="003C0B2F">
      <w:pPr>
        <w:ind w:right="-29"/>
        <w:jc w:val="both"/>
        <w:rPr>
          <w:rFonts w:ascii="Palatino Linotype" w:hAnsi="Palatino Linotype"/>
          <w:sz w:val="22"/>
          <w:szCs w:val="22"/>
          <w:lang w:val="nl-NL"/>
        </w:rPr>
      </w:pPr>
      <w:r w:rsidRPr="003C0B2F">
        <w:rPr>
          <w:rFonts w:ascii="Palatino Linotype" w:hAnsi="Palatino Linotype"/>
          <w:sz w:val="22"/>
          <w:szCs w:val="22"/>
          <w:lang w:val="nl-NL"/>
        </w:rPr>
        <w:t>Geconsolideerde tekst van het Landsbesluit Douane Nederlandse Antillen (P.B. 2010, no. 69),</w:t>
      </w:r>
      <w:r w:rsidRPr="003C0B2F">
        <w:rPr>
          <w:rFonts w:ascii="Palatino Linotype" w:hAnsi="Palatino Linotype"/>
          <w:b/>
          <w:sz w:val="22"/>
          <w:szCs w:val="22"/>
          <w:lang w:val="nl-NL"/>
        </w:rPr>
        <w:t xml:space="preserve"> </w:t>
      </w:r>
      <w:r w:rsidRPr="003C0B2F">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3C0B2F" w:rsidRPr="003C0B2F" w:rsidRDefault="003C0B2F" w:rsidP="003C0B2F">
      <w:pPr>
        <w:jc w:val="both"/>
        <w:rPr>
          <w:rFonts w:ascii="Palatino Linotype" w:hAnsi="Palatino Linotype"/>
          <w:sz w:val="22"/>
          <w:szCs w:val="22"/>
          <w:lang w:val="nl-NL"/>
        </w:rPr>
      </w:pPr>
    </w:p>
    <w:p w:rsidR="003C0B2F" w:rsidRPr="003C0B2F" w:rsidRDefault="003C0B2F" w:rsidP="003C0B2F">
      <w:pPr>
        <w:jc w:val="center"/>
        <w:rPr>
          <w:rFonts w:ascii="Palatino Linotype" w:hAnsi="Palatino Linotype"/>
          <w:sz w:val="22"/>
          <w:szCs w:val="22"/>
          <w:lang w:val="nl-NL"/>
        </w:rPr>
      </w:pPr>
      <w:r w:rsidRPr="003C0B2F">
        <w:rPr>
          <w:rFonts w:ascii="Palatino Linotype" w:hAnsi="Palatino Linotype"/>
          <w:sz w:val="22"/>
          <w:szCs w:val="22"/>
          <w:lang w:val="nl-NL"/>
        </w:rPr>
        <w:t>-----</w:t>
      </w:r>
    </w:p>
    <w:p w:rsidR="003C0B2F" w:rsidRPr="003C0B2F" w:rsidRDefault="003C0B2F" w:rsidP="005F1C45">
      <w:pPr>
        <w:suppressAutoHyphens/>
        <w:spacing w:line="220" w:lineRule="exact"/>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I</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Algemene Bepalingen</w:t>
      </w:r>
    </w:p>
    <w:p w:rsidR="003C0B2F" w:rsidRPr="003C0B2F" w:rsidRDefault="003C0B2F" w:rsidP="005F1C45">
      <w:pPr>
        <w:suppressAutoHyphens/>
        <w:spacing w:line="220" w:lineRule="exact"/>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In dit landsbesluit wordt verstaan onder:</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Minister</w:t>
      </w:r>
      <w:r w:rsidRPr="003C0B2F">
        <w:rPr>
          <w:rFonts w:ascii="Palatino Linotype" w:hAnsi="Palatino Linotype"/>
          <w:sz w:val="22"/>
          <w:szCs w:val="22"/>
          <w:lang w:val="nl-NL"/>
        </w:rPr>
        <w:tab/>
        <w:t>:</w:t>
      </w:r>
      <w:r w:rsidRPr="003C0B2F">
        <w:rPr>
          <w:rFonts w:ascii="Palatino Linotype" w:hAnsi="Palatino Linotype"/>
          <w:sz w:val="22"/>
          <w:szCs w:val="22"/>
          <w:lang w:val="nl-NL"/>
        </w:rPr>
        <w:tab/>
        <w:t>de Minister van Financiën;</w:t>
      </w:r>
    </w:p>
    <w:p w:rsidR="003C0B2F" w:rsidRPr="003C0B2F" w:rsidRDefault="003C0B2F" w:rsidP="00C66341">
      <w:pPr>
        <w:numPr>
          <w:ilvl w:val="0"/>
          <w:numId w:val="1"/>
        </w:numPr>
        <w:tabs>
          <w:tab w:val="left" w:pos="360"/>
          <w:tab w:val="left" w:pos="3780"/>
          <w:tab w:val="left" w:pos="4140"/>
        </w:tabs>
        <w:suppressAutoHyphens/>
        <w:ind w:left="4140" w:hanging="4140"/>
        <w:contextualSpacing/>
        <w:jc w:val="both"/>
        <w:rPr>
          <w:rFonts w:ascii="Palatino Linotype" w:hAnsi="Palatino Linotype"/>
          <w:sz w:val="22"/>
          <w:szCs w:val="22"/>
          <w:lang w:val="nl-NL"/>
        </w:rPr>
      </w:pPr>
      <w:r w:rsidRPr="003C0B2F">
        <w:rPr>
          <w:rFonts w:ascii="Palatino Linotype" w:hAnsi="Palatino Linotype"/>
          <w:sz w:val="22"/>
          <w:szCs w:val="22"/>
          <w:lang w:val="nl-NL"/>
        </w:rPr>
        <w:t>Ambtenaar</w:t>
      </w:r>
      <w:r w:rsidRPr="003C0B2F">
        <w:rPr>
          <w:rFonts w:ascii="Palatino Linotype" w:hAnsi="Palatino Linotype"/>
          <w:sz w:val="22"/>
          <w:szCs w:val="22"/>
          <w:lang w:val="nl-NL"/>
        </w:rPr>
        <w:tab/>
        <w:t>:</w:t>
      </w:r>
      <w:r w:rsidRPr="003C0B2F">
        <w:rPr>
          <w:rFonts w:ascii="Palatino Linotype" w:hAnsi="Palatino Linotype"/>
          <w:sz w:val="22"/>
          <w:szCs w:val="22"/>
          <w:lang w:val="nl-NL"/>
        </w:rPr>
        <w:tab/>
        <w:t xml:space="preserve">de ambtenaar aangesteld in een functie bij de Douane; </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Douane</w:t>
      </w:r>
      <w:r w:rsidRPr="003C0B2F">
        <w:rPr>
          <w:rFonts w:ascii="Palatino Linotype" w:hAnsi="Palatino Linotype"/>
          <w:sz w:val="22"/>
          <w:szCs w:val="22"/>
          <w:lang w:val="nl-NL"/>
        </w:rPr>
        <w:tab/>
        <w:t>:</w:t>
      </w:r>
      <w:r w:rsidRPr="003C0B2F">
        <w:rPr>
          <w:rFonts w:ascii="Palatino Linotype" w:hAnsi="Palatino Linotype"/>
          <w:sz w:val="22"/>
          <w:szCs w:val="22"/>
          <w:lang w:val="nl-NL"/>
        </w:rPr>
        <w:tab/>
        <w:t xml:space="preserve">Inspectie der Invoerrechten en Accijnzen; </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Groepsfunctie</w:t>
      </w:r>
      <w:r w:rsidRPr="003C0B2F">
        <w:rPr>
          <w:rFonts w:ascii="Palatino Linotype" w:hAnsi="Palatino Linotype"/>
          <w:sz w:val="22"/>
          <w:szCs w:val="22"/>
          <w:lang w:val="nl-NL"/>
        </w:rPr>
        <w:tab/>
        <w:t>:</w:t>
      </w:r>
      <w:r w:rsidRPr="003C0B2F">
        <w:rPr>
          <w:rFonts w:ascii="Palatino Linotype" w:hAnsi="Palatino Linotype"/>
          <w:sz w:val="22"/>
          <w:szCs w:val="22"/>
          <w:lang w:val="nl-NL"/>
        </w:rPr>
        <w:tab/>
        <w:t>de functie genoemd in artikel 14;</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bevoegd gezag</w:t>
      </w:r>
      <w:r w:rsidRPr="003C0B2F">
        <w:rPr>
          <w:rFonts w:ascii="Palatino Linotype" w:hAnsi="Palatino Linotype"/>
          <w:sz w:val="22"/>
          <w:szCs w:val="22"/>
          <w:lang w:val="nl-NL"/>
        </w:rPr>
        <w:tab/>
        <w:t>:</w:t>
      </w:r>
      <w:r w:rsidRPr="003C0B2F">
        <w:rPr>
          <w:rFonts w:ascii="Palatino Linotype" w:hAnsi="Palatino Linotype"/>
          <w:sz w:val="22"/>
          <w:szCs w:val="22"/>
          <w:lang w:val="nl-NL"/>
        </w:rPr>
        <w:tab/>
        <w:t>de Gouverneur;</w:t>
      </w:r>
    </w:p>
    <w:p w:rsidR="003C0B2F" w:rsidRPr="003C0B2F" w:rsidRDefault="003C0B2F" w:rsidP="00C66341">
      <w:pPr>
        <w:numPr>
          <w:ilvl w:val="0"/>
          <w:numId w:val="1"/>
        </w:numPr>
        <w:tabs>
          <w:tab w:val="left" w:pos="360"/>
          <w:tab w:val="left" w:pos="3780"/>
          <w:tab w:val="left" w:pos="4140"/>
          <w:tab w:val="left" w:pos="4320"/>
        </w:tabs>
        <w:suppressAutoHyphens/>
        <w:ind w:left="4320" w:hanging="4320"/>
        <w:contextualSpacing/>
        <w:jc w:val="both"/>
        <w:rPr>
          <w:rFonts w:ascii="Palatino Linotype" w:hAnsi="Palatino Linotype"/>
          <w:sz w:val="22"/>
          <w:szCs w:val="22"/>
          <w:lang w:val="nl-NL"/>
        </w:rPr>
      </w:pPr>
      <w:r w:rsidRPr="003C0B2F">
        <w:rPr>
          <w:rFonts w:ascii="Palatino Linotype" w:hAnsi="Palatino Linotype"/>
          <w:sz w:val="22"/>
          <w:szCs w:val="22"/>
          <w:lang w:val="nl-NL"/>
        </w:rPr>
        <w:t>Landsverordening</w:t>
      </w:r>
      <w:r w:rsidRPr="003C0B2F">
        <w:rPr>
          <w:rFonts w:ascii="Palatino Linotype" w:hAnsi="Palatino Linotype"/>
          <w:sz w:val="22"/>
          <w:szCs w:val="22"/>
          <w:lang w:val="nl-NL"/>
        </w:rPr>
        <w:tab/>
        <w:t>:</w:t>
      </w:r>
      <w:r w:rsidRPr="003C0B2F">
        <w:rPr>
          <w:rFonts w:ascii="Palatino Linotype" w:hAnsi="Palatino Linotype"/>
          <w:sz w:val="22"/>
          <w:szCs w:val="22"/>
          <w:lang w:val="nl-NL"/>
        </w:rPr>
        <w:tab/>
        <w:t>de Landsverordening Materieel Ambtenarenrecht;</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het Hoofd</w:t>
      </w:r>
      <w:r w:rsidRPr="003C0B2F">
        <w:rPr>
          <w:rFonts w:ascii="Palatino Linotype" w:hAnsi="Palatino Linotype"/>
          <w:sz w:val="22"/>
          <w:szCs w:val="22"/>
          <w:lang w:val="nl-NL"/>
        </w:rPr>
        <w:tab/>
        <w:t>:</w:t>
      </w:r>
      <w:r w:rsidRPr="003C0B2F">
        <w:rPr>
          <w:rFonts w:ascii="Palatino Linotype" w:hAnsi="Palatino Linotype"/>
          <w:sz w:val="22"/>
          <w:szCs w:val="22"/>
          <w:lang w:val="nl-NL"/>
        </w:rPr>
        <w:tab/>
        <w:t>het hoofd van de Douane;</w:t>
      </w:r>
    </w:p>
    <w:p w:rsidR="003C0B2F" w:rsidRPr="003C0B2F" w:rsidRDefault="003C0B2F" w:rsidP="00C66341">
      <w:pPr>
        <w:numPr>
          <w:ilvl w:val="0"/>
          <w:numId w:val="1"/>
        </w:numPr>
        <w:tabs>
          <w:tab w:val="left" w:pos="360"/>
          <w:tab w:val="left" w:pos="3780"/>
          <w:tab w:val="left" w:pos="4140"/>
        </w:tabs>
        <w:suppressAutoHyphens/>
        <w:ind w:left="4140" w:hanging="4140"/>
        <w:contextualSpacing/>
        <w:jc w:val="both"/>
        <w:rPr>
          <w:rFonts w:ascii="Palatino Linotype" w:hAnsi="Palatino Linotype"/>
          <w:sz w:val="22"/>
          <w:szCs w:val="22"/>
          <w:lang w:val="nl-NL"/>
        </w:rPr>
      </w:pPr>
      <w:r w:rsidRPr="003C0B2F">
        <w:rPr>
          <w:rFonts w:ascii="Palatino Linotype" w:hAnsi="Palatino Linotype"/>
          <w:sz w:val="22"/>
          <w:szCs w:val="22"/>
          <w:lang w:val="nl-NL"/>
        </w:rPr>
        <w:t>individueel leidinggevende</w:t>
      </w:r>
      <w:r w:rsidRPr="003C0B2F">
        <w:rPr>
          <w:rFonts w:ascii="Palatino Linotype" w:hAnsi="Palatino Linotype"/>
          <w:sz w:val="22"/>
          <w:szCs w:val="22"/>
          <w:lang w:val="nl-NL"/>
        </w:rPr>
        <w:tab/>
        <w:t>:</w:t>
      </w:r>
      <w:r w:rsidRPr="003C0B2F">
        <w:rPr>
          <w:rFonts w:ascii="Palatino Linotype" w:hAnsi="Palatino Linotype"/>
          <w:sz w:val="22"/>
          <w:szCs w:val="22"/>
          <w:lang w:val="nl-NL"/>
        </w:rPr>
        <w:tab/>
        <w:t xml:space="preserve">het Hoofd, een hoofd van de post, een </w:t>
      </w:r>
      <w:proofErr w:type="spellStart"/>
      <w:r w:rsidRPr="003C0B2F">
        <w:rPr>
          <w:rFonts w:ascii="Palatino Linotype" w:hAnsi="Palatino Linotype"/>
          <w:sz w:val="22"/>
          <w:szCs w:val="22"/>
          <w:lang w:val="nl-NL"/>
        </w:rPr>
        <w:t>hoofdleidinggevende</w:t>
      </w:r>
      <w:proofErr w:type="spellEnd"/>
      <w:r w:rsidRPr="003C0B2F">
        <w:rPr>
          <w:rFonts w:ascii="Palatino Linotype" w:hAnsi="Palatino Linotype"/>
          <w:sz w:val="22"/>
          <w:szCs w:val="22"/>
          <w:lang w:val="nl-NL"/>
        </w:rPr>
        <w:t xml:space="preserve"> van een afdeling, een teamleider;</w:t>
      </w:r>
    </w:p>
    <w:p w:rsidR="003C0B2F" w:rsidRPr="003C0B2F" w:rsidRDefault="003C0B2F" w:rsidP="00C66341">
      <w:pPr>
        <w:numPr>
          <w:ilvl w:val="0"/>
          <w:numId w:val="1"/>
        </w:numPr>
        <w:tabs>
          <w:tab w:val="left" w:pos="360"/>
          <w:tab w:val="left" w:pos="3780"/>
          <w:tab w:val="left" w:pos="4140"/>
        </w:tabs>
        <w:suppressAutoHyphens/>
        <w:ind w:left="4140" w:hanging="4140"/>
        <w:contextualSpacing/>
        <w:jc w:val="both"/>
        <w:rPr>
          <w:rFonts w:ascii="Palatino Linotype" w:hAnsi="Palatino Linotype"/>
          <w:sz w:val="22"/>
          <w:szCs w:val="22"/>
          <w:lang w:val="nl-NL"/>
        </w:rPr>
      </w:pPr>
      <w:r w:rsidRPr="003C0B2F">
        <w:rPr>
          <w:rFonts w:ascii="Palatino Linotype" w:hAnsi="Palatino Linotype"/>
          <w:sz w:val="22"/>
          <w:szCs w:val="22"/>
          <w:lang w:val="nl-NL"/>
        </w:rPr>
        <w:t>individueel niet leidinggevende</w:t>
      </w:r>
      <w:r w:rsidRPr="003C0B2F">
        <w:rPr>
          <w:rFonts w:ascii="Palatino Linotype" w:hAnsi="Palatino Linotype"/>
          <w:sz w:val="22"/>
          <w:szCs w:val="22"/>
          <w:lang w:val="nl-NL"/>
        </w:rPr>
        <w:tab/>
        <w:t>:</w:t>
      </w:r>
      <w:r w:rsidRPr="003C0B2F">
        <w:rPr>
          <w:rFonts w:ascii="Palatino Linotype" w:hAnsi="Palatino Linotype"/>
          <w:sz w:val="22"/>
          <w:szCs w:val="22"/>
          <w:lang w:val="nl-NL"/>
        </w:rPr>
        <w:tab/>
        <w:t>ambtenaar, niet zijnde aspirant-commies, individueel leidinggevende of ambtenaar in een groepsfunctie;</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aspirant-commies </w:t>
      </w:r>
      <w:r w:rsidRPr="003C0B2F">
        <w:rPr>
          <w:rFonts w:ascii="Palatino Linotype" w:hAnsi="Palatino Linotype"/>
          <w:sz w:val="22"/>
          <w:szCs w:val="22"/>
          <w:lang w:val="nl-NL"/>
        </w:rPr>
        <w:tab/>
        <w:t>:</w:t>
      </w:r>
      <w:r w:rsidRPr="003C0B2F">
        <w:rPr>
          <w:rFonts w:ascii="Palatino Linotype" w:hAnsi="Palatino Linotype"/>
          <w:sz w:val="22"/>
          <w:szCs w:val="22"/>
          <w:lang w:val="nl-NL"/>
        </w:rPr>
        <w:tab/>
        <w:t>de ambtenaar genoemd in artikel 13, eerste lid;</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hulpcommies</w:t>
      </w:r>
      <w:r w:rsidRPr="003C0B2F">
        <w:rPr>
          <w:rFonts w:ascii="Palatino Linotype" w:hAnsi="Palatino Linotype"/>
          <w:sz w:val="22"/>
          <w:szCs w:val="22"/>
          <w:lang w:val="nl-NL"/>
        </w:rPr>
        <w:tab/>
        <w:t>:</w:t>
      </w:r>
      <w:r w:rsidRPr="003C0B2F">
        <w:rPr>
          <w:rFonts w:ascii="Palatino Linotype" w:hAnsi="Palatino Linotype"/>
          <w:sz w:val="22"/>
          <w:szCs w:val="22"/>
          <w:lang w:val="nl-NL"/>
        </w:rPr>
        <w:tab/>
        <w:t>de ambtenaar genoemd in artikel 13, tweede lid;</w:t>
      </w:r>
    </w:p>
    <w:p w:rsidR="003C0B2F" w:rsidRPr="003C0B2F" w:rsidRDefault="003C0B2F" w:rsidP="00C66341">
      <w:pPr>
        <w:numPr>
          <w:ilvl w:val="0"/>
          <w:numId w:val="1"/>
        </w:numPr>
        <w:tabs>
          <w:tab w:val="left" w:pos="360"/>
          <w:tab w:val="left" w:pos="3780"/>
          <w:tab w:val="left" w:pos="4140"/>
        </w:tabs>
        <w:suppressAutoHyphens/>
        <w:ind w:left="4140" w:hanging="4140"/>
        <w:contextualSpacing/>
        <w:jc w:val="both"/>
        <w:rPr>
          <w:rFonts w:ascii="Palatino Linotype" w:hAnsi="Palatino Linotype"/>
          <w:sz w:val="22"/>
          <w:szCs w:val="22"/>
          <w:lang w:val="nl-NL"/>
        </w:rPr>
      </w:pPr>
      <w:r w:rsidRPr="003C0B2F">
        <w:rPr>
          <w:rFonts w:ascii="Palatino Linotype" w:hAnsi="Palatino Linotype"/>
          <w:sz w:val="22"/>
          <w:szCs w:val="22"/>
          <w:lang w:val="nl-NL"/>
        </w:rPr>
        <w:t>dienstkleding</w:t>
      </w:r>
      <w:r w:rsidRPr="003C0B2F">
        <w:rPr>
          <w:rFonts w:ascii="Palatino Linotype" w:hAnsi="Palatino Linotype"/>
          <w:sz w:val="22"/>
          <w:szCs w:val="22"/>
          <w:lang w:val="nl-NL"/>
        </w:rPr>
        <w:tab/>
        <w:t>:</w:t>
      </w:r>
      <w:r w:rsidRPr="003C0B2F">
        <w:rPr>
          <w:rFonts w:ascii="Palatino Linotype" w:hAnsi="Palatino Linotype"/>
          <w:sz w:val="22"/>
          <w:szCs w:val="22"/>
          <w:lang w:val="nl-NL"/>
        </w:rPr>
        <w:tab/>
        <w:t>het geheel van de tot één van de tenues, genoemd in artikel 26 eerste lid, behorende kledingstukken;</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onderscheidingstekens</w:t>
      </w:r>
      <w:r w:rsidRPr="003C0B2F">
        <w:rPr>
          <w:rFonts w:ascii="Palatino Linotype" w:hAnsi="Palatino Linotype"/>
          <w:sz w:val="22"/>
          <w:szCs w:val="22"/>
          <w:lang w:val="nl-NL"/>
        </w:rPr>
        <w:tab/>
        <w:t>:</w:t>
      </w:r>
      <w:r w:rsidRPr="003C0B2F">
        <w:rPr>
          <w:rFonts w:ascii="Palatino Linotype" w:hAnsi="Palatino Linotype"/>
          <w:sz w:val="22"/>
          <w:szCs w:val="22"/>
          <w:lang w:val="nl-NL"/>
        </w:rPr>
        <w:tab/>
        <w:t>de in artikel 36 genoemde tekens;</w:t>
      </w:r>
    </w:p>
    <w:p w:rsidR="003C0B2F" w:rsidRPr="003C0B2F" w:rsidRDefault="003C0B2F" w:rsidP="00C66341">
      <w:pPr>
        <w:numPr>
          <w:ilvl w:val="0"/>
          <w:numId w:val="1"/>
        </w:numPr>
        <w:tabs>
          <w:tab w:val="left" w:pos="3780"/>
          <w:tab w:val="left" w:pos="4140"/>
        </w:tabs>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uitrustingstukken</w:t>
      </w:r>
      <w:r w:rsidRPr="003C0B2F">
        <w:rPr>
          <w:rFonts w:ascii="Palatino Linotype" w:hAnsi="Palatino Linotype"/>
          <w:sz w:val="22"/>
          <w:szCs w:val="22"/>
          <w:lang w:val="nl-NL"/>
        </w:rPr>
        <w:tab/>
        <w:t>:</w:t>
      </w:r>
      <w:r w:rsidRPr="003C0B2F">
        <w:rPr>
          <w:rFonts w:ascii="Palatino Linotype" w:hAnsi="Palatino Linotype"/>
          <w:sz w:val="22"/>
          <w:szCs w:val="22"/>
          <w:lang w:val="nl-NL"/>
        </w:rPr>
        <w:tab/>
        <w:t>de in artikel 41 genoemde stukken.</w:t>
      </w:r>
    </w:p>
    <w:p w:rsidR="003C0B2F" w:rsidRPr="003C0B2F" w:rsidRDefault="003C0B2F" w:rsidP="003C0B2F">
      <w:pPr>
        <w:tabs>
          <w:tab w:val="left" w:pos="3780"/>
        </w:tabs>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II</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Bezoldiging algemeen</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w:t>
      </w:r>
    </w:p>
    <w:p w:rsidR="003C0B2F" w:rsidRPr="003C0B2F" w:rsidRDefault="003C0B2F" w:rsidP="003C0B2F">
      <w:pPr>
        <w:suppressAutoHyphens/>
        <w:jc w:val="both"/>
        <w:rPr>
          <w:rFonts w:ascii="Palatino Linotype" w:hAnsi="Palatino Linotype"/>
          <w:sz w:val="22"/>
          <w:szCs w:val="22"/>
          <w:lang w:val="nl-NL"/>
        </w:rPr>
      </w:pPr>
    </w:p>
    <w:p w:rsidR="003C0B2F" w:rsidRPr="005F1C45" w:rsidRDefault="003C0B2F" w:rsidP="00B8108D">
      <w:pPr>
        <w:numPr>
          <w:ilvl w:val="0"/>
          <w:numId w:val="2"/>
        </w:numPr>
        <w:suppressAutoHyphens/>
        <w:ind w:left="284" w:hanging="284"/>
        <w:contextualSpacing/>
        <w:jc w:val="both"/>
        <w:rPr>
          <w:rFonts w:ascii="Palatino Linotype" w:hAnsi="Palatino Linotype"/>
          <w:sz w:val="22"/>
          <w:szCs w:val="22"/>
          <w:lang w:val="nl-NL"/>
        </w:rPr>
      </w:pPr>
      <w:r w:rsidRPr="005F1C45">
        <w:rPr>
          <w:rFonts w:ascii="Palatino Linotype" w:hAnsi="Palatino Linotype"/>
          <w:sz w:val="22"/>
          <w:szCs w:val="22"/>
          <w:lang w:val="nl-NL"/>
        </w:rPr>
        <w:t>Voor de toepassing van het Bezoldigingslandsbesluit 1998</w:t>
      </w:r>
      <w:r w:rsidRPr="003C0B2F">
        <w:rPr>
          <w:rFonts w:ascii="Palatino Linotype" w:hAnsi="Palatino Linotype"/>
          <w:sz w:val="22"/>
          <w:szCs w:val="22"/>
          <w:vertAlign w:val="superscript"/>
          <w:lang w:val="nl-NL"/>
        </w:rPr>
        <w:footnoteReference w:id="4"/>
      </w:r>
      <w:r w:rsidRPr="005F1C45">
        <w:rPr>
          <w:rFonts w:ascii="Palatino Linotype" w:hAnsi="Palatino Linotype"/>
          <w:sz w:val="22"/>
          <w:szCs w:val="22"/>
          <w:lang w:val="nl-NL"/>
        </w:rPr>
        <w:t xml:space="preserve"> is dit besluit niet een afzonderlijke wettelijke regeling als bedoeld in artikel 1, onderdeel c, van het</w:t>
      </w:r>
      <w:r w:rsidR="005F1C45">
        <w:rPr>
          <w:rFonts w:ascii="Palatino Linotype" w:hAnsi="Palatino Linotype"/>
          <w:sz w:val="22"/>
          <w:szCs w:val="22"/>
          <w:lang w:val="nl-NL"/>
        </w:rPr>
        <w:t xml:space="preserve"> </w:t>
      </w:r>
      <w:r w:rsidRPr="005F1C45">
        <w:rPr>
          <w:rFonts w:ascii="Palatino Linotype" w:hAnsi="Palatino Linotype"/>
          <w:sz w:val="22"/>
          <w:szCs w:val="22"/>
          <w:lang w:val="nl-NL"/>
        </w:rPr>
        <w:t>Bezoldigingslandsbesluit 1998.</w:t>
      </w:r>
    </w:p>
    <w:p w:rsidR="005F1C45" w:rsidRDefault="005F1C45">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C66341">
      <w:pPr>
        <w:numPr>
          <w:ilvl w:val="0"/>
          <w:numId w:val="2"/>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In afwijking van artikel 1, onderdeel e, van het Bezoldigingslandsbesluit 1998 geldt voor de ambtenaar als bezoldigingsschaal een als zodanig in de bij dit landsbesluit behorende bijlage B vermelde, van een volgnummer voorziene reeks van bedragen.</w:t>
      </w:r>
    </w:p>
    <w:p w:rsidR="003C0B2F" w:rsidRPr="003C0B2F" w:rsidRDefault="003C0B2F" w:rsidP="00C66341">
      <w:pPr>
        <w:numPr>
          <w:ilvl w:val="0"/>
          <w:numId w:val="2"/>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Artikel 14 van het Bezoldigingslandsbesluit 1998 is niet van toepassing.</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III</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Toelagen en onkostenvergoedingen</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Beschikbaarheidstoelage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Aan een ambtenaar die bereikbaar en oproepbaar dient te zijn voor de dienst kan de Minister, op voordracht van het Hoofd, een toelage toekennen van één procent (1 %) van zijn bruto maandelijkse bezoldiging voor elke dag dat die ambtenaar bereikbaar en oproepbaar is.</w:t>
      </w:r>
    </w:p>
    <w:p w:rsidR="003C0B2F" w:rsidRPr="003C0B2F" w:rsidRDefault="003C0B2F" w:rsidP="00C66341">
      <w:pPr>
        <w:numPr>
          <w:ilvl w:val="0"/>
          <w:numId w:val="3"/>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Een ambtenaar kan maximaal twee weken per kalendermaand worden aangewezen om bereikbaar en oproepbaar te zijn voor de dienst, tenzij de Minister op voordracht van het Hoofd, in het belang van de dienst, anders bepaalt.</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(Semi-)continudiensttoelage</w:t>
      </w:r>
    </w:p>
    <w:p w:rsidR="003C0B2F" w:rsidRPr="003C0B2F" w:rsidRDefault="003C0B2F" w:rsidP="003C0B2F">
      <w:pPr>
        <w:suppressAutoHyphens/>
        <w:ind w:left="360" w:hanging="360"/>
        <w:jc w:val="both"/>
        <w:rPr>
          <w:rFonts w:ascii="Palatino Linotype" w:hAnsi="Palatino Linotype"/>
          <w:sz w:val="22"/>
          <w:szCs w:val="22"/>
          <w:lang w:val="nl-NL"/>
        </w:rPr>
      </w:pP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Een ambtenaar is voor de toepassing van dit besluit in continudienst werkzaam, indien de ambtenaar ingevolge het voor hem geldende werkrooster regelmatig werkzaamheden verricht in de dag, avond- en nachtdienst.</w:t>
      </w: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Een ambtenaar is voor de toepassing van dit besluit in semi-continudienst werkzaam, indien de ambtenaar ingevolge het voor hem geldende werkrooster regelmatig werkzaamheden verricht in de dag- en avonddienst.</w:t>
      </w: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Een ambtenaar die in continudienst onderscheidenlijk in semi-continudienst werkzaam is, ontvangt de volgende toelage:</w:t>
      </w:r>
    </w:p>
    <w:p w:rsidR="003C0B2F" w:rsidRPr="003C0B2F" w:rsidRDefault="003C0B2F" w:rsidP="00C66341">
      <w:pPr>
        <w:numPr>
          <w:ilvl w:val="0"/>
          <w:numId w:val="5"/>
        </w:numPr>
        <w:suppressAutoHyphens/>
        <w:contextualSpacing/>
        <w:jc w:val="both"/>
        <w:rPr>
          <w:rFonts w:ascii="Palatino Linotype" w:hAnsi="Palatino Linotype"/>
          <w:sz w:val="22"/>
          <w:szCs w:val="22"/>
          <w:lang w:val="nl-NL"/>
        </w:rPr>
      </w:pP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200,00 per maand bij continu dienst;</w:t>
      </w:r>
    </w:p>
    <w:p w:rsidR="003C0B2F" w:rsidRPr="003C0B2F" w:rsidRDefault="003C0B2F" w:rsidP="00C66341">
      <w:pPr>
        <w:numPr>
          <w:ilvl w:val="0"/>
          <w:numId w:val="5"/>
        </w:numPr>
        <w:suppressAutoHyphens/>
        <w:contextualSpacing/>
        <w:jc w:val="both"/>
        <w:rPr>
          <w:rFonts w:ascii="Palatino Linotype" w:hAnsi="Palatino Linotype"/>
          <w:sz w:val="22"/>
          <w:szCs w:val="22"/>
          <w:lang w:val="nl-NL"/>
        </w:rPr>
      </w:pP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150,00 per maand bij semi-continudienst.</w:t>
      </w: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De toelage als bedoeld in het derde lid, wordt aan het einde van de maand tegelijk met de bezoldiging betaalbaar gesteld.</w:t>
      </w: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Indien en voor zolang de ambtenaar, bedoeld in het derde lid, verlof buiten bezwaar heeft of vrijstelling van dienst wegens bijzondere omstandigheden, zonder behoud van zijn volledige bezoldiging dan wel geschorst is of in strijd met zijn verplichtingen nalaat zijn dienst te verrichten, ontvangt hij de in het derde lid genoemde toelage niet.</w:t>
      </w:r>
    </w:p>
    <w:p w:rsidR="003C0B2F" w:rsidRPr="003C0B2F" w:rsidRDefault="003C0B2F" w:rsidP="00C66341">
      <w:pPr>
        <w:numPr>
          <w:ilvl w:val="0"/>
          <w:numId w:val="4"/>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Op het moment dat een ambtenaar als bedoeld in het derde lid, langer dan 12 weken arbeidsongeschikt is, vervalt het recht op de in het derde lid bedoelde toelage.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 xml:space="preserve">Artikel 5 </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Vergoeding kasfunctie</w:t>
      </w:r>
    </w:p>
    <w:p w:rsidR="003C0B2F" w:rsidRPr="003C0B2F" w:rsidRDefault="003C0B2F" w:rsidP="003C0B2F">
      <w:pPr>
        <w:suppressAutoHyphens/>
        <w:jc w:val="both"/>
        <w:rPr>
          <w:rFonts w:ascii="Palatino Linotype" w:hAnsi="Palatino Linotype"/>
          <w:sz w:val="22"/>
          <w:szCs w:val="22"/>
          <w:lang w:val="nl-NL"/>
        </w:rPr>
      </w:pPr>
    </w:p>
    <w:p w:rsidR="00D43A38" w:rsidRDefault="003C0B2F" w:rsidP="00C66341">
      <w:pPr>
        <w:numPr>
          <w:ilvl w:val="0"/>
          <w:numId w:val="6"/>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ambtenaar die is aangesteld als administratief medewerker en die dagelijks is belast met de kasfunctie van de Douane en </w:t>
      </w:r>
      <w:proofErr w:type="spellStart"/>
      <w:r w:rsidRPr="003C0B2F">
        <w:rPr>
          <w:rFonts w:ascii="Palatino Linotype" w:hAnsi="Palatino Linotype"/>
          <w:sz w:val="22"/>
          <w:szCs w:val="22"/>
          <w:lang w:val="nl-NL"/>
        </w:rPr>
        <w:t>aldoende</w:t>
      </w:r>
      <w:proofErr w:type="spellEnd"/>
      <w:r w:rsidRPr="003C0B2F">
        <w:rPr>
          <w:rFonts w:ascii="Palatino Linotype" w:hAnsi="Palatino Linotype"/>
          <w:sz w:val="22"/>
          <w:szCs w:val="22"/>
          <w:lang w:val="nl-NL"/>
        </w:rPr>
        <w:t xml:space="preserve"> rekenplichtig is, ontvangt gedurende de </w:t>
      </w:r>
    </w:p>
    <w:p w:rsidR="003C0B2F" w:rsidRPr="00D43A38" w:rsidRDefault="003C0B2F" w:rsidP="00D43A38">
      <w:pPr>
        <w:suppressAutoHyphens/>
        <w:ind w:left="284"/>
        <w:contextualSpacing/>
        <w:jc w:val="both"/>
        <w:rPr>
          <w:rFonts w:ascii="Palatino Linotype" w:hAnsi="Palatino Linotype"/>
          <w:sz w:val="22"/>
          <w:szCs w:val="22"/>
          <w:lang w:val="nl-NL"/>
        </w:rPr>
      </w:pPr>
      <w:r w:rsidRPr="00D43A38">
        <w:rPr>
          <w:rFonts w:ascii="Palatino Linotype" w:hAnsi="Palatino Linotype"/>
          <w:sz w:val="22"/>
          <w:szCs w:val="22"/>
          <w:lang w:val="nl-NL"/>
        </w:rPr>
        <w:t xml:space="preserve">betreffende periode een vergoeding van </w:t>
      </w:r>
      <w:proofErr w:type="spellStart"/>
      <w:r w:rsidRPr="00D43A38">
        <w:rPr>
          <w:rFonts w:ascii="Palatino Linotype" w:hAnsi="Palatino Linotype"/>
          <w:sz w:val="22"/>
          <w:szCs w:val="22"/>
          <w:lang w:val="nl-NL"/>
        </w:rPr>
        <w:t>Cg</w:t>
      </w:r>
      <w:proofErr w:type="spellEnd"/>
      <w:r w:rsidRPr="00D43A38">
        <w:rPr>
          <w:rFonts w:ascii="Palatino Linotype" w:hAnsi="Palatino Linotype"/>
          <w:sz w:val="22"/>
          <w:szCs w:val="22"/>
          <w:lang w:val="nl-NL"/>
        </w:rPr>
        <w:t xml:space="preserve"> 40,00 per maand.</w:t>
      </w:r>
    </w:p>
    <w:p w:rsidR="003C0B2F" w:rsidRPr="003C0B2F" w:rsidRDefault="003C0B2F" w:rsidP="00C66341">
      <w:pPr>
        <w:numPr>
          <w:ilvl w:val="0"/>
          <w:numId w:val="6"/>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 xml:space="preserve">De overige ambtenaren van de Douane die twintig volle werkdagen de kasfunctie bij de Douane hebben vervuld, ontvangen telkens bij het bereiken van dat aantal een vergoeding van </w:t>
      </w: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40,00.</w:t>
      </w:r>
    </w:p>
    <w:p w:rsidR="003C0B2F" w:rsidRPr="003C0B2F" w:rsidRDefault="003C0B2F" w:rsidP="005F1C45">
      <w:pPr>
        <w:suppressAutoHyphens/>
        <w:spacing w:line="20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 xml:space="preserve">Artikel 6 </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Vergoeding hondenbegeleiding</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7"/>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die is aangesteld als hondengeleider ontvangt de volgende vergoedingen:</w:t>
      </w:r>
    </w:p>
    <w:p w:rsidR="003C0B2F" w:rsidRPr="003C0B2F" w:rsidRDefault="003C0B2F" w:rsidP="00C66341">
      <w:pPr>
        <w:numPr>
          <w:ilvl w:val="0"/>
          <w:numId w:val="8"/>
        </w:numPr>
        <w:suppressAutoHyphens/>
        <w:contextualSpacing/>
        <w:jc w:val="both"/>
        <w:rPr>
          <w:rFonts w:ascii="Palatino Linotype" w:hAnsi="Palatino Linotype"/>
          <w:sz w:val="22"/>
          <w:szCs w:val="22"/>
          <w:lang w:val="nl-NL"/>
        </w:rPr>
      </w:pP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350,00 per maand als onkostenvergoeding voor het houden van de diensthond;</w:t>
      </w:r>
    </w:p>
    <w:p w:rsidR="003C0B2F" w:rsidRPr="003C0B2F" w:rsidRDefault="003C0B2F" w:rsidP="00C66341">
      <w:pPr>
        <w:numPr>
          <w:ilvl w:val="0"/>
          <w:numId w:val="8"/>
        </w:numPr>
        <w:suppressAutoHyphens/>
        <w:contextualSpacing/>
        <w:jc w:val="both"/>
        <w:rPr>
          <w:rFonts w:ascii="Palatino Linotype" w:hAnsi="Palatino Linotype"/>
          <w:sz w:val="22"/>
          <w:szCs w:val="22"/>
          <w:lang w:val="nl-NL"/>
        </w:rPr>
      </w:pP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10,00 per dag voor voeding en verzorging van de diensthond.</w:t>
      </w:r>
    </w:p>
    <w:p w:rsidR="003C0B2F" w:rsidRPr="003C0B2F" w:rsidRDefault="003C0B2F" w:rsidP="00C66341">
      <w:pPr>
        <w:numPr>
          <w:ilvl w:val="0"/>
          <w:numId w:val="7"/>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krijgt een hondenkennel ter beschikking die uitsluitend bestemd is voor de</w:t>
      </w:r>
    </w:p>
    <w:p w:rsidR="003C0B2F" w:rsidRPr="003C0B2F" w:rsidRDefault="003C0B2F" w:rsidP="003C0B2F">
      <w:pPr>
        <w:suppressAutoHyphens/>
        <w:ind w:firstLine="360"/>
        <w:jc w:val="both"/>
        <w:rPr>
          <w:rFonts w:ascii="Palatino Linotype" w:hAnsi="Palatino Linotype"/>
          <w:sz w:val="22"/>
          <w:szCs w:val="22"/>
          <w:lang w:val="nl-NL"/>
        </w:rPr>
      </w:pPr>
      <w:r w:rsidRPr="003C0B2F">
        <w:rPr>
          <w:rFonts w:ascii="Palatino Linotype" w:hAnsi="Palatino Linotype"/>
          <w:sz w:val="22"/>
          <w:szCs w:val="22"/>
          <w:lang w:val="nl-NL"/>
        </w:rPr>
        <w:t>diensthond.</w:t>
      </w:r>
    </w:p>
    <w:p w:rsidR="003C0B2F" w:rsidRPr="003C0B2F" w:rsidRDefault="003C0B2F" w:rsidP="00C66341">
      <w:pPr>
        <w:numPr>
          <w:ilvl w:val="0"/>
          <w:numId w:val="7"/>
        </w:numPr>
        <w:suppressAutoHyphens/>
        <w:ind w:left="284" w:hanging="284"/>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krijgt een voertuig ter beschikking dat uitsluitend mag worden gebruikt voor het vervoer van de diensthond.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7</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Vergoeding teerkosten en “</w:t>
      </w:r>
      <w:proofErr w:type="spellStart"/>
      <w:r w:rsidRPr="003C0B2F">
        <w:rPr>
          <w:rFonts w:ascii="Palatino Linotype" w:hAnsi="Palatino Linotype"/>
          <w:sz w:val="22"/>
          <w:szCs w:val="22"/>
          <w:lang w:val="nl-NL"/>
        </w:rPr>
        <w:t>dark</w:t>
      </w:r>
      <w:proofErr w:type="spellEnd"/>
      <w:r w:rsidRPr="003C0B2F">
        <w:rPr>
          <w:rFonts w:ascii="Palatino Linotype" w:hAnsi="Palatino Linotype"/>
          <w:sz w:val="22"/>
          <w:szCs w:val="22"/>
          <w:lang w:val="nl-NL"/>
        </w:rPr>
        <w:t xml:space="preserve"> </w:t>
      </w:r>
      <w:proofErr w:type="spellStart"/>
      <w:r w:rsidRPr="003C0B2F">
        <w:rPr>
          <w:rFonts w:ascii="Palatino Linotype" w:hAnsi="Palatino Linotype"/>
          <w:sz w:val="22"/>
          <w:szCs w:val="22"/>
          <w:lang w:val="nl-NL"/>
        </w:rPr>
        <w:t>hours</w:t>
      </w:r>
      <w:proofErr w:type="spellEnd"/>
      <w:r w:rsidRPr="003C0B2F">
        <w:rPr>
          <w:rFonts w:ascii="Palatino Linotype" w:hAnsi="Palatino Linotype"/>
          <w:sz w:val="22"/>
          <w:szCs w:val="22"/>
          <w:lang w:val="nl-NL"/>
        </w:rPr>
        <w:t>” toelage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aan wie een dienstverrichting wordt opgedragen, zonder dat hij van tevoren in de gelegenheid was om voor die dienstverrichting de benodigde voeding mee te nemen, heeft recht op teerkosten, tenzij gedurende die dienstverrichting kosteloos een maaltijd wordt verstrekt of hij in de gelegenheid wordt gesteld om de maaltijd thuis te nuttigen.</w:t>
      </w:r>
    </w:p>
    <w:p w:rsidR="003C0B2F" w:rsidRPr="003C0B2F" w:rsidRDefault="003C0B2F" w:rsidP="00C66341">
      <w:pPr>
        <w:numPr>
          <w:ilvl w:val="0"/>
          <w:numId w:val="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teerkosten bedoeld in het eerste lid, bedragen:</w:t>
      </w:r>
    </w:p>
    <w:p w:rsidR="003C0B2F" w:rsidRPr="003C0B2F" w:rsidRDefault="003C0B2F" w:rsidP="00C66341">
      <w:pPr>
        <w:numPr>
          <w:ilvl w:val="0"/>
          <w:numId w:val="10"/>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indien de ambtenaar na zijn normale dienst, tussen 22:00 en 6:00, dient over te werken en niet kosteloos een maaltijd wordt verstrekt dan wel in de gelegenheid wordt gesteld om thuis zijn maaltijd te nuttigen: </w:t>
      </w: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10,35;</w:t>
      </w:r>
    </w:p>
    <w:p w:rsidR="003C0B2F" w:rsidRPr="003C0B2F" w:rsidRDefault="003C0B2F" w:rsidP="00C66341">
      <w:pPr>
        <w:numPr>
          <w:ilvl w:val="0"/>
          <w:numId w:val="10"/>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indien de ambtenaar na zijn normale dienst, tussen 6:00 en 22:00, dient over te werken en niet kosteloos een maaltijd wordt verstrekt dan wel niet in de gelegenheid wordt gesteld om thuis zijn maaltijd te nuttigen: </w:t>
      </w: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20,75.</w:t>
      </w:r>
    </w:p>
    <w:p w:rsidR="003C0B2F" w:rsidRPr="003C0B2F" w:rsidRDefault="003C0B2F" w:rsidP="00C66341">
      <w:pPr>
        <w:numPr>
          <w:ilvl w:val="0"/>
          <w:numId w:val="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ambtenaar die, anders dan bij wijze van overwerk als bedoeld in artikel 27 van de Landsverordening, dienst verricht tussen 18.00 uur en 06.00 uur ontvangt voor elk door hem binnen de genoemde tijd gewerkt vol uur een toelage van </w:t>
      </w: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0,40. Het bedrag van deze toelage kan door de Minister van Algemene Zaken bij regeling worden gewijzigd, indien een voor ambtenaren algemeen geldende wijziging in de bezoldiging daartoe aanleiding geeft.</w:t>
      </w:r>
    </w:p>
    <w:p w:rsidR="003C0B2F" w:rsidRPr="003C0B2F" w:rsidRDefault="003C0B2F" w:rsidP="00C66341">
      <w:pPr>
        <w:numPr>
          <w:ilvl w:val="0"/>
          <w:numId w:val="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Een gewerkte tijd van vijftien minuten of meer, doch korter dan één uur, wordt voor de toepassing van het voorgaande lid als een vol uur aangemerkt.</w:t>
      </w:r>
    </w:p>
    <w:p w:rsidR="003C0B2F" w:rsidRPr="003C0B2F" w:rsidRDefault="003C0B2F" w:rsidP="00C66341">
      <w:pPr>
        <w:numPr>
          <w:ilvl w:val="0"/>
          <w:numId w:val="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 afwijking van het derde lid ontvangt de ambtenaar, die ingevolge het voor hen geldende werkrooster avond- of nachtdienst, dienst op zon- en feestdagen of een combinatie van deze vormen van dienst moet verrichten en die niet in het genot is van enige andere ingevolge een wettelijke regeling aan hem toegekende compensatie daarvoor, de in dat lid bedoelde toelage ook in geval van overwerk, verricht tussen 18.00 uur en 6.00 uur.</w:t>
      </w:r>
    </w:p>
    <w:p w:rsidR="003C0B2F" w:rsidRPr="003C0B2F" w:rsidRDefault="003C0B2F" w:rsidP="005F1C45">
      <w:pPr>
        <w:suppressAutoHyphens/>
        <w:spacing w:line="22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8</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Kledingvergoeding</w:t>
      </w:r>
    </w:p>
    <w:p w:rsidR="003C0B2F" w:rsidRPr="003C0B2F" w:rsidRDefault="003C0B2F" w:rsidP="005F1C45">
      <w:pPr>
        <w:suppressAutoHyphens/>
        <w:spacing w:line="220" w:lineRule="exact"/>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 xml:space="preserve">Aan de ambtenaar kan, indien het voor de dienst noodzakelijk is dat eigen kleding wordt gebruikt, door de Minister een kledingvergoeding worden toegekend van </w:t>
      </w:r>
      <w:proofErr w:type="spellStart"/>
      <w:r w:rsidRPr="003C0B2F">
        <w:rPr>
          <w:rFonts w:ascii="Palatino Linotype" w:hAnsi="Palatino Linotype"/>
          <w:sz w:val="22"/>
          <w:szCs w:val="22"/>
          <w:lang w:val="nl-NL"/>
        </w:rPr>
        <w:t>Cg</w:t>
      </w:r>
      <w:proofErr w:type="spellEnd"/>
      <w:r w:rsidRPr="003C0B2F">
        <w:rPr>
          <w:rFonts w:ascii="Palatino Linotype" w:hAnsi="Palatino Linotype"/>
          <w:sz w:val="22"/>
          <w:szCs w:val="22"/>
          <w:lang w:val="nl-NL"/>
        </w:rPr>
        <w:t xml:space="preserve"> 45,00 per maand.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IV</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Aanstelling, opleiding, bevordering en bezoldigingsschalen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Afdeling 1</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Algemeen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9</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C66341">
      <w:pPr>
        <w:numPr>
          <w:ilvl w:val="0"/>
          <w:numId w:val="11"/>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Aanstelling geschiedt in tijdelijke of in vaste dienst.</w:t>
      </w:r>
    </w:p>
    <w:p w:rsidR="003C0B2F" w:rsidRPr="003C0B2F" w:rsidRDefault="003C0B2F" w:rsidP="00C66341">
      <w:pPr>
        <w:numPr>
          <w:ilvl w:val="0"/>
          <w:numId w:val="11"/>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Aan de aanstelling in vaste dienst gaat in de regel een aanstelling in tijdelijke dienst vooraf.</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10</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1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Voor de aanstelling als ambtenaar komt in aanmerking degene die:</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van goed zedelijk gedrag is, hetgeen dient te blijken uit een verklaring, afgegeven door de daartoe bevoegde instantie;</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Nederlander is;</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tenminste de leeftijd van 18 jaar heeft bereikt;</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voldoet aan de door de Minister gestelde eisen met betrekking tot het opleidingsniveau en de overigens gestelde eisen die specifiek gerelateerd zijn aan een functie bij de Douane;</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op grond van de uitslag van een geneeskundig onderzoek, ingesteld door één of meer door het bevoegde gezag aangewezen geneeskundigen, geschikt is verklaard voor de vervulling van de functie;</w:t>
      </w:r>
    </w:p>
    <w:p w:rsidR="003C0B2F" w:rsidRPr="003C0B2F" w:rsidRDefault="003C0B2F" w:rsidP="00C66341">
      <w:pPr>
        <w:numPr>
          <w:ilvl w:val="0"/>
          <w:numId w:val="1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op grond van een veiligheids- of antecedentenonderzoek niet ongeschikt is verklaard voor de vervulling van de functie.</w:t>
      </w:r>
    </w:p>
    <w:p w:rsidR="003C0B2F" w:rsidRPr="003C0B2F" w:rsidRDefault="003C0B2F" w:rsidP="00C66341">
      <w:pPr>
        <w:numPr>
          <w:ilvl w:val="0"/>
          <w:numId w:val="1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Teneinde vast te stellen of de persoon, bedoeld in de aanhef van het eerste lid, in voldoende mate geschikt en bekwaam is voor de vervulling van de functie, kan het bevoegde gezag de gegevens die door deze persoon desgevraagd zijn verstrekt, verifiëren en zo nodig aanvullende informatie opvragen.</w:t>
      </w:r>
    </w:p>
    <w:p w:rsidR="003C0B2F" w:rsidRPr="003C0B2F" w:rsidRDefault="003C0B2F" w:rsidP="00C66341">
      <w:pPr>
        <w:numPr>
          <w:ilvl w:val="0"/>
          <w:numId w:val="1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kan bij zijn eerste aanstelling dan wel bij de aanstelling in een andere functie een test worden afgenomen waarmee wordt onderzocht of hij verdovende middelen, als bedoeld in de ter zake geldende wettelijke regelingen, gebruikt.</w:t>
      </w:r>
    </w:p>
    <w:p w:rsidR="003C0B2F" w:rsidRPr="003C0B2F" w:rsidRDefault="003C0B2F" w:rsidP="00C66341">
      <w:pPr>
        <w:numPr>
          <w:ilvl w:val="0"/>
          <w:numId w:val="1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Minister kan op verzoek van het Hoofd bij alle ambtenaren periodiek een test, zoals bedoeld in het derde lid, laten afnemen. </w:t>
      </w:r>
    </w:p>
    <w:p w:rsidR="003C0B2F" w:rsidRPr="003C0B2F" w:rsidRDefault="003C0B2F" w:rsidP="00C66341">
      <w:pPr>
        <w:numPr>
          <w:ilvl w:val="0"/>
          <w:numId w:val="1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er bijzondere aanwijzingen zijn dat een ambtenaar verdovende middelen, als bedoeld in de ter zake geldende wettelijke regelingen, gebruikt, kan de Minister op verzoek van het Hoofd bij hem een test, als bedoelde in het derde lid, laten afnemen.</w:t>
      </w:r>
    </w:p>
    <w:p w:rsidR="00D43A38" w:rsidRPr="005F1C45" w:rsidRDefault="003C0B2F" w:rsidP="005F1C45">
      <w:pPr>
        <w:numPr>
          <w:ilvl w:val="0"/>
          <w:numId w:val="12"/>
        </w:numPr>
        <w:suppressAutoHyphens/>
        <w:ind w:left="360"/>
        <w:contextualSpacing/>
        <w:jc w:val="both"/>
        <w:rPr>
          <w:rFonts w:ascii="Palatino Linotype" w:hAnsi="Palatino Linotype"/>
          <w:sz w:val="22"/>
          <w:szCs w:val="22"/>
          <w:lang w:val="nl-NL"/>
        </w:rPr>
      </w:pPr>
      <w:r w:rsidRPr="005F1C45">
        <w:rPr>
          <w:rFonts w:ascii="Palatino Linotype" w:hAnsi="Palatino Linotype"/>
          <w:sz w:val="22"/>
          <w:szCs w:val="22"/>
          <w:lang w:val="nl-NL"/>
        </w:rPr>
        <w:t>Ter bescherming van de privacy van de ambtenaren, worden ter zake de test, bedoeld in het derde, vierde en vijfde lid, bij ministeriële regeling met algemene werking regels gesteld met betrekking tot:</w:t>
      </w:r>
    </w:p>
    <w:p w:rsidR="003C0B2F" w:rsidRPr="003C0B2F" w:rsidRDefault="003C0B2F" w:rsidP="00C66341">
      <w:pPr>
        <w:numPr>
          <w:ilvl w:val="0"/>
          <w:numId w:val="14"/>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degene die de test afneemt;</w:t>
      </w:r>
    </w:p>
    <w:p w:rsidR="003C0B2F" w:rsidRPr="003C0B2F" w:rsidRDefault="003C0B2F" w:rsidP="00C66341">
      <w:pPr>
        <w:numPr>
          <w:ilvl w:val="0"/>
          <w:numId w:val="14"/>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de wijze waarop de test wordt afgenomen;</w:t>
      </w:r>
    </w:p>
    <w:p w:rsidR="003C0B2F" w:rsidRPr="003C0B2F" w:rsidRDefault="003C0B2F" w:rsidP="00C66341">
      <w:pPr>
        <w:numPr>
          <w:ilvl w:val="0"/>
          <w:numId w:val="14"/>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de verkregen resultaten.</w:t>
      </w:r>
    </w:p>
    <w:p w:rsidR="003C0B2F" w:rsidRPr="003C0B2F" w:rsidRDefault="003C0B2F" w:rsidP="003C0B2F">
      <w:pPr>
        <w:suppressAutoHyphens/>
        <w:jc w:val="both"/>
        <w:rPr>
          <w:rFonts w:ascii="Palatino Linotype" w:hAnsi="Palatino Linotype"/>
          <w:sz w:val="22"/>
          <w:szCs w:val="22"/>
          <w:lang w:val="nl-NL"/>
        </w:rPr>
      </w:pPr>
    </w:p>
    <w:p w:rsidR="005F1C45" w:rsidRDefault="005F1C45" w:rsidP="003C0B2F">
      <w:pPr>
        <w:suppressAutoHyphens/>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lastRenderedPageBreak/>
        <w:t>Artikel 11</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15"/>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Een veiligheids- of antecedentenonderzoek als bedoeld in artikel 10, eerste lid, onder f, wordt eerst ingesteld nadat aan de overige vereisten voor een aanstelling als ambtenaar is voldaan.</w:t>
      </w:r>
    </w:p>
    <w:p w:rsidR="003C0B2F" w:rsidRPr="003C0B2F" w:rsidRDefault="003C0B2F" w:rsidP="00C66341">
      <w:pPr>
        <w:numPr>
          <w:ilvl w:val="0"/>
          <w:numId w:val="15"/>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naar het oordeel van de Minister de aard van de functie of van de werkzaamheden hiertoe aanleiding geeft, kan ten aanzien van de ambtenaar in de volgende gevallen opnieuw een veiligheids- of antecedentenonderzoek worden uitgevoerd:</w:t>
      </w:r>
    </w:p>
    <w:p w:rsidR="003C0B2F" w:rsidRPr="003C0B2F" w:rsidRDefault="003C0B2F" w:rsidP="00C66341">
      <w:pPr>
        <w:numPr>
          <w:ilvl w:val="0"/>
          <w:numId w:val="16"/>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bij wijziging van werkzaamheden,</w:t>
      </w:r>
    </w:p>
    <w:p w:rsidR="003C0B2F" w:rsidRPr="003C0B2F" w:rsidRDefault="003C0B2F" w:rsidP="00C66341">
      <w:pPr>
        <w:numPr>
          <w:ilvl w:val="0"/>
          <w:numId w:val="16"/>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bij aanstelling in een andere functie, of</w:t>
      </w:r>
    </w:p>
    <w:p w:rsidR="003C0B2F" w:rsidRPr="003C0B2F" w:rsidRDefault="003C0B2F" w:rsidP="00C66341">
      <w:pPr>
        <w:numPr>
          <w:ilvl w:val="0"/>
          <w:numId w:val="16"/>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bij een redelijk vermoeden van ernstig plichtsverzuim dat de integriteit of de verantwoordelijkheid van de betrokkene raakt.</w:t>
      </w:r>
    </w:p>
    <w:p w:rsidR="003C0B2F" w:rsidRPr="003C0B2F" w:rsidRDefault="003C0B2F" w:rsidP="00C66341">
      <w:pPr>
        <w:numPr>
          <w:ilvl w:val="0"/>
          <w:numId w:val="15"/>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Een veiligheids- of antecedentenonderzoek als bedoeld in artikel 10, eerste lid, onder f, behoeft niet te worden verricht, indien het bevoegde gezag heeft bepaald dat voor de functie of werkzaamheden slechts een verklaring als bedoeld in artikel 10, eerste lid, onder a, is vereist.</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12</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Minister kan nadere regels vaststellen ter uitvoering van het veiligheids- of antecedentenonderzoek. Deze nadere regels bevatten in ieder geval waarborgen omtrent een voldoende bescherming van de persoonlijke levenssfeer van betrokkene.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Afdeling 2</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De functies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§1 Aspirant- en hulpcommies en onbezoldigd hulpcommies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13</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Aspirant- en hulpcommies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1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Diegene die de opleiding tot commies volgt, wordt voor de duur van die opleiding in tijdelijke dienst aangesteld als aspirant-commies.</w:t>
      </w:r>
    </w:p>
    <w:p w:rsidR="003C0B2F" w:rsidRPr="003C0B2F" w:rsidRDefault="003C0B2F" w:rsidP="00C66341">
      <w:pPr>
        <w:numPr>
          <w:ilvl w:val="0"/>
          <w:numId w:val="1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 het belang van de dienst kan eveneens een aanstelling in tijdelijke dienst plaatsvinden als hulpcommies op basis van een overeenkomst naar burgerlijk recht zonder dat wordt deelgenomen aan de opleiding tot commies. Deze aanstelling geschiedt voor een periode van één jaar, welke periode ten hoogste tweemaal kan worden verlengd met één jaar.</w:t>
      </w:r>
    </w:p>
    <w:p w:rsidR="003C0B2F" w:rsidRPr="003C0B2F" w:rsidRDefault="003C0B2F" w:rsidP="00C66341">
      <w:pPr>
        <w:numPr>
          <w:ilvl w:val="0"/>
          <w:numId w:val="1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 van de aspirant- en hulpcommies wordt vastgesteld aan de hand van bezoldigingsschaal 4A.</w:t>
      </w:r>
    </w:p>
    <w:p w:rsidR="003C0B2F" w:rsidRPr="003C0B2F" w:rsidRDefault="003C0B2F" w:rsidP="00C66341">
      <w:pPr>
        <w:numPr>
          <w:ilvl w:val="0"/>
          <w:numId w:val="1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 het belang van de dienst kan eenieder door het Hoofd als onbezoldigd hulpcommies worden aangesteld. De aanstelling van de hulpcommies in onbezoldigde dienst geschiedt steeds voor één periode van één jaar.</w:t>
      </w:r>
    </w:p>
    <w:p w:rsidR="003C0B2F" w:rsidRPr="00222411" w:rsidRDefault="003C0B2F" w:rsidP="003F0472">
      <w:pPr>
        <w:numPr>
          <w:ilvl w:val="0"/>
          <w:numId w:val="17"/>
        </w:numPr>
        <w:suppressAutoHyphens/>
        <w:ind w:left="360"/>
        <w:contextualSpacing/>
        <w:jc w:val="both"/>
        <w:rPr>
          <w:rFonts w:ascii="Palatino Linotype" w:hAnsi="Palatino Linotype"/>
          <w:sz w:val="22"/>
          <w:szCs w:val="22"/>
          <w:lang w:val="nl-NL"/>
        </w:rPr>
      </w:pPr>
      <w:r w:rsidRPr="00222411">
        <w:rPr>
          <w:rFonts w:ascii="Palatino Linotype" w:hAnsi="Palatino Linotype"/>
          <w:sz w:val="22"/>
          <w:szCs w:val="22"/>
          <w:lang w:val="nl-NL"/>
        </w:rPr>
        <w:t>De onbezoldigd hulpcommies dient voor de uitoefening van zijn bevoegdheden in het</w:t>
      </w:r>
      <w:r w:rsidR="00222411">
        <w:rPr>
          <w:rFonts w:ascii="Palatino Linotype" w:hAnsi="Palatino Linotype"/>
          <w:sz w:val="22"/>
          <w:szCs w:val="22"/>
          <w:lang w:val="nl-NL"/>
        </w:rPr>
        <w:t xml:space="preserve"> </w:t>
      </w:r>
      <w:r w:rsidRPr="00222411">
        <w:rPr>
          <w:rFonts w:ascii="Palatino Linotype" w:hAnsi="Palatino Linotype"/>
          <w:sz w:val="22"/>
          <w:szCs w:val="22"/>
          <w:lang w:val="nl-NL"/>
        </w:rPr>
        <w:t>kader van de douanewetgeving alle regels en instructies te volgen die van toepassing zijn op een hulpcommies die een bezoldiging ontvangt.</w:t>
      </w:r>
    </w:p>
    <w:p w:rsidR="003C0B2F" w:rsidRPr="003C0B2F" w:rsidRDefault="003C0B2F" w:rsidP="003C0B2F">
      <w:pPr>
        <w:suppressAutoHyphens/>
        <w:rPr>
          <w:rFonts w:ascii="Palatino Linotype" w:hAnsi="Palatino Linotype"/>
          <w:sz w:val="22"/>
          <w:szCs w:val="22"/>
          <w:lang w:val="nl-NL"/>
        </w:rPr>
      </w:pPr>
    </w:p>
    <w:p w:rsidR="005F1C45" w:rsidRDefault="005F1C45" w:rsidP="003C0B2F">
      <w:pPr>
        <w:suppressAutoHyphens/>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lastRenderedPageBreak/>
        <w:t>§ 2 Groepsfunctie</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14</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Groepsfunctie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18"/>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Bij de Douane gelden de volgende groepsfuncties;</w:t>
      </w:r>
    </w:p>
    <w:p w:rsidR="003C0B2F" w:rsidRPr="003C0B2F" w:rsidRDefault="003C0B2F" w:rsidP="00C66341">
      <w:pPr>
        <w:numPr>
          <w:ilvl w:val="0"/>
          <w:numId w:val="19"/>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commies;</w:t>
      </w:r>
    </w:p>
    <w:p w:rsidR="003C0B2F" w:rsidRPr="003C0B2F" w:rsidRDefault="003C0B2F" w:rsidP="00C66341">
      <w:pPr>
        <w:numPr>
          <w:ilvl w:val="0"/>
          <w:numId w:val="19"/>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hoofdcommies;</w:t>
      </w:r>
    </w:p>
    <w:p w:rsidR="003C0B2F" w:rsidRPr="003C0B2F" w:rsidRDefault="003C0B2F" w:rsidP="00C66341">
      <w:pPr>
        <w:numPr>
          <w:ilvl w:val="0"/>
          <w:numId w:val="19"/>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verificateur.</w:t>
      </w:r>
    </w:p>
    <w:p w:rsidR="003C0B2F" w:rsidRPr="003C0B2F" w:rsidRDefault="003C0B2F" w:rsidP="00C66341">
      <w:pPr>
        <w:numPr>
          <w:ilvl w:val="0"/>
          <w:numId w:val="18"/>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Aan de functies genoemd in het eerste lid zijn de volgende bezoldigingsschalen verbonden:</w:t>
      </w:r>
    </w:p>
    <w:p w:rsidR="003C0B2F" w:rsidRPr="003C0B2F" w:rsidRDefault="003C0B2F" w:rsidP="00C66341">
      <w:pPr>
        <w:numPr>
          <w:ilvl w:val="0"/>
          <w:numId w:val="20"/>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commies: bezoldigingsschaal 6;</w:t>
      </w:r>
    </w:p>
    <w:p w:rsidR="003C0B2F" w:rsidRPr="003C0B2F" w:rsidRDefault="003C0B2F" w:rsidP="00C66341">
      <w:pPr>
        <w:numPr>
          <w:ilvl w:val="0"/>
          <w:numId w:val="20"/>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hoofdcommies: bezoldigingsschaal 8;</w:t>
      </w:r>
    </w:p>
    <w:p w:rsidR="003C0B2F" w:rsidRPr="003C0B2F" w:rsidRDefault="003C0B2F" w:rsidP="00C66341">
      <w:pPr>
        <w:numPr>
          <w:ilvl w:val="0"/>
          <w:numId w:val="20"/>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verificateur: bezoldigingsschaal 10.</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15</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Commies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2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Degene die de opleiding tot commies met goed gevolg heeft afgerond, wordt ingaande de eerste dag van de maand volgend op die waarin hij de opleiding met goed gevolg heeft afgerond in vaste dienst in de groepsfunctie van commies aangesteld. Zonder die afgeronde opleiding is een aanstelling in de groepsfunctie van commies niet mogelijk.</w:t>
      </w:r>
    </w:p>
    <w:p w:rsidR="003C0B2F" w:rsidRPr="003C0B2F" w:rsidRDefault="003C0B2F" w:rsidP="00C66341">
      <w:pPr>
        <w:numPr>
          <w:ilvl w:val="0"/>
          <w:numId w:val="2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commies, wordt in afwijking van artikel 3, eerste lid, van het Bezoldigingslandsbesluit 1998 met ingang van diens aanstelling tot aan het moment waarop het bevoegd gezag voor de derde keer jaarlijks in het kader van een formele beoordeling als bedoeld in artikel 15, eerste lid, van de Landsverordening oordeelt dat hij zijn functie naar behoren dan wel zeer goed of uitstekend heeft vervuld, bepaald op één volgnummer beneden de aan de functie van commies verbonden bezoldigingsschaal. Artikel 3, tweede lid, van het Bezoldigingslandsbesluit 1998 is niet van toepassing.</w:t>
      </w:r>
    </w:p>
    <w:p w:rsidR="003C0B2F" w:rsidRPr="003C0B2F" w:rsidRDefault="003C0B2F" w:rsidP="00C66341">
      <w:pPr>
        <w:numPr>
          <w:ilvl w:val="0"/>
          <w:numId w:val="2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commies die de aan deze functie verbonden bezoldigingsschaal ontvangt, kan door zijn teamleider in aanmerking worden gebracht voor de bij de functie van commies behorende taakverzwaring, nadat het bevoegd gezag voor de vijfde keer jaarlijks in het kader van een formele beoordeling als bedoeld in artikel 15, eerste lid, van de Landsverordening oordeelt dat hij zijn functie naar behoren dan wel zeer goed of uitstekend heeft vervuld. </w:t>
      </w:r>
    </w:p>
    <w:p w:rsidR="003C0B2F" w:rsidRPr="003C0B2F" w:rsidRDefault="003C0B2F" w:rsidP="00C66341">
      <w:pPr>
        <w:numPr>
          <w:ilvl w:val="0"/>
          <w:numId w:val="2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commies die de taakverzwaring vervult, wordt in afwijking van artikel 3, eerste lid, van het Bezoldigingslandsbesluit 1998 met één volgnummer verhoogd.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16</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Hoofdcommies</w:t>
      </w:r>
    </w:p>
    <w:p w:rsidR="003C0B2F" w:rsidRPr="003C0B2F" w:rsidRDefault="003C0B2F" w:rsidP="003C0B2F">
      <w:pPr>
        <w:suppressAutoHyphens/>
        <w:jc w:val="both"/>
        <w:rPr>
          <w:rFonts w:ascii="Palatino Linotype" w:hAnsi="Palatino Linotype"/>
          <w:sz w:val="22"/>
          <w:szCs w:val="22"/>
          <w:lang w:val="nl-NL"/>
        </w:rPr>
      </w:pPr>
    </w:p>
    <w:p w:rsidR="003C0B2F" w:rsidRPr="005F1C45" w:rsidRDefault="003C0B2F" w:rsidP="004018C5">
      <w:pPr>
        <w:numPr>
          <w:ilvl w:val="0"/>
          <w:numId w:val="22"/>
        </w:numPr>
        <w:suppressAutoHyphens/>
        <w:ind w:left="360"/>
        <w:contextualSpacing/>
        <w:jc w:val="both"/>
        <w:rPr>
          <w:rFonts w:ascii="Palatino Linotype" w:hAnsi="Palatino Linotype"/>
          <w:sz w:val="22"/>
          <w:szCs w:val="22"/>
          <w:lang w:val="nl-NL"/>
        </w:rPr>
      </w:pPr>
      <w:r w:rsidRPr="005F1C45">
        <w:rPr>
          <w:rFonts w:ascii="Palatino Linotype" w:hAnsi="Palatino Linotype"/>
          <w:sz w:val="22"/>
          <w:szCs w:val="22"/>
          <w:lang w:val="nl-NL"/>
        </w:rPr>
        <w:t>Degene die de opleiding tot hoofdcommies met goed gevolg heeft afgerond, wordt ingaande de eerste dag van de maand volgend op die waarin hij de opleiding met goed</w:t>
      </w:r>
      <w:r w:rsidR="005F1C45">
        <w:rPr>
          <w:rFonts w:ascii="Palatino Linotype" w:hAnsi="Palatino Linotype"/>
          <w:sz w:val="22"/>
          <w:szCs w:val="22"/>
          <w:lang w:val="nl-NL"/>
        </w:rPr>
        <w:t xml:space="preserve"> </w:t>
      </w:r>
      <w:r w:rsidRPr="005F1C45">
        <w:rPr>
          <w:rFonts w:ascii="Palatino Linotype" w:hAnsi="Palatino Linotype"/>
          <w:sz w:val="22"/>
          <w:szCs w:val="22"/>
          <w:lang w:val="nl-NL"/>
        </w:rPr>
        <w:t>gevolg heeft afgerond, aangesteld in de groepsfunctie van hoofdcommies. Zonder die afgeronde opleiding is een aanstelling in de groepsfunctie van hoofdcommies niet mogelijk.</w:t>
      </w:r>
    </w:p>
    <w:p w:rsidR="005F1C45" w:rsidRDefault="005F1C45">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C66341">
      <w:pPr>
        <w:numPr>
          <w:ilvl w:val="0"/>
          <w:numId w:val="2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De bezoldigingsschaal van de hoofdcommies, wordt in afwijking van artikel 3, eerste lid, van het Bezoldigingslandsbesluit 1998 met ingang van diens aanstelling tot aan het moment waarop het bevoegde gezag voor de derde keer jaarlijks in het kader van een formele beoordeling als bedoeld in artikel 15, eerste lid, van de Landsverordening oordeelt dat hij zijn functie naar behoren dan wel zeer goed of uitstekend heeft vervuld, bepaald op één volgnummer beneden de aan de functie van hoofdcommies verbonden bezoldigingsschaal. Artikel 3, tweede lid, van het Bezoldigingslandsbesluit 1998 is niet van toepassing.</w:t>
      </w:r>
    </w:p>
    <w:p w:rsidR="003C0B2F" w:rsidRPr="003C0B2F" w:rsidRDefault="003C0B2F" w:rsidP="00C66341">
      <w:pPr>
        <w:numPr>
          <w:ilvl w:val="0"/>
          <w:numId w:val="2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hoofdcommies die de aan deze functie verbonden bezoldigingsschaal ontvangt, kan door zijn teamleider in aanmerking worden gebracht voor de bij de functie van hoofdcommies behorende taakverzwaring, nadat het bevoegd gezag voor de vijfde keer jaarlijks in het kader van een formele beoordeling als bedoeld in artikel 15, eerste lid, van de Landsverordening oordeelt dat hij zijn functie naar behoren dan wel zeer goed of uitstekend heeft vervuld.</w:t>
      </w:r>
    </w:p>
    <w:p w:rsidR="003C0B2F" w:rsidRPr="003C0B2F" w:rsidRDefault="003C0B2F" w:rsidP="00C66341">
      <w:pPr>
        <w:numPr>
          <w:ilvl w:val="0"/>
          <w:numId w:val="2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hoofdcommies die de taakverzwaring vervult, wordt in afwijking van artikel 3, eerste lid, van het Bezoldigingslandsbesluit 1998 met één volgnummer verhoogd.</w:t>
      </w:r>
    </w:p>
    <w:p w:rsidR="003C0B2F" w:rsidRPr="003C0B2F" w:rsidRDefault="003C0B2F" w:rsidP="00C66341">
      <w:pPr>
        <w:numPr>
          <w:ilvl w:val="0"/>
          <w:numId w:val="2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een commies met een bezoldigingsschaal van één volgnummer hoger dan de aan de functie van commies verbonden bezoldigingsschaal wordt aangesteld in de functie van hoofdcommies worden bij de toepassing van het tweede lid de jaarlijkse beoordelingen in de functie van commies met een bezoldigingsschaal van één volgnummer hoger dan de aan de functie van commies verbonden bezoldigingsschaal meegenomen.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17</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Verificateur</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2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Degene die de opleiding tot verificateur met goed gevolg heeft afgerond, wordt met ingang van de eerste dag van de maand volgend op die waarin hij de opleiding met goed gevolg heeft afgerond, aangesteld in de groepsfunctie van verificateur. Zonder die afgeronde opleiding is een aanstelling in de groepsfunctie van verificateur niet mogelijk.</w:t>
      </w:r>
    </w:p>
    <w:p w:rsidR="003C0B2F" w:rsidRPr="003C0B2F" w:rsidRDefault="003C0B2F" w:rsidP="00C66341">
      <w:pPr>
        <w:numPr>
          <w:ilvl w:val="0"/>
          <w:numId w:val="2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verificateur, wordt in afwijking van artikel 3, eerste lid, van het Bezoldigingslandsbesluit 1998 met ingang van diens aanstelling tot aan het moment waarop het bevoegd gezag voor de derde keer jaarlijks in het kader van een formele beoordeling als bedoeld in artikel 15, eerste lid, van de Landsverordening, oordeelt dat hij zijn functie naar behoren dan wel zeer goed of uitstekend heeft vervuld, bepaald op één volgnummer beneden de aan de functie van commies verbonden bezoldigingsschaal. Artikel 3, tweede lid, van het Bezoldigingslandsbesluit 1998 is niet van toepassing.</w:t>
      </w:r>
    </w:p>
    <w:p w:rsidR="003C0B2F" w:rsidRPr="003C0B2F" w:rsidRDefault="003C0B2F" w:rsidP="00C66341">
      <w:pPr>
        <w:numPr>
          <w:ilvl w:val="0"/>
          <w:numId w:val="2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verificateur die de aan deze functie verbonden bezoldigingsschaal ontvangt, kan door zijn teamleider in aanmerking worden gebracht voor de bij de functie van verificateur behorende taakverzwaring, nadat het bevoegd gezag voor de vijfde keer jaarlijks in het kader van een formele beoordeling als bedoeld in artikel 15, eerste lid, van de Landsverordening oordeelt dat hij zijn functie naar behoren dan wel zeer goed of uitstekend heeft vervuld.</w:t>
      </w:r>
    </w:p>
    <w:p w:rsidR="003C0B2F" w:rsidRPr="005F1C45" w:rsidRDefault="003C0B2F" w:rsidP="00CF0438">
      <w:pPr>
        <w:numPr>
          <w:ilvl w:val="0"/>
          <w:numId w:val="23"/>
        </w:numPr>
        <w:suppressAutoHyphens/>
        <w:ind w:left="360"/>
        <w:contextualSpacing/>
        <w:jc w:val="both"/>
        <w:rPr>
          <w:rFonts w:ascii="Palatino Linotype" w:hAnsi="Palatino Linotype"/>
          <w:sz w:val="22"/>
          <w:szCs w:val="22"/>
          <w:lang w:val="nl-NL"/>
        </w:rPr>
      </w:pPr>
      <w:r w:rsidRPr="005F1C45">
        <w:rPr>
          <w:rFonts w:ascii="Palatino Linotype" w:hAnsi="Palatino Linotype"/>
          <w:sz w:val="22"/>
          <w:szCs w:val="22"/>
          <w:lang w:val="nl-NL"/>
        </w:rPr>
        <w:t>De bezoldigingsschaal van de verificateur die de taakverzwaring vervult, wordt in afwijking van artikel 3, eerste lid, van het Bezoldigingslandsbesluit 1998 met één volgnummer verhoogd.</w:t>
      </w:r>
    </w:p>
    <w:p w:rsidR="005F1C45" w:rsidRDefault="005F1C45">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C66341">
      <w:pPr>
        <w:numPr>
          <w:ilvl w:val="0"/>
          <w:numId w:val="2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Indien een hoofdcommies met een bezoldigingsschaal van één volgnummer hoger dan de aan de functie van hoofdcommies verbonden bezoldigingsschaal wordt aangesteld als verificateur, worden voor de toepassing van het tweede lid de jaarlijkse beoordelingen in de functie van hoofdcommies met een bezoldigingsschaal van één volgnummer hoger dan die aan de functie van hoofdcommies verbonden bezoldigingsschaal meegenomen.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18</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Opleidingseisen tot hoofdcommies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2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Tot de opleiding van hoofdcommies wordt uitsluitend toegelaten degene die:</w:t>
      </w:r>
    </w:p>
    <w:p w:rsidR="003C0B2F" w:rsidRPr="003C0B2F" w:rsidRDefault="003C0B2F" w:rsidP="00C66341">
      <w:pPr>
        <w:numPr>
          <w:ilvl w:val="0"/>
          <w:numId w:val="2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zich hiervoor tijdig heeft aangemeld,</w:t>
      </w:r>
    </w:p>
    <w:p w:rsidR="003C0B2F" w:rsidRPr="003C0B2F" w:rsidRDefault="003C0B2F" w:rsidP="00C66341">
      <w:pPr>
        <w:numPr>
          <w:ilvl w:val="0"/>
          <w:numId w:val="2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is aangesteld in de groepsfunctie van commies en van wie de bezoldigingsschaal ten minste drie jaar is bepaald op de aan de functie van commies verbonden bezoldigingsschaal,</w:t>
      </w:r>
    </w:p>
    <w:p w:rsidR="003C0B2F" w:rsidRPr="003C0B2F" w:rsidRDefault="003C0B2F" w:rsidP="00C66341">
      <w:pPr>
        <w:numPr>
          <w:ilvl w:val="0"/>
          <w:numId w:val="2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heeft deelgenomen aan een toelatingstest en</w:t>
      </w:r>
    </w:p>
    <w:p w:rsidR="003C0B2F" w:rsidRPr="003C0B2F" w:rsidRDefault="003C0B2F" w:rsidP="00C66341">
      <w:pPr>
        <w:numPr>
          <w:ilvl w:val="0"/>
          <w:numId w:val="2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aantoonbaar een MBO werk- en denkniveau heeft.</w:t>
      </w:r>
    </w:p>
    <w:p w:rsidR="003C0B2F" w:rsidRPr="003C0B2F" w:rsidRDefault="003C0B2F" w:rsidP="00C66341">
      <w:pPr>
        <w:numPr>
          <w:ilvl w:val="0"/>
          <w:numId w:val="2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het aantal kandidaten dat aan de voorwaarden genoemd in het eerste lid, voldoet groter is dan het aantal plaatsen op de opleiding zal op basis van de resultaten van de beoordelingen van de afgelopen 5 jaar alsmede de uitslag van de toelatingstest voorrang worden verleend aan degenen met de beste resultaten.</w:t>
      </w:r>
    </w:p>
    <w:p w:rsidR="003C0B2F" w:rsidRPr="00222411" w:rsidRDefault="003C0B2F" w:rsidP="00BD34D9">
      <w:pPr>
        <w:numPr>
          <w:ilvl w:val="0"/>
          <w:numId w:val="24"/>
        </w:numPr>
        <w:suppressAutoHyphens/>
        <w:ind w:left="360"/>
        <w:contextualSpacing/>
        <w:jc w:val="both"/>
        <w:rPr>
          <w:rFonts w:ascii="Palatino Linotype" w:hAnsi="Palatino Linotype"/>
          <w:sz w:val="22"/>
          <w:szCs w:val="22"/>
          <w:lang w:val="nl-NL"/>
        </w:rPr>
      </w:pPr>
      <w:r w:rsidRPr="00222411">
        <w:rPr>
          <w:rFonts w:ascii="Palatino Linotype" w:hAnsi="Palatino Linotype"/>
          <w:sz w:val="22"/>
          <w:szCs w:val="22"/>
          <w:lang w:val="nl-NL"/>
        </w:rPr>
        <w:t>Indien het aantal plaatsen op de opleiding groter is dan het aantal kandidaten dat voldoet</w:t>
      </w:r>
      <w:r w:rsidR="00222411">
        <w:rPr>
          <w:rFonts w:ascii="Palatino Linotype" w:hAnsi="Palatino Linotype"/>
          <w:sz w:val="22"/>
          <w:szCs w:val="22"/>
          <w:lang w:val="nl-NL"/>
        </w:rPr>
        <w:t xml:space="preserve"> </w:t>
      </w:r>
      <w:r w:rsidRPr="00222411">
        <w:rPr>
          <w:rFonts w:ascii="Palatino Linotype" w:hAnsi="Palatino Linotype"/>
          <w:sz w:val="22"/>
          <w:szCs w:val="22"/>
          <w:lang w:val="nl-NL"/>
        </w:rPr>
        <w:t>aan de voorwaarden genoemd in het eerste lid, vervalt het bepaalde in het eerste lid, onder b.</w:t>
      </w:r>
    </w:p>
    <w:p w:rsidR="003C0B2F" w:rsidRPr="003C0B2F" w:rsidRDefault="003C0B2F" w:rsidP="005F1C45">
      <w:pPr>
        <w:suppressAutoHyphens/>
        <w:spacing w:line="20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19</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Opleidingseisen tot verificateur</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2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Tot de opleiding tot verificateur wordt uitsluitend toegelaten degene die:</w:t>
      </w:r>
    </w:p>
    <w:p w:rsidR="003C0B2F" w:rsidRPr="003C0B2F" w:rsidRDefault="003C0B2F" w:rsidP="00C66341">
      <w:pPr>
        <w:numPr>
          <w:ilvl w:val="0"/>
          <w:numId w:val="2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zich hiervoor tijdig heeft aangemeld,</w:t>
      </w:r>
    </w:p>
    <w:p w:rsidR="003C0B2F" w:rsidRPr="003C0B2F" w:rsidRDefault="003C0B2F" w:rsidP="00C66341">
      <w:pPr>
        <w:numPr>
          <w:ilvl w:val="0"/>
          <w:numId w:val="2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ambtenaar is,</w:t>
      </w:r>
    </w:p>
    <w:p w:rsidR="003C0B2F" w:rsidRPr="003C0B2F" w:rsidRDefault="003C0B2F" w:rsidP="00C66341">
      <w:pPr>
        <w:numPr>
          <w:ilvl w:val="0"/>
          <w:numId w:val="2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heeft deelgenomen aan een psychologische test en</w:t>
      </w:r>
    </w:p>
    <w:p w:rsidR="003C0B2F" w:rsidRPr="003C0B2F" w:rsidRDefault="003C0B2F" w:rsidP="00C66341">
      <w:pPr>
        <w:numPr>
          <w:ilvl w:val="0"/>
          <w:numId w:val="2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aantoonbaar een HBO werk- en denkniveau heeft.</w:t>
      </w:r>
    </w:p>
    <w:p w:rsidR="003C0B2F" w:rsidRPr="003C0B2F" w:rsidRDefault="003C0B2F" w:rsidP="00C66341">
      <w:pPr>
        <w:numPr>
          <w:ilvl w:val="0"/>
          <w:numId w:val="2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het aantal kandidaten dat aan de voorwaarden genoemd in het eerste lid, voldoet groter is dan het aantal plaatsen op de opleiding zal op basis van de resultaten van de beoordelingen van de afgelopen vijf jaar alsmede de uitslag van de psychologische test voorrang worden verleend aan degenen met de beste resultaten.</w:t>
      </w:r>
    </w:p>
    <w:p w:rsidR="003C0B2F" w:rsidRPr="003C0B2F" w:rsidRDefault="003C0B2F" w:rsidP="00C66341">
      <w:pPr>
        <w:numPr>
          <w:ilvl w:val="0"/>
          <w:numId w:val="2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het aantal plaatsen op de opleiding groter is dan het aantal kandidaten dat voldoet aan de voorwaarden genoemd in het eerste lid, vervalt het bepaalde in het eerste lid, onder b.</w:t>
      </w:r>
    </w:p>
    <w:p w:rsidR="003C0B2F" w:rsidRPr="003C0B2F" w:rsidRDefault="003C0B2F" w:rsidP="00D43A38">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 3 Individueel niet leidinggevende functie</w:t>
      </w:r>
    </w:p>
    <w:p w:rsidR="003C0B2F" w:rsidRPr="003C0B2F" w:rsidRDefault="003C0B2F" w:rsidP="005F1C45">
      <w:pPr>
        <w:suppressAutoHyphens/>
        <w:spacing w:line="200" w:lineRule="exact"/>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20</w:t>
      </w:r>
    </w:p>
    <w:p w:rsidR="003C0B2F" w:rsidRPr="003C0B2F" w:rsidRDefault="003C0B2F" w:rsidP="005F1C45">
      <w:pPr>
        <w:suppressAutoHyphens/>
        <w:spacing w:line="200" w:lineRule="exact"/>
        <w:jc w:val="both"/>
        <w:rPr>
          <w:rFonts w:ascii="Palatino Linotype" w:hAnsi="Palatino Linotype"/>
          <w:sz w:val="22"/>
          <w:szCs w:val="22"/>
          <w:lang w:val="nl-NL"/>
        </w:rPr>
      </w:pPr>
    </w:p>
    <w:p w:rsidR="003C0B2F" w:rsidRPr="003C0B2F" w:rsidRDefault="003C0B2F" w:rsidP="003C0B2F">
      <w:pPr>
        <w:suppressAutoHyphens/>
        <w:ind w:left="360" w:hanging="360"/>
        <w:jc w:val="both"/>
        <w:rPr>
          <w:rFonts w:ascii="Palatino Linotype" w:hAnsi="Palatino Linotype"/>
          <w:sz w:val="22"/>
          <w:szCs w:val="22"/>
          <w:lang w:val="nl-NL"/>
        </w:rPr>
      </w:pPr>
      <w:r w:rsidRPr="003C0B2F">
        <w:rPr>
          <w:rFonts w:ascii="Palatino Linotype" w:hAnsi="Palatino Linotype"/>
          <w:sz w:val="22"/>
          <w:szCs w:val="22"/>
          <w:lang w:val="nl-NL"/>
        </w:rPr>
        <w:t>1. De aanstelling van een ambtenaar in een individueel niet leidinggevende functie kan plaatsvinden in tijdelijke dienst:</w:t>
      </w:r>
    </w:p>
    <w:p w:rsidR="003C0B2F" w:rsidRPr="003C0B2F" w:rsidRDefault="003C0B2F" w:rsidP="003C0B2F">
      <w:pPr>
        <w:suppressAutoHyphens/>
        <w:ind w:left="720" w:hanging="360"/>
        <w:jc w:val="both"/>
        <w:rPr>
          <w:rFonts w:ascii="Palatino Linotype" w:hAnsi="Palatino Linotype"/>
          <w:sz w:val="22"/>
          <w:szCs w:val="22"/>
          <w:lang w:val="nl-NL"/>
        </w:rPr>
      </w:pPr>
      <w:r w:rsidRPr="003C0B2F">
        <w:rPr>
          <w:rFonts w:ascii="Palatino Linotype" w:hAnsi="Palatino Linotype"/>
          <w:sz w:val="22"/>
          <w:szCs w:val="22"/>
          <w:lang w:val="nl-NL"/>
        </w:rPr>
        <w:t>a.</w:t>
      </w:r>
      <w:r w:rsidRPr="003C0B2F">
        <w:rPr>
          <w:rFonts w:ascii="Palatino Linotype" w:hAnsi="Palatino Linotype"/>
          <w:sz w:val="22"/>
          <w:szCs w:val="22"/>
          <w:lang w:val="nl-NL"/>
        </w:rPr>
        <w:tab/>
        <w:t>voor een proeftijd van één jaar, zo nodig te verlengen met de tijd, gedurende welke de</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ambtenaar de proeftijd niet in werkelijke dienst heeft doorgebracht;</w:t>
      </w:r>
    </w:p>
    <w:p w:rsidR="003C0B2F" w:rsidRPr="003C0B2F" w:rsidRDefault="003C0B2F" w:rsidP="003C0B2F">
      <w:pPr>
        <w:tabs>
          <w:tab w:val="left" w:pos="720"/>
        </w:tabs>
        <w:suppressAutoHyphens/>
        <w:ind w:left="720" w:hanging="360"/>
        <w:jc w:val="both"/>
        <w:rPr>
          <w:rFonts w:ascii="Palatino Linotype" w:hAnsi="Palatino Linotype"/>
          <w:sz w:val="22"/>
          <w:szCs w:val="22"/>
          <w:lang w:val="nl-NL"/>
        </w:rPr>
      </w:pPr>
      <w:r w:rsidRPr="003C0B2F">
        <w:rPr>
          <w:rFonts w:ascii="Palatino Linotype" w:hAnsi="Palatino Linotype"/>
          <w:sz w:val="22"/>
          <w:szCs w:val="22"/>
          <w:lang w:val="nl-NL"/>
        </w:rPr>
        <w:lastRenderedPageBreak/>
        <w:t xml:space="preserve">b. </w:t>
      </w:r>
      <w:r w:rsidRPr="003C0B2F">
        <w:rPr>
          <w:rFonts w:ascii="Palatino Linotype" w:hAnsi="Palatino Linotype"/>
          <w:sz w:val="22"/>
          <w:szCs w:val="22"/>
          <w:lang w:val="nl-NL"/>
        </w:rPr>
        <w:tab/>
        <w:t>ter vervanging van een wegens ziekte of uit anderen hoofde afwezige ambtenaar;</w:t>
      </w:r>
    </w:p>
    <w:p w:rsidR="003C0B2F" w:rsidRPr="003C0B2F" w:rsidRDefault="003C0B2F" w:rsidP="003C0B2F">
      <w:pPr>
        <w:suppressAutoHyphens/>
        <w:ind w:left="720" w:hanging="360"/>
        <w:jc w:val="both"/>
        <w:rPr>
          <w:rFonts w:ascii="Palatino Linotype" w:hAnsi="Palatino Linotype"/>
          <w:sz w:val="22"/>
          <w:szCs w:val="22"/>
          <w:lang w:val="nl-NL"/>
        </w:rPr>
      </w:pPr>
      <w:r w:rsidRPr="003C0B2F">
        <w:rPr>
          <w:rFonts w:ascii="Palatino Linotype" w:hAnsi="Palatino Linotype"/>
          <w:sz w:val="22"/>
          <w:szCs w:val="22"/>
          <w:lang w:val="nl-NL"/>
        </w:rPr>
        <w:t xml:space="preserve">c. </w:t>
      </w:r>
      <w:r w:rsidRPr="003C0B2F">
        <w:rPr>
          <w:rFonts w:ascii="Palatino Linotype" w:hAnsi="Palatino Linotype"/>
          <w:sz w:val="22"/>
          <w:szCs w:val="22"/>
          <w:lang w:val="nl-NL"/>
        </w:rPr>
        <w:tab/>
        <w:t>ter uitvoering van werkzaamheden van kennelijk tijdelijk karakter;</w:t>
      </w:r>
    </w:p>
    <w:p w:rsidR="003C0B2F" w:rsidRPr="003C0B2F" w:rsidRDefault="003C0B2F" w:rsidP="003C0B2F">
      <w:pPr>
        <w:suppressAutoHyphens/>
        <w:ind w:left="720" w:hanging="360"/>
        <w:jc w:val="both"/>
        <w:rPr>
          <w:rFonts w:ascii="Palatino Linotype" w:hAnsi="Palatino Linotype"/>
          <w:sz w:val="22"/>
          <w:szCs w:val="22"/>
          <w:lang w:val="nl-NL"/>
        </w:rPr>
      </w:pPr>
      <w:r w:rsidRPr="003C0B2F">
        <w:rPr>
          <w:rFonts w:ascii="Palatino Linotype" w:hAnsi="Palatino Linotype"/>
          <w:sz w:val="22"/>
          <w:szCs w:val="22"/>
          <w:lang w:val="nl-NL"/>
        </w:rPr>
        <w:t xml:space="preserve">d. </w:t>
      </w:r>
      <w:r w:rsidRPr="003C0B2F">
        <w:rPr>
          <w:rFonts w:ascii="Palatino Linotype" w:hAnsi="Palatino Linotype"/>
          <w:sz w:val="22"/>
          <w:szCs w:val="22"/>
          <w:lang w:val="nl-NL"/>
        </w:rPr>
        <w:tab/>
        <w:t>Indien het een ambtenaar betreft die in dienst wordt genomen als leerling tot opleiding voor een functie voor de duur van die opleiding.</w:t>
      </w:r>
    </w:p>
    <w:p w:rsidR="003C0B2F" w:rsidRPr="003C0B2F" w:rsidRDefault="003C0B2F" w:rsidP="005F1C45">
      <w:pPr>
        <w:suppressAutoHyphens/>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21</w:t>
      </w:r>
    </w:p>
    <w:p w:rsidR="003C0B2F" w:rsidRPr="003C0B2F" w:rsidRDefault="003C0B2F" w:rsidP="00D43A38">
      <w:pPr>
        <w:suppressAutoHyphens/>
        <w:spacing w:line="200" w:lineRule="exact"/>
        <w:jc w:val="center"/>
        <w:rPr>
          <w:rFonts w:ascii="Palatino Linotype" w:hAnsi="Palatino Linotype"/>
          <w:sz w:val="22"/>
          <w:szCs w:val="22"/>
          <w:lang w:val="nl-NL"/>
        </w:rPr>
      </w:pPr>
    </w:p>
    <w:p w:rsidR="003C0B2F" w:rsidRPr="003C0B2F" w:rsidRDefault="003C0B2F" w:rsidP="00222411">
      <w:pPr>
        <w:numPr>
          <w:ilvl w:val="0"/>
          <w:numId w:val="28"/>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ambtenaar in een individueel niet leidinggevende functie wordt aangesteld in vaste dienst ingaande de eerste dag van de maand volgend op die waarin de opleiding met goed gevolg is afgerond, onderscheidenlijk de eerste dag van de maand na afloop van zijn proeftijd in het kader van een formele beoordeling als bedoeld in artikel 15, eerste lid, van de Landsverordening naar het oordeel van het bevoegde gezag zijn functie naar behoren dan wel zeer goed of uitstekend heeft vervuld.</w:t>
      </w:r>
    </w:p>
    <w:p w:rsidR="003C0B2F" w:rsidRPr="003C0B2F" w:rsidRDefault="003C0B2F" w:rsidP="00222411">
      <w:pPr>
        <w:numPr>
          <w:ilvl w:val="0"/>
          <w:numId w:val="28"/>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Zodra de werkzaamheden bedoeld in artikel 20, eerste lid, onderdelen b en c, geen tijdelijk karakter meer hebben, wordt de betreffende ambtenaar aangesteld in vaste dienst voor zover de formatie dit toelaat. In het geval dat de betreffende ambtenaar sinds twee jaar zonder onderbreking van langer dan één maand, waarvan laatstelijk gedurende tenminste één jaar in zijn huidige functie, in dienst is, hebben de werkzaamheden geen tijdelijk karakter meer en wordt die ambtenaar in vaste dienst aangesteld. Dit geldt echter niet in die gevallen waarin vaststaat dat zijn werkzaamheden in de door hem vervulde functie binnen het jaar zullen worden beëindigd of dat er geen formatieplaats beschikbaar is.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22</w:t>
      </w:r>
    </w:p>
    <w:p w:rsidR="003C0B2F" w:rsidRPr="003C0B2F" w:rsidRDefault="003C0B2F" w:rsidP="00D43A38">
      <w:pPr>
        <w:suppressAutoHyphens/>
        <w:spacing w:line="200" w:lineRule="exact"/>
        <w:jc w:val="center"/>
        <w:rPr>
          <w:rFonts w:ascii="Palatino Linotype" w:hAnsi="Palatino Linotype"/>
          <w:sz w:val="22"/>
          <w:szCs w:val="22"/>
          <w:lang w:val="nl-NL"/>
        </w:rPr>
      </w:pPr>
    </w:p>
    <w:p w:rsidR="003C0B2F" w:rsidRPr="003C0B2F" w:rsidRDefault="003C0B2F" w:rsidP="00222411">
      <w:pPr>
        <w:numPr>
          <w:ilvl w:val="0"/>
          <w:numId w:val="2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een ambtenaar wordt aangesteld in een individueel niet leidinggevende functie met een proeftijd of als leerling ter opleiding tot een functie wordt zijn bezoldigingsschaal voor de duur van de proeftijd onderscheidenlijk de opleiding bepaald op één volgnummer beneden de aan de functie verbonden bezoldigingsschaal.</w:t>
      </w:r>
    </w:p>
    <w:p w:rsidR="003C0B2F" w:rsidRPr="003C0B2F" w:rsidRDefault="003C0B2F" w:rsidP="00222411">
      <w:pPr>
        <w:numPr>
          <w:ilvl w:val="0"/>
          <w:numId w:val="2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een individueel niet leidinggevende een functie gaat verrichten waarvoor een bezoldigingsschaal is bepaald met een volgnummer hoger dan de aan zijn eerdere functie verbonden bezoldigingsschaal wordt zijn bezoldigingsschaal voor de duur van één jaar bepaald op één volgnummer beneden de aan de functie verbonden bezoldigingsschaal. Indien de individueel niet leidinggevende voor de functie met een hoger volgnummer een opleiding moet volgen, wordt zijn bezoldigingsschaal voor de duur van de opleiding bepaald op één volgnummer beneden de aan de functie verbonden bezoldigingsschaal.</w:t>
      </w:r>
    </w:p>
    <w:p w:rsidR="003C0B2F" w:rsidRPr="003C0B2F" w:rsidRDefault="003C0B2F" w:rsidP="00222411">
      <w:pPr>
        <w:numPr>
          <w:ilvl w:val="0"/>
          <w:numId w:val="2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 afwijking van het eerste en tweede lid wordt de bezoldigingsschaal van de ambtenaar die een opleiding anders dan in Curaçao moet volgen, voor de duur van de opleiding bepaald op twee volgnummers beneden de aan de functie verbonden bezoldigingsschaal.</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23</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Inspecteur</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Degene die de opleiding tot inspecteur met goed gevolg heeft afgerond, wordt met ingang van de eerste dag van de maand volgend op die waarin de opleiding met goed gevolg is afgerond, in vaste dienst in de functie van inspecteur aangesteld. Zonder die afgeronde opleiding is een aanstelling in de functie van inspecteur niet mogelijk.</w:t>
      </w:r>
    </w:p>
    <w:p w:rsidR="003C0B2F" w:rsidRPr="003C0B2F" w:rsidRDefault="003C0B2F" w:rsidP="00C66341">
      <w:pPr>
        <w:numPr>
          <w:ilvl w:val="0"/>
          <w:numId w:val="3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De bezoldiging van de inspecteur is bepaald op bezoldigingsschaal 12.</w:t>
      </w:r>
    </w:p>
    <w:p w:rsidR="003C0B2F" w:rsidRPr="003C0B2F" w:rsidRDefault="003C0B2F" w:rsidP="00C66341">
      <w:pPr>
        <w:numPr>
          <w:ilvl w:val="0"/>
          <w:numId w:val="3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inspecteur, bedoeld in het eerste lid, wordt in afwijking van artikel 3, eerste lid, van het Bezoldigingslandsbesluit 1998, met ingang van diens aanstelling tot aan het moment waarop het bevoegde gezag na één jaarlijkse beoordeling als bedoeld in artikel 15, eerste lid, van de Landsverordening, oordeelt dat hij zijn functie naar behoren dan wel zeer goed of uitstekend heeft vervuld, bepaald op één volgnummer beneden de aan de functie van inspecteur verbonden schaal. Artikel 3, tweede lid, van het Bezoldigingslandsbesluit 1998 is niet van toepassing.</w:t>
      </w:r>
    </w:p>
    <w:p w:rsidR="003C0B2F" w:rsidRPr="003C0B2F" w:rsidRDefault="003C0B2F" w:rsidP="00C66341">
      <w:pPr>
        <w:numPr>
          <w:ilvl w:val="0"/>
          <w:numId w:val="3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inspecteur die de aan deze functie verbonden bezoldigingsschaal ontvangt, kan door zijn teamleider in aanmerking worden gebracht voor de bij de functie van inspecteur behorende taakverzwaring, nadat het bevoegd gezag voor de derde keer jaarlijks in het kader van een formele beoordeling als bedoeld in artikel 15, eerste lid, van de Landsverordening oordeelt dat hij zijn functie naar behoren dan wel zeer goed of uitstekend heeft vervuld.</w:t>
      </w:r>
    </w:p>
    <w:p w:rsidR="003C0B2F" w:rsidRPr="003C0B2F" w:rsidRDefault="003C0B2F" w:rsidP="00C66341">
      <w:pPr>
        <w:numPr>
          <w:ilvl w:val="0"/>
          <w:numId w:val="3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bezoldigingsschaal van de inspecteur die de taakverzwaring vervult, wordt in afwijking van artikel 3, eerste lid, van het Bezoldigingslandsbesluit 1998 met één volgnummer verhoogd.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 4 Individuele leidinggevende functie</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24</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Voor de aanstelling van een ambtenaar in een individueel leidinggevende functie, wordt een interne selectie procedure gehouden. </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bij deze interne selectie procedure geen geschikte kandidaten worden gevonden, wordt de vacature voor de individueel leidinggevende functie opengesteld voor andere ambtenaren die werkzaam zijn bij de openbare rechtspersoon het Land Curaçao.</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Indien bij de ambtenaren, bedoeld in het tweede lid, geen geschikte kandidaat wordt gevonden, wordt de functie voor de individueel leidinggevende functie opengesteld voor een ieder.</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Teneinde vast te stellen of de persoon, bedoeld in het eerste, tweede of derde lid in voldoende mate geschikt en bekwaam is voor de vervulling van de individueel leidinggevende functie, kan het bevoegde gezag de gegevens die door deze persoon desgevraagd zijn verstrekt, verifiëren en zo nodig aanvullende informatie vragen.</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Een assessment kan onderdeel uitmaken van de sollicitatieprocedure.</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aanstelling van een ambtenaar in een individueel leidinggevende functie vindt plaats voor een proeftijd van één jaar, zo nodig te verlengen met de tijd, gedurende welke de ambtenaar de proeftijd niet in werkelijke dienst heeft doorgebracht.</w:t>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Na afronding van de proeftijd bedoeld in het zesde lid, wordt de ambtenaar aangesteld in vaste dienst indien hij in die proeftijd in het kader van een formele beoordeling als bedoeld in artikel 15, eerste lid, van de Landsverordening zijn functie naar behoren dan wel zeer goed of uitstekend heeft vervuld.</w:t>
      </w:r>
    </w:p>
    <w:p w:rsidR="003C0B2F" w:rsidRPr="005F1C45" w:rsidRDefault="003C0B2F" w:rsidP="00222411">
      <w:pPr>
        <w:numPr>
          <w:ilvl w:val="0"/>
          <w:numId w:val="31"/>
        </w:numPr>
        <w:suppressAutoHyphens/>
        <w:ind w:left="360"/>
        <w:contextualSpacing/>
        <w:jc w:val="both"/>
        <w:rPr>
          <w:rFonts w:ascii="Palatino Linotype" w:hAnsi="Palatino Linotype"/>
          <w:sz w:val="22"/>
          <w:szCs w:val="22"/>
          <w:lang w:val="nl-NL"/>
        </w:rPr>
      </w:pPr>
      <w:r w:rsidRPr="005F1C45">
        <w:rPr>
          <w:rFonts w:ascii="Palatino Linotype" w:hAnsi="Palatino Linotype"/>
          <w:sz w:val="22"/>
          <w:szCs w:val="22"/>
          <w:lang w:val="nl-NL"/>
        </w:rPr>
        <w:t>Indien de ambtenaar in een individueel leidinggevende functie deze functie in zijn proeftijd naar het oordeel van het bevoegde gezag niet naar behoren vervult, dan zal hij, indien hij direct voorafgaande aan deze proeftijd reeds was aangesteld in een functie bij de Douane, in deze functie en de daarbij behorende bezoldigingsschaal worden teruggeplaatst.</w:t>
      </w:r>
    </w:p>
    <w:p w:rsidR="00222411" w:rsidRDefault="00222411">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222411">
      <w:pPr>
        <w:numPr>
          <w:ilvl w:val="0"/>
          <w:numId w:val="31"/>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De bezoldigingsschaal van de individueel leidinggevende die de taakverzwaring vervult, wordt in afwijking van artikel 3, eerste lid, van het Bezoldigingslandsbesluit 1998 met één volgnummer verhoogd.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V</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Kledingvoorschriften</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25</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in dit landsbesluit omschreven dienstkleding, onderscheidingstekens en uitrustingstukken moeten zijn vervaardigd of zijn uitgevoerd overeenkomstig de door de Minister naar voorschriften van dit landsbesluit vastgestelde modellen, met daarbij vast te stellen afmetingen en, waar nodig, met aanduiding van de kleuren.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26</w:t>
      </w:r>
    </w:p>
    <w:p w:rsidR="003C0B2F" w:rsidRPr="003C0B2F" w:rsidRDefault="003C0B2F" w:rsidP="005F1C45">
      <w:pPr>
        <w:suppressAutoHyphens/>
        <w:jc w:val="center"/>
        <w:rPr>
          <w:rFonts w:ascii="Palatino Linotype" w:hAnsi="Palatino Linotype"/>
          <w:sz w:val="22"/>
          <w:szCs w:val="22"/>
          <w:lang w:val="nl-NL"/>
        </w:rPr>
      </w:pPr>
    </w:p>
    <w:p w:rsidR="003C0B2F" w:rsidRPr="003C0B2F" w:rsidRDefault="003C0B2F" w:rsidP="00C66341">
      <w:pPr>
        <w:numPr>
          <w:ilvl w:val="0"/>
          <w:numId w:val="3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Voor de ambtenaren gelden de volgende tenues:</w:t>
      </w:r>
    </w:p>
    <w:p w:rsidR="003C0B2F" w:rsidRPr="003C0B2F" w:rsidRDefault="003C0B2F" w:rsidP="00C66341">
      <w:pPr>
        <w:numPr>
          <w:ilvl w:val="0"/>
          <w:numId w:val="3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het dagelijkse tenue;</w:t>
      </w:r>
    </w:p>
    <w:p w:rsidR="003C0B2F" w:rsidRPr="003C0B2F" w:rsidRDefault="003C0B2F" w:rsidP="00C66341">
      <w:pPr>
        <w:numPr>
          <w:ilvl w:val="0"/>
          <w:numId w:val="3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het werktenue;</w:t>
      </w:r>
    </w:p>
    <w:p w:rsidR="003C0B2F" w:rsidRPr="003C0B2F" w:rsidRDefault="003C0B2F" w:rsidP="00C66341">
      <w:pPr>
        <w:numPr>
          <w:ilvl w:val="0"/>
          <w:numId w:val="33"/>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het geklede tenue.</w:t>
      </w:r>
    </w:p>
    <w:p w:rsidR="003C0B2F" w:rsidRPr="003C0B2F" w:rsidRDefault="003C0B2F" w:rsidP="00C66341">
      <w:pPr>
        <w:numPr>
          <w:ilvl w:val="0"/>
          <w:numId w:val="3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dagelijkse tenue wordt door alle ambtenaren gedragen tijdens de normale dienst, tenzij door het Hoofd anders is bepaald.</w:t>
      </w:r>
    </w:p>
    <w:p w:rsidR="003C0B2F" w:rsidRPr="003C0B2F" w:rsidRDefault="003C0B2F" w:rsidP="00C66341">
      <w:pPr>
        <w:numPr>
          <w:ilvl w:val="0"/>
          <w:numId w:val="3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werktenue wordt gedragen door ambtenaren die het aangaat tijdens de door het Hoofd te bepalen werkzaamheden of oefeningen.</w:t>
      </w:r>
    </w:p>
    <w:p w:rsidR="003C0B2F" w:rsidRPr="003C0B2F" w:rsidRDefault="003C0B2F" w:rsidP="00C66341">
      <w:pPr>
        <w:numPr>
          <w:ilvl w:val="0"/>
          <w:numId w:val="3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geklede tenue wordt gedragen in de door het Hoofd te bepalen gevallen.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27</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Het Hoofd kan aan ambtenaren ontheffing verlenen van de verplichting tot het dragen van</w:t>
      </w: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dienstkleding.</w:t>
      </w:r>
    </w:p>
    <w:p w:rsidR="003C0B2F" w:rsidRPr="003C0B2F" w:rsidRDefault="003C0B2F" w:rsidP="005F1C45">
      <w:pPr>
        <w:suppressAutoHyphens/>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28</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Dagelijks tenue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 xml:space="preserve">Het dagelijkse tenue bestaat uit de pet, het overhemd of de blouse, de das, de </w:t>
      </w:r>
      <w:proofErr w:type="spellStart"/>
      <w:r w:rsidRPr="003C0B2F">
        <w:rPr>
          <w:rFonts w:ascii="Palatino Linotype" w:hAnsi="Palatino Linotype"/>
          <w:sz w:val="22"/>
          <w:szCs w:val="22"/>
          <w:lang w:val="nl-NL"/>
        </w:rPr>
        <w:t>dasklem</w:t>
      </w:r>
      <w:proofErr w:type="spellEnd"/>
      <w:r w:rsidRPr="003C0B2F">
        <w:rPr>
          <w:rFonts w:ascii="Palatino Linotype" w:hAnsi="Palatino Linotype"/>
          <w:sz w:val="22"/>
          <w:szCs w:val="22"/>
          <w:lang w:val="nl-NL"/>
        </w:rPr>
        <w:t>, de signaalfluit met fluitkoord, de broek of de rok, het schoeisel, de sokken of de kousen, de broekriem, de epauletten met (rang-) onderscheidingstekens en het borstembleem zoals beschreven in dit landsbesluit.</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29</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Pet</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platte pet heeft een opstaande rand. Om de opstaande rand is een band van glanzende, plastische stof aangebracht, waarin een flexibele ring is aangebracht. De kleur van de overtrek van de pet is bruin (“tan”).</w:t>
      </w:r>
    </w:p>
    <w:p w:rsidR="005F1C45" w:rsidRDefault="005F1C45">
      <w:pPr>
        <w:widowControl/>
        <w:rPr>
          <w:rFonts w:ascii="Palatino Linotype" w:hAnsi="Palatino Linotype"/>
          <w:sz w:val="22"/>
          <w:szCs w:val="22"/>
          <w:lang w:val="nl-NL"/>
        </w:rPr>
      </w:pPr>
      <w:r>
        <w:rPr>
          <w:rFonts w:ascii="Palatino Linotype" w:hAnsi="Palatino Linotype"/>
          <w:sz w:val="22"/>
          <w:szCs w:val="22"/>
          <w:lang w:val="nl-NL"/>
        </w:rPr>
        <w:br w:type="page"/>
      </w:r>
    </w:p>
    <w:p w:rsidR="003C0B2F" w:rsidRPr="003C0B2F" w:rsidRDefault="003C0B2F" w:rsidP="003C0B2F">
      <w:pPr>
        <w:suppressAutoHyphens/>
        <w:ind w:left="360"/>
        <w:jc w:val="both"/>
        <w:rPr>
          <w:rFonts w:ascii="Palatino Linotype" w:hAnsi="Palatino Linotype"/>
          <w:sz w:val="22"/>
          <w:szCs w:val="22"/>
          <w:lang w:val="nl-NL"/>
        </w:rPr>
      </w:pPr>
      <w:r w:rsidRPr="003C0B2F">
        <w:rPr>
          <w:rFonts w:ascii="Palatino Linotype" w:hAnsi="Palatino Linotype"/>
          <w:sz w:val="22"/>
          <w:szCs w:val="22"/>
          <w:lang w:val="nl-NL"/>
        </w:rPr>
        <w:lastRenderedPageBreak/>
        <w:t xml:space="preserve">Aan de voorzijde van de pet is een </w:t>
      </w:r>
      <w:proofErr w:type="spellStart"/>
      <w:r w:rsidRPr="003C0B2F">
        <w:rPr>
          <w:rFonts w:ascii="Palatino Linotype" w:hAnsi="Palatino Linotype"/>
          <w:sz w:val="22"/>
          <w:szCs w:val="22"/>
          <w:lang w:val="nl-NL"/>
        </w:rPr>
        <w:t>rondgebogen</w:t>
      </w:r>
      <w:proofErr w:type="spellEnd"/>
      <w:r w:rsidRPr="003C0B2F">
        <w:rPr>
          <w:rFonts w:ascii="Palatino Linotype" w:hAnsi="Palatino Linotype"/>
          <w:sz w:val="22"/>
          <w:szCs w:val="22"/>
          <w:lang w:val="nl-NL"/>
        </w:rPr>
        <w:t xml:space="preserve"> naar beneden hellende klep van leer of kunststof aangebracht; de rand is omboord met donkerbruin verlakt leer of plastic.</w:t>
      </w:r>
    </w:p>
    <w:p w:rsidR="003C0B2F" w:rsidRPr="003C0B2F" w:rsidRDefault="003C0B2F" w:rsidP="003C0B2F">
      <w:pPr>
        <w:suppressAutoHyphens/>
        <w:ind w:left="360"/>
        <w:jc w:val="both"/>
        <w:rPr>
          <w:rFonts w:ascii="Palatino Linotype" w:hAnsi="Palatino Linotype"/>
          <w:sz w:val="22"/>
          <w:szCs w:val="22"/>
          <w:lang w:val="nl-NL"/>
        </w:rPr>
      </w:pPr>
      <w:r w:rsidRPr="003C0B2F">
        <w:rPr>
          <w:rFonts w:ascii="Palatino Linotype" w:hAnsi="Palatino Linotype"/>
          <w:sz w:val="22"/>
          <w:szCs w:val="22"/>
          <w:lang w:val="nl-NL"/>
        </w:rPr>
        <w:t xml:space="preserve">De bovenzijde van de </w:t>
      </w:r>
      <w:proofErr w:type="spellStart"/>
      <w:r w:rsidRPr="003C0B2F">
        <w:rPr>
          <w:rFonts w:ascii="Palatino Linotype" w:hAnsi="Palatino Linotype"/>
          <w:sz w:val="22"/>
          <w:szCs w:val="22"/>
          <w:lang w:val="nl-NL"/>
        </w:rPr>
        <w:t>petklep</w:t>
      </w:r>
      <w:proofErr w:type="spellEnd"/>
      <w:r w:rsidRPr="003C0B2F">
        <w:rPr>
          <w:rFonts w:ascii="Palatino Linotype" w:hAnsi="Palatino Linotype"/>
          <w:sz w:val="22"/>
          <w:szCs w:val="22"/>
          <w:lang w:val="nl-NL"/>
        </w:rPr>
        <w:t xml:space="preserve"> is voor de ambtenaren die zijn aangesteld in een individueel leidinggevende functie bekleed met een bruine stof, waarop twee eikentakken met bladeren en eikels in goudkleurig draad zijn geborduurd en voor de overige ambtenaren bruin verlakt.</w:t>
      </w:r>
    </w:p>
    <w:p w:rsidR="003C0B2F" w:rsidRPr="003C0B2F" w:rsidRDefault="003C0B2F" w:rsidP="00C66341">
      <w:pPr>
        <w:numPr>
          <w:ilvl w:val="0"/>
          <w:numId w:val="3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pet is voorzien van een donkerbruin verlakte leren of plastic stormband welke is bevestigd aan weerszijde van de pet met goudkleurige knopen. Voor de ambtenaren die zijn aangesteld in een individueel leidinggevende functie is deze stormband vervaardigd van verguld metaal.</w:t>
      </w:r>
    </w:p>
    <w:p w:rsidR="003C0B2F" w:rsidRPr="003C0B2F" w:rsidRDefault="003C0B2F" w:rsidP="00C66341">
      <w:pPr>
        <w:numPr>
          <w:ilvl w:val="0"/>
          <w:numId w:val="3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Aan de voorzijde van de pet, onmiddellijk boven de stormband met of zonder schuifpassant, is een embleem bevestigd, bestaande uit het wapen van Curaçao met aan weerszijden lauwertakken met in het midden onderaan het woord “DOUANE” Het geheel is vervaardigd van verguld metaal.</w:t>
      </w:r>
    </w:p>
    <w:p w:rsidR="003C0B2F" w:rsidRPr="003C0B2F" w:rsidRDefault="003C0B2F" w:rsidP="005F1C45">
      <w:pPr>
        <w:suppressAutoHyphens/>
        <w:spacing w:line="20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30</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Overhemd of blouse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 xml:space="preserve">Het overhemd of de blouse is vervaardigd van effen niet doorzichtige stof, voorzien van een stijf of </w:t>
      </w:r>
      <w:proofErr w:type="spellStart"/>
      <w:r w:rsidRPr="003C0B2F">
        <w:rPr>
          <w:rFonts w:ascii="Palatino Linotype" w:hAnsi="Palatino Linotype"/>
          <w:sz w:val="22"/>
          <w:szCs w:val="22"/>
          <w:lang w:val="nl-NL"/>
        </w:rPr>
        <w:t>halfstijf</w:t>
      </w:r>
      <w:proofErr w:type="spellEnd"/>
      <w:r w:rsidRPr="003C0B2F">
        <w:rPr>
          <w:rFonts w:ascii="Palatino Linotype" w:hAnsi="Palatino Linotype"/>
          <w:sz w:val="22"/>
          <w:szCs w:val="22"/>
          <w:lang w:val="nl-NL"/>
        </w:rPr>
        <w:t xml:space="preserve"> boord met niet-afgeronde benedenwaarts gerichte punten, twee borstzakken met stolpplooi en driepuntige klep gesloten met een kleine knoop, enkele aan de schoudernaden bevestigde en met knopen gesloten schouderpassanten, lange mouwen met enkele knoopsluiting of korte mouw. Het overhemd of de blouse heeft de kleur licht beige.</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31</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 xml:space="preserve">Das en </w:t>
      </w:r>
      <w:proofErr w:type="spellStart"/>
      <w:r w:rsidRPr="003C0B2F">
        <w:rPr>
          <w:rFonts w:ascii="Palatino Linotype" w:hAnsi="Palatino Linotype"/>
          <w:sz w:val="22"/>
          <w:szCs w:val="22"/>
          <w:lang w:val="nl-NL"/>
        </w:rPr>
        <w:t>dasklem</w:t>
      </w:r>
      <w:proofErr w:type="spellEnd"/>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4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stropdas is effen donkerbruin. De stropdas is verkrijgbaar in de uitvoering die in een klip wordt gesloten en als zelfbinder. De </w:t>
      </w:r>
      <w:proofErr w:type="spellStart"/>
      <w:r w:rsidRPr="003C0B2F">
        <w:rPr>
          <w:rFonts w:ascii="Palatino Linotype" w:hAnsi="Palatino Linotype"/>
          <w:sz w:val="22"/>
          <w:szCs w:val="22"/>
          <w:lang w:val="nl-NL"/>
        </w:rPr>
        <w:t>dasklem</w:t>
      </w:r>
      <w:proofErr w:type="spellEnd"/>
      <w:r w:rsidRPr="003C0B2F">
        <w:rPr>
          <w:rFonts w:ascii="Palatino Linotype" w:hAnsi="Palatino Linotype"/>
          <w:sz w:val="22"/>
          <w:szCs w:val="22"/>
          <w:lang w:val="nl-NL"/>
        </w:rPr>
        <w:t xml:space="preserve"> van goudkleurig metaal is in het midden voorzien van het wapen van Curaçao.</w:t>
      </w:r>
    </w:p>
    <w:p w:rsidR="003C0B2F" w:rsidRPr="003C0B2F" w:rsidRDefault="003C0B2F" w:rsidP="00C66341">
      <w:pPr>
        <w:numPr>
          <w:ilvl w:val="0"/>
          <w:numId w:val="4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stropdas wordt gedragen bij het overhemd met lange mouwen.</w:t>
      </w:r>
    </w:p>
    <w:p w:rsidR="003C0B2F" w:rsidRPr="003C0B2F" w:rsidRDefault="003C0B2F" w:rsidP="00C66341">
      <w:pPr>
        <w:numPr>
          <w:ilvl w:val="0"/>
          <w:numId w:val="4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korte das wordt gedragen bij de blouse met lange mouwen.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32</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Broek of rok</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5"/>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broek heeft lange pijpen in de kleur bruin (“tan”) en heeft rond gesneden pijpen zonder omslagen. De broek is voorzien van een brede </w:t>
      </w:r>
      <w:proofErr w:type="spellStart"/>
      <w:r w:rsidRPr="003C0B2F">
        <w:rPr>
          <w:rFonts w:ascii="Palatino Linotype" w:hAnsi="Palatino Linotype"/>
          <w:sz w:val="22"/>
          <w:szCs w:val="22"/>
          <w:lang w:val="nl-NL"/>
        </w:rPr>
        <w:t>halfstijve</w:t>
      </w:r>
      <w:proofErr w:type="spellEnd"/>
      <w:r w:rsidRPr="003C0B2F">
        <w:rPr>
          <w:rFonts w:ascii="Palatino Linotype" w:hAnsi="Palatino Linotype"/>
          <w:sz w:val="22"/>
          <w:szCs w:val="22"/>
          <w:lang w:val="nl-NL"/>
        </w:rPr>
        <w:t xml:space="preserve"> boord met zeven vaste passanten voor doorlating van de broekriem, in de buitennaad een 3 millimeter brede donkerbruin gegalonneerde bies, twee ingenaaide zijzakken en twee ingenaaide achterzakken met knoopsluiting. De knopen zijn van donkerbeige materiaal. De damesbroek heeft geen achterzakken.</w:t>
      </w:r>
    </w:p>
    <w:p w:rsidR="0053492E" w:rsidRDefault="003C0B2F" w:rsidP="00C66341">
      <w:pPr>
        <w:numPr>
          <w:ilvl w:val="0"/>
          <w:numId w:val="35"/>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rok heeft een </w:t>
      </w:r>
      <w:proofErr w:type="spellStart"/>
      <w:r w:rsidRPr="003C0B2F">
        <w:rPr>
          <w:rFonts w:ascii="Palatino Linotype" w:hAnsi="Palatino Linotype"/>
          <w:sz w:val="22"/>
          <w:szCs w:val="22"/>
          <w:lang w:val="nl-NL"/>
        </w:rPr>
        <w:t>lichtgerend</w:t>
      </w:r>
      <w:proofErr w:type="spellEnd"/>
      <w:r w:rsidRPr="003C0B2F">
        <w:rPr>
          <w:rFonts w:ascii="Palatino Linotype" w:hAnsi="Palatino Linotype"/>
          <w:sz w:val="22"/>
          <w:szCs w:val="22"/>
          <w:lang w:val="nl-NL"/>
        </w:rPr>
        <w:t xml:space="preserve"> model en heeft de kleur bruin (“tan”), gelijk aan de kleur van de broek en de jas. De lengte van de rok is zodanig, dat deze op of net boven de knie valt. De rok is voorzien van een brede </w:t>
      </w:r>
      <w:proofErr w:type="spellStart"/>
      <w:r w:rsidRPr="003C0B2F">
        <w:rPr>
          <w:rFonts w:ascii="Palatino Linotype" w:hAnsi="Palatino Linotype"/>
          <w:sz w:val="22"/>
          <w:szCs w:val="22"/>
          <w:lang w:val="nl-NL"/>
        </w:rPr>
        <w:t>halfstijve</w:t>
      </w:r>
      <w:proofErr w:type="spellEnd"/>
      <w:r w:rsidRPr="003C0B2F">
        <w:rPr>
          <w:rFonts w:ascii="Palatino Linotype" w:hAnsi="Palatino Linotype"/>
          <w:sz w:val="22"/>
          <w:szCs w:val="22"/>
          <w:lang w:val="nl-NL"/>
        </w:rPr>
        <w:t xml:space="preserve"> boord met vier passanten voor doorlating van de </w:t>
      </w:r>
      <w:proofErr w:type="spellStart"/>
      <w:r w:rsidRPr="003C0B2F">
        <w:rPr>
          <w:rFonts w:ascii="Palatino Linotype" w:hAnsi="Palatino Linotype"/>
          <w:sz w:val="22"/>
          <w:szCs w:val="22"/>
          <w:lang w:val="nl-NL"/>
        </w:rPr>
        <w:t>rokriem</w:t>
      </w:r>
      <w:proofErr w:type="spellEnd"/>
      <w:r w:rsidRPr="003C0B2F">
        <w:rPr>
          <w:rFonts w:ascii="Palatino Linotype" w:hAnsi="Palatino Linotype"/>
          <w:sz w:val="22"/>
          <w:szCs w:val="22"/>
          <w:lang w:val="nl-NL"/>
        </w:rPr>
        <w:t xml:space="preserve">, in de buitennaad een 3 millimeter brede donkerbruin gegalonneerde bies, aan </w:t>
      </w:r>
    </w:p>
    <w:p w:rsidR="003C0B2F" w:rsidRPr="003C0B2F" w:rsidRDefault="003C0B2F" w:rsidP="0053492E">
      <w:p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voorzijde van twee schuine steekzakken en aan de achterzijde van een split van circa 18 centimeter. De rok sluit aan de achterzijde met een rits.</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lastRenderedPageBreak/>
        <w:t>Artikel 33</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schoeisel, sokken en kousen</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schoenen zijn van donkerbruin leer en worden door de mannen gedragen met effen donkerbruine sokken.</w:t>
      </w: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Dames dragen effen kousen (zogenoemde “nylons”) in een kleur die nagenoeg overeenkomt met de huidskleur.</w:t>
      </w:r>
    </w:p>
    <w:p w:rsidR="003C0B2F" w:rsidRPr="003C0B2F" w:rsidRDefault="003C0B2F" w:rsidP="005F1C45">
      <w:pPr>
        <w:suppressAutoHyphens/>
        <w:spacing w:line="20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34</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broekriem</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donkerbruine lederen riem is voorzien van een koperkleurige gesp.</w:t>
      </w:r>
    </w:p>
    <w:p w:rsidR="003C0B2F" w:rsidRPr="003C0B2F" w:rsidRDefault="003C0B2F" w:rsidP="005F1C45">
      <w:pPr>
        <w:suppressAutoHyphens/>
        <w:spacing w:line="22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35</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epauletten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epauletten zijn van donkerbruine stof genaaid, indien noodzakelijk voorzien van een enigszins buigbare plastic vorm voor de nodige stevigheid.</w:t>
      </w:r>
    </w:p>
    <w:p w:rsidR="003C0B2F" w:rsidRPr="003C0B2F" w:rsidRDefault="003C0B2F" w:rsidP="00C66341">
      <w:pPr>
        <w:numPr>
          <w:ilvl w:val="0"/>
          <w:numId w:val="3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epauletten zijn aan de </w:t>
      </w:r>
      <w:proofErr w:type="spellStart"/>
      <w:r w:rsidRPr="003C0B2F">
        <w:rPr>
          <w:rFonts w:ascii="Palatino Linotype" w:hAnsi="Palatino Linotype"/>
          <w:sz w:val="22"/>
          <w:szCs w:val="22"/>
          <w:lang w:val="nl-NL"/>
        </w:rPr>
        <w:t>halszijde</w:t>
      </w:r>
      <w:proofErr w:type="spellEnd"/>
      <w:r w:rsidRPr="003C0B2F">
        <w:rPr>
          <w:rFonts w:ascii="Palatino Linotype" w:hAnsi="Palatino Linotype"/>
          <w:sz w:val="22"/>
          <w:szCs w:val="22"/>
          <w:lang w:val="nl-NL"/>
        </w:rPr>
        <w:t xml:space="preserve"> voorzien van een epaulettenembleem dat overeenkomt met het wapen van Curaçao.</w:t>
      </w:r>
    </w:p>
    <w:p w:rsidR="003C0B2F" w:rsidRPr="003C0B2F" w:rsidRDefault="003C0B2F" w:rsidP="00C66341">
      <w:pPr>
        <w:numPr>
          <w:ilvl w:val="0"/>
          <w:numId w:val="3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(rang)onderscheidingstekens worden op de voorgeschreven wijze op de epauletten bevestigd.</w:t>
      </w:r>
    </w:p>
    <w:p w:rsidR="003C0B2F" w:rsidRPr="003C0B2F" w:rsidRDefault="003C0B2F" w:rsidP="00C66341">
      <w:pPr>
        <w:numPr>
          <w:ilvl w:val="0"/>
          <w:numId w:val="36"/>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epauletten worden op het overhemd, de blouse of de jas gedragen.</w:t>
      </w:r>
    </w:p>
    <w:p w:rsidR="003C0B2F" w:rsidRPr="003C0B2F" w:rsidRDefault="003C0B2F" w:rsidP="005F1C45">
      <w:pPr>
        <w:suppressAutoHyphens/>
        <w:spacing w:line="220" w:lineRule="exact"/>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36</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onderscheidingstekens</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C66341">
      <w:pPr>
        <w:numPr>
          <w:ilvl w:val="0"/>
          <w:numId w:val="4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onderscheidingstekens zijn goudkleurig en zijn onderscheidenlijk voor:</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het Hoofd</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4 sterren met lauwertak;</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lid managementteam</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4 sterren;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het hoofd van de post/afdeling</w:t>
      </w:r>
      <w:r w:rsidRPr="003C0B2F">
        <w:rPr>
          <w:rFonts w:ascii="Palatino Linotype" w:hAnsi="Palatino Linotype"/>
          <w:sz w:val="22"/>
          <w:szCs w:val="22"/>
          <w:lang w:val="nl-NL"/>
        </w:rPr>
        <w:tab/>
        <w:t>3 sterren met een lauwertak;</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teamleider</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2 sterren met een lauwertak;</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inspecteur</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3 sterren;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verificateur</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2 sterren;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hoofdcommies</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1 ster;</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groepsfunctie commies</w:t>
      </w:r>
      <w:r w:rsidRPr="003C0B2F">
        <w:rPr>
          <w:rFonts w:ascii="Palatino Linotype" w:hAnsi="Palatino Linotype"/>
          <w:sz w:val="22"/>
          <w:szCs w:val="22"/>
          <w:lang w:val="nl-NL"/>
        </w:rPr>
        <w:tab/>
      </w:r>
      <w:r w:rsidRPr="003C0B2F">
        <w:rPr>
          <w:rFonts w:ascii="Palatino Linotype" w:hAnsi="Palatino Linotype"/>
          <w:sz w:val="22"/>
          <w:szCs w:val="22"/>
          <w:lang w:val="nl-NL"/>
        </w:rPr>
        <w:tab/>
        <w:t>2 balken;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aspirant</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geen;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de hulpcommies</w:t>
      </w:r>
      <w:r w:rsidRPr="003C0B2F">
        <w:rPr>
          <w:rFonts w:ascii="Palatino Linotype" w:hAnsi="Palatino Linotype"/>
          <w:sz w:val="22"/>
          <w:szCs w:val="22"/>
          <w:lang w:val="nl-NL"/>
        </w:rPr>
        <w:tab/>
      </w:r>
      <w:r w:rsidRPr="003C0B2F">
        <w:rPr>
          <w:rFonts w:ascii="Palatino Linotype" w:hAnsi="Palatino Linotype"/>
          <w:sz w:val="22"/>
          <w:szCs w:val="22"/>
          <w:lang w:val="nl-NL"/>
        </w:rPr>
        <w:tab/>
      </w:r>
      <w:r w:rsidRPr="003C0B2F">
        <w:rPr>
          <w:rFonts w:ascii="Palatino Linotype" w:hAnsi="Palatino Linotype"/>
          <w:sz w:val="22"/>
          <w:szCs w:val="22"/>
          <w:lang w:val="nl-NL"/>
        </w:rPr>
        <w:tab/>
        <w:t>geen.</w:t>
      </w:r>
    </w:p>
    <w:p w:rsidR="003C0B2F" w:rsidRPr="003C0B2F" w:rsidRDefault="003C0B2F" w:rsidP="00C66341">
      <w:pPr>
        <w:numPr>
          <w:ilvl w:val="0"/>
          <w:numId w:val="43"/>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Voor ambtenaren niet in de functies zoals hierboven genoemd zijn er onderscheidingstekens naar gelang de bezoldigingsschaal. Deze onderscheidingstekens zijn ook goudkleurig en zijn voor:</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bezoldigingsschalen 12 en hoger</w:t>
      </w:r>
      <w:r w:rsidRPr="003C0B2F">
        <w:rPr>
          <w:rFonts w:ascii="Palatino Linotype" w:hAnsi="Palatino Linotype"/>
          <w:sz w:val="22"/>
          <w:szCs w:val="22"/>
          <w:lang w:val="nl-NL"/>
        </w:rPr>
        <w:tab/>
        <w:t>3 sterren;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bezoldigingsschalen 10 en 11</w:t>
      </w:r>
      <w:r w:rsidRPr="003C0B2F">
        <w:rPr>
          <w:rFonts w:ascii="Palatino Linotype" w:hAnsi="Palatino Linotype"/>
          <w:sz w:val="22"/>
          <w:szCs w:val="22"/>
          <w:lang w:val="nl-NL"/>
        </w:rPr>
        <w:tab/>
      </w:r>
      <w:r w:rsidRPr="003C0B2F">
        <w:rPr>
          <w:rFonts w:ascii="Palatino Linotype" w:hAnsi="Palatino Linotype"/>
          <w:sz w:val="22"/>
          <w:szCs w:val="22"/>
          <w:lang w:val="nl-NL"/>
        </w:rPr>
        <w:tab/>
        <w:t>2 sterren;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bezoldigingsschalen 8 en 9</w:t>
      </w:r>
      <w:r w:rsidRPr="003C0B2F">
        <w:rPr>
          <w:rFonts w:ascii="Palatino Linotype" w:hAnsi="Palatino Linotype"/>
          <w:sz w:val="22"/>
          <w:szCs w:val="22"/>
          <w:lang w:val="nl-NL"/>
        </w:rPr>
        <w:tab/>
      </w:r>
      <w:r w:rsidRPr="003C0B2F">
        <w:rPr>
          <w:rFonts w:ascii="Palatino Linotype" w:hAnsi="Palatino Linotype"/>
          <w:sz w:val="22"/>
          <w:szCs w:val="22"/>
          <w:lang w:val="nl-NL"/>
        </w:rPr>
        <w:tab/>
        <w:t>1 ster;</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bezoldigingsschalen 6 en 7</w:t>
      </w:r>
      <w:r w:rsidRPr="003C0B2F">
        <w:rPr>
          <w:rFonts w:ascii="Palatino Linotype" w:hAnsi="Palatino Linotype"/>
          <w:sz w:val="22"/>
          <w:szCs w:val="22"/>
          <w:lang w:val="nl-NL"/>
        </w:rPr>
        <w:tab/>
      </w:r>
      <w:r w:rsidRPr="003C0B2F">
        <w:rPr>
          <w:rFonts w:ascii="Palatino Linotype" w:hAnsi="Palatino Linotype"/>
          <w:sz w:val="22"/>
          <w:szCs w:val="22"/>
          <w:lang w:val="nl-NL"/>
        </w:rPr>
        <w:tab/>
        <w:t>2 balken;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bezoldigingsschalen 4 en 5</w:t>
      </w:r>
      <w:r w:rsidRPr="003C0B2F">
        <w:rPr>
          <w:rFonts w:ascii="Palatino Linotype" w:hAnsi="Palatino Linotype"/>
          <w:sz w:val="22"/>
          <w:szCs w:val="22"/>
          <w:lang w:val="nl-NL"/>
        </w:rPr>
        <w:tab/>
      </w:r>
      <w:r w:rsidRPr="003C0B2F">
        <w:rPr>
          <w:rFonts w:ascii="Palatino Linotype" w:hAnsi="Palatino Linotype"/>
          <w:sz w:val="22"/>
          <w:szCs w:val="22"/>
          <w:lang w:val="nl-NL"/>
        </w:rPr>
        <w:tab/>
        <w:t>1 balk.</w:t>
      </w:r>
    </w:p>
    <w:p w:rsidR="003C0B2F" w:rsidRPr="003C0B2F" w:rsidRDefault="003C0B2F" w:rsidP="003C0B2F">
      <w:pPr>
        <w:suppressAutoHyphens/>
        <w:ind w:left="360"/>
        <w:jc w:val="both"/>
        <w:rPr>
          <w:rFonts w:ascii="Palatino Linotype" w:hAnsi="Palatino Linotype"/>
          <w:sz w:val="22"/>
          <w:szCs w:val="22"/>
          <w:lang w:val="nl-NL"/>
        </w:rPr>
      </w:pPr>
      <w:r w:rsidRPr="003C0B2F">
        <w:rPr>
          <w:rFonts w:ascii="Palatino Linotype" w:hAnsi="Palatino Linotype"/>
          <w:sz w:val="22"/>
          <w:szCs w:val="22"/>
          <w:lang w:val="nl-NL"/>
        </w:rPr>
        <w:t>Indien op grond van het eerste of tweede lid voor een ambtenaar twee onderscheidingstekens gelden, heeft de hoogste onderscheiding voorrang.</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lastRenderedPageBreak/>
        <w:t>Artikel 37</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borstembleem</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Op het geëmailleerde metalen borstembleem staat tegen een bruine achtergrond het wapen van Curaçao afgebeeld, met aan weerszijden lauwertakken en in het midden onderaan het woord “DOUANE”.</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38</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werktenue</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C66341">
      <w:pPr>
        <w:numPr>
          <w:ilvl w:val="0"/>
          <w:numId w:val="4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werktenue komt in drie uitvoeringen:</w:t>
      </w:r>
    </w:p>
    <w:p w:rsidR="003C0B2F" w:rsidRPr="003C0B2F" w:rsidRDefault="003C0B2F" w:rsidP="00C66341">
      <w:pPr>
        <w:numPr>
          <w:ilvl w:val="0"/>
          <w:numId w:val="4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een uitvoering bestaat uit een donkerbeige polo shirt met op de borst het logo van de douane en op de rug in zwarte letters “DOUANE” of “CUSTOMS” aangebracht en een donkerbruine broek. Bij deze uitvoering van het werktenue hoort tevens een donkerbruine pet met daarop het woord “DOUANE” of “CUSTOMS” in goudkleurige letters geborduurd.</w:t>
      </w:r>
    </w:p>
    <w:p w:rsidR="003C0B2F" w:rsidRPr="003C0B2F" w:rsidRDefault="003C0B2F" w:rsidP="00C66341">
      <w:pPr>
        <w:numPr>
          <w:ilvl w:val="0"/>
          <w:numId w:val="4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een andere uitvoering bestaat uit een donker bruin polo shirt met op de rug in goudkleurige letters “DOUANE” of “CUSTOMS” aangebracht en een donkerbruine broek. Bij deze uitvoering van het werktenue hoort tevens een donker bruine pet met daarop het woord “DOUANE” of “CUSTOMS” in goudkleurige letters geborduurd.</w:t>
      </w:r>
    </w:p>
    <w:p w:rsidR="003C0B2F" w:rsidRPr="003C0B2F" w:rsidRDefault="003C0B2F" w:rsidP="00C66341">
      <w:pPr>
        <w:numPr>
          <w:ilvl w:val="0"/>
          <w:numId w:val="45"/>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voor de hondengeleiders worden in dit lid onder a en b genoemde polo shirts vervangen door een donkerbeige of een donker bruin polo shirt voorzien van een geborduurde of anderszins aangebrachte afbeelding van een hond op de borst, met op de rug in zwarte of goudkleurige letters “DOUANE” of “CUSTOMS” geborduurd.</w:t>
      </w:r>
    </w:p>
    <w:p w:rsidR="003C0B2F" w:rsidRPr="003C0B2F" w:rsidRDefault="003C0B2F" w:rsidP="00C66341">
      <w:pPr>
        <w:numPr>
          <w:ilvl w:val="0"/>
          <w:numId w:val="4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schoeisel behorende bij het werktenue is in alle gevallen uitgevoerd in het zwart of donkerbruin en reikt tot boven de enkels.</w:t>
      </w:r>
    </w:p>
    <w:p w:rsidR="003C0B2F" w:rsidRPr="003C0B2F" w:rsidRDefault="003C0B2F" w:rsidP="00C66341">
      <w:pPr>
        <w:numPr>
          <w:ilvl w:val="0"/>
          <w:numId w:val="44"/>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Bij het werktenue behoren tevens effen donkerbruine sokken en een donkerbruine lederen riem voorzien van een koperkleurige gesp.</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39</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geklede tenue</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Het geklede tenue is gelijk aan het dagelijkse tenue met dien verstande dat het overhemd respectievelijk de blouse lange mouwen heeft. Individueel leidinggevenden en de procesmanagers dragen als onderdeel van het geklede tenue ook de jas beschreven in artikel 40 van dit landsbesluit. Het Hoofd draagt hierbij in plaats van het fluitkoord een goudkleurig armkoord op zijn jas.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40</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de jas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jas (“service-dress” model) heeft de kleur bruin (“tan”). De jas is aan de binnenkant</w:t>
      </w:r>
      <w:r w:rsidR="00222411">
        <w:rPr>
          <w:rFonts w:ascii="Palatino Linotype" w:hAnsi="Palatino Linotype"/>
          <w:sz w:val="22"/>
          <w:szCs w:val="22"/>
          <w:lang w:val="nl-NL"/>
        </w:rPr>
        <w:t xml:space="preserve"> </w:t>
      </w:r>
      <w:r w:rsidRPr="003C0B2F">
        <w:rPr>
          <w:rFonts w:ascii="Palatino Linotype" w:hAnsi="Palatino Linotype"/>
          <w:sz w:val="22"/>
          <w:szCs w:val="22"/>
          <w:lang w:val="nl-NL"/>
        </w:rPr>
        <w:t>gevoerd met zijde van de kleur donkerbeige en is uitgevoerd met:</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liggende kraag en revers;</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sluiting met vier grote goudkleurige knopen;</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twee opgezette borstzakken met stolpplooi en driepuntige klep gesloten met een kleine goudkleurige knoop;</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twee ingezette heupzakken met driepuntige klep, gesloten met een kleine goudkleurige knoop;</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lange mouwen met drie kleine goudkleurige knopen aan de onderzijde daarvan;</w:t>
      </w:r>
    </w:p>
    <w:p w:rsidR="003C0B2F" w:rsidRPr="003C0B2F" w:rsidRDefault="003C0B2F" w:rsidP="00C66341">
      <w:pPr>
        <w:numPr>
          <w:ilvl w:val="0"/>
          <w:numId w:val="42"/>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een aan beide schoudernaden bevestigde passant, gesloten met een kleine goudkleurige knoop.</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41</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Uitrustingstukken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222411">
      <w:pPr>
        <w:numPr>
          <w:ilvl w:val="0"/>
          <w:numId w:val="4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Tot de uitrustingstukken behoren: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aantekenboekje;</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gilet;</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vuurwapen en toebehoren;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 xml:space="preserve">handboeien; </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handschoenen;</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identiteitskaart;</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 xml:space="preserve">ketelpak; </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kogelvrij vest;</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 xml:space="preserve">regenjas met </w:t>
      </w:r>
      <w:proofErr w:type="spellStart"/>
      <w:r w:rsidRPr="003C0B2F">
        <w:rPr>
          <w:rFonts w:ascii="Palatino Linotype" w:hAnsi="Palatino Linotype"/>
          <w:sz w:val="22"/>
          <w:szCs w:val="22"/>
          <w:lang w:val="nl-NL"/>
        </w:rPr>
        <w:t>petovertrek</w:t>
      </w:r>
      <w:proofErr w:type="spellEnd"/>
      <w:r w:rsidRPr="003C0B2F">
        <w:rPr>
          <w:rFonts w:ascii="Palatino Linotype" w:hAnsi="Palatino Linotype"/>
          <w:sz w:val="22"/>
          <w:szCs w:val="22"/>
          <w:lang w:val="nl-NL"/>
        </w:rPr>
        <w:t>;</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armkoord;</w:t>
      </w:r>
    </w:p>
    <w:p w:rsidR="003C0B2F" w:rsidRPr="003C0B2F" w:rsidRDefault="003C0B2F" w:rsidP="003C0B2F">
      <w:pPr>
        <w:suppressAutoHyphens/>
        <w:ind w:left="720"/>
        <w:jc w:val="both"/>
        <w:rPr>
          <w:rFonts w:ascii="Palatino Linotype" w:hAnsi="Palatino Linotype"/>
          <w:sz w:val="22"/>
          <w:szCs w:val="22"/>
          <w:lang w:val="nl-NL"/>
        </w:rPr>
      </w:pPr>
      <w:proofErr w:type="spellStart"/>
      <w:r w:rsidRPr="003C0B2F">
        <w:rPr>
          <w:rFonts w:ascii="Palatino Linotype" w:hAnsi="Palatino Linotype"/>
          <w:sz w:val="22"/>
          <w:szCs w:val="22"/>
          <w:lang w:val="nl-NL"/>
        </w:rPr>
        <w:t>veiligheidschoenen</w:t>
      </w:r>
      <w:proofErr w:type="spellEnd"/>
      <w:r w:rsidRPr="003C0B2F">
        <w:rPr>
          <w:rFonts w:ascii="Palatino Linotype" w:hAnsi="Palatino Linotype"/>
          <w:sz w:val="22"/>
          <w:szCs w:val="22"/>
          <w:lang w:val="nl-NL"/>
        </w:rPr>
        <w:t>;</w:t>
      </w:r>
    </w:p>
    <w:p w:rsidR="003C0B2F" w:rsidRPr="003C0B2F" w:rsidRDefault="003C0B2F" w:rsidP="003C0B2F">
      <w:pPr>
        <w:suppressAutoHyphens/>
        <w:ind w:left="720"/>
        <w:jc w:val="both"/>
        <w:rPr>
          <w:rFonts w:ascii="Palatino Linotype" w:hAnsi="Palatino Linotype"/>
          <w:sz w:val="22"/>
          <w:szCs w:val="22"/>
          <w:lang w:val="nl-NL"/>
        </w:rPr>
      </w:pPr>
      <w:proofErr w:type="spellStart"/>
      <w:r w:rsidRPr="003C0B2F">
        <w:rPr>
          <w:rFonts w:ascii="Palatino Linotype" w:hAnsi="Palatino Linotype"/>
          <w:sz w:val="22"/>
          <w:szCs w:val="22"/>
          <w:lang w:val="nl-NL"/>
        </w:rPr>
        <w:t>werkjas</w:t>
      </w:r>
      <w:proofErr w:type="spellEnd"/>
      <w:r w:rsidRPr="003C0B2F">
        <w:rPr>
          <w:rFonts w:ascii="Palatino Linotype" w:hAnsi="Palatino Linotype"/>
          <w:sz w:val="22"/>
          <w:szCs w:val="22"/>
          <w:lang w:val="nl-NL"/>
        </w:rPr>
        <w:t>;</w:t>
      </w:r>
    </w:p>
    <w:p w:rsidR="003C0B2F" w:rsidRPr="003C0B2F" w:rsidRDefault="003C0B2F" w:rsidP="003C0B2F">
      <w:pPr>
        <w:suppressAutoHyphens/>
        <w:ind w:left="720"/>
        <w:jc w:val="both"/>
        <w:rPr>
          <w:rFonts w:ascii="Palatino Linotype" w:hAnsi="Palatino Linotype"/>
          <w:sz w:val="22"/>
          <w:szCs w:val="22"/>
          <w:lang w:val="nl-NL"/>
        </w:rPr>
      </w:pPr>
      <w:r w:rsidRPr="003C0B2F">
        <w:rPr>
          <w:rFonts w:ascii="Palatino Linotype" w:hAnsi="Palatino Linotype"/>
          <w:sz w:val="22"/>
          <w:szCs w:val="22"/>
          <w:lang w:val="nl-NL"/>
        </w:rPr>
        <w:t>zakmes.</w:t>
      </w:r>
    </w:p>
    <w:p w:rsidR="003C0B2F" w:rsidRPr="003C0B2F" w:rsidRDefault="003C0B2F" w:rsidP="00222411">
      <w:pPr>
        <w:numPr>
          <w:ilvl w:val="0"/>
          <w:numId w:val="4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Hoofd kan ook andere dan de hierboven genoemde uitrustingstukken vaststellen.</w:t>
      </w:r>
    </w:p>
    <w:p w:rsidR="003C0B2F" w:rsidRPr="003C0B2F" w:rsidRDefault="003C0B2F" w:rsidP="00222411">
      <w:pPr>
        <w:numPr>
          <w:ilvl w:val="0"/>
          <w:numId w:val="4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Hoofd bepaalt, aan welke ambtenaren vorenstaande uitrustingstukken worden verstrekt en wanneer deze zullen (mogen) worden gedragen dan wel gebruikt.</w:t>
      </w:r>
    </w:p>
    <w:p w:rsidR="003C0B2F" w:rsidRPr="003C0B2F" w:rsidRDefault="003C0B2F" w:rsidP="00222411">
      <w:pPr>
        <w:numPr>
          <w:ilvl w:val="0"/>
          <w:numId w:val="47"/>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Hoofd kan aan de verstrekking van de uitrustingstukken nadere voorwaarden stellen.</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42</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222411">
      <w:pPr>
        <w:numPr>
          <w:ilvl w:val="0"/>
          <w:numId w:val="3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in dit landsbesluit voorgeschreven dienstkleding wordt uitsluitend gedragen binnen het grondgebied van Curaçao.</w:t>
      </w:r>
    </w:p>
    <w:p w:rsidR="003C0B2F" w:rsidRPr="003C0B2F" w:rsidRDefault="003C0B2F" w:rsidP="00222411">
      <w:pPr>
        <w:numPr>
          <w:ilvl w:val="0"/>
          <w:numId w:val="39"/>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Minister kan op voorstel van het Hoofd ontheffing verlenen van het bepaalde in het eerste lid, voor zover zulks verband houdt met de dienst of zulks uit representatieve overwegingen wordt verlangd.</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43</w:t>
      </w:r>
    </w:p>
    <w:p w:rsidR="003C0B2F" w:rsidRPr="003C0B2F" w:rsidRDefault="003C0B2F" w:rsidP="0053492E">
      <w:pPr>
        <w:suppressAutoHyphens/>
        <w:spacing w:line="200" w:lineRule="atLeast"/>
        <w:jc w:val="center"/>
        <w:rPr>
          <w:rFonts w:ascii="Palatino Linotype" w:hAnsi="Palatino Linotype"/>
          <w:sz w:val="22"/>
          <w:szCs w:val="22"/>
          <w:lang w:val="nl-NL"/>
        </w:rPr>
      </w:pPr>
    </w:p>
    <w:p w:rsidR="003C0B2F" w:rsidRPr="003C0B2F" w:rsidRDefault="003C0B2F" w:rsidP="00222411">
      <w:pPr>
        <w:numPr>
          <w:ilvl w:val="0"/>
          <w:numId w:val="38"/>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ambtenaren zijn verplicht steeds de voorgeschreven dienstkleding te dragen. De oorspronkelijke structuur van de dienstkleding wordt niet gewijzigd zonder voorafgaande toestemming van de Minister.</w:t>
      </w:r>
    </w:p>
    <w:p w:rsidR="003C0B2F" w:rsidRPr="00222411" w:rsidRDefault="003C0B2F" w:rsidP="00375AD9">
      <w:pPr>
        <w:numPr>
          <w:ilvl w:val="0"/>
          <w:numId w:val="38"/>
        </w:numPr>
        <w:suppressAutoHyphens/>
        <w:ind w:left="284"/>
        <w:contextualSpacing/>
        <w:jc w:val="both"/>
        <w:rPr>
          <w:rFonts w:ascii="Palatino Linotype" w:hAnsi="Palatino Linotype"/>
          <w:sz w:val="22"/>
          <w:szCs w:val="22"/>
          <w:lang w:val="nl-NL"/>
        </w:rPr>
      </w:pPr>
      <w:r w:rsidRPr="00222411">
        <w:rPr>
          <w:rFonts w:ascii="Palatino Linotype" w:hAnsi="Palatino Linotype"/>
          <w:sz w:val="22"/>
          <w:szCs w:val="22"/>
          <w:lang w:val="nl-NL"/>
        </w:rPr>
        <w:t>De dienstkleding dient zich in goede staat te bevinden. Dienstkleding die afwijkt van</w:t>
      </w:r>
      <w:r w:rsidR="00222411" w:rsidRPr="00222411">
        <w:rPr>
          <w:rFonts w:ascii="Palatino Linotype" w:hAnsi="Palatino Linotype"/>
          <w:sz w:val="22"/>
          <w:szCs w:val="22"/>
          <w:lang w:val="nl-NL"/>
        </w:rPr>
        <w:t xml:space="preserve"> </w:t>
      </w:r>
      <w:r w:rsidRPr="00222411">
        <w:rPr>
          <w:rFonts w:ascii="Palatino Linotype" w:hAnsi="Palatino Linotype"/>
          <w:sz w:val="22"/>
          <w:szCs w:val="22"/>
          <w:lang w:val="nl-NL"/>
        </w:rPr>
        <w:t>hetgeen oorspronkelijk werd geleverd, wordt geacht zich niet in goede staat te bevinden. Gewijzigde dienstkleding wordt door of op kosten van de betrokken ambtenaar in de oorspronkelijke staat hersteld of zo nodig vernieuwd.</w:t>
      </w:r>
    </w:p>
    <w:p w:rsidR="003C0B2F" w:rsidRPr="003C0B2F" w:rsidRDefault="003C0B2F" w:rsidP="0053492E">
      <w:pPr>
        <w:suppressAutoHyphens/>
        <w:spacing w:line="200" w:lineRule="exact"/>
        <w:jc w:val="center"/>
        <w:rPr>
          <w:rFonts w:ascii="Palatino Linotype" w:hAnsi="Palatino Linotype"/>
          <w:sz w:val="22"/>
          <w:szCs w:val="22"/>
          <w:lang w:val="nl-NL"/>
        </w:rPr>
      </w:pPr>
    </w:p>
    <w:p w:rsidR="005F1C45" w:rsidRDefault="005F1C45" w:rsidP="003C0B2F">
      <w:pPr>
        <w:suppressAutoHyphens/>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lastRenderedPageBreak/>
        <w:t>Artikel 44</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onderdelen van de dienstkleding die normaal gesloten dienen te zijn worden in het openbaar of in gezelschap steeds geheel gesloten gedragen, met uitzondering van de gevallen waarvoor zulks door het Hoofd anders is bepaald.</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pet wordt recht op het hoofd gedragen; zodanig dat het embleem zich midden boven het voorhoofd bevindt. De stormband wordt onder de ronding van de kin gedragen:</w:t>
      </w:r>
    </w:p>
    <w:p w:rsidR="003C0B2F" w:rsidRPr="003C0B2F" w:rsidRDefault="003C0B2F" w:rsidP="00C66341">
      <w:pPr>
        <w:numPr>
          <w:ilvl w:val="0"/>
          <w:numId w:val="41"/>
        </w:num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indien bij buitendienst de wind dat noodzakelijk maakt;</w:t>
      </w:r>
    </w:p>
    <w:p w:rsidR="003C0B2F" w:rsidRPr="003C0B2F" w:rsidRDefault="003C0B2F" w:rsidP="00C66341">
      <w:pPr>
        <w:numPr>
          <w:ilvl w:val="0"/>
          <w:numId w:val="41"/>
        </w:num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na bekomen opdracht.</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De stropdas wordt met de knoop tegen de boordsluiting gedragen, de punt van het brede einde even boven de broekriemsluiting, het smalle einde onzichtbaar, het geheel glad hangend en onmiddellijk boven de vierde knoop van boven met de </w:t>
      </w:r>
      <w:proofErr w:type="spellStart"/>
      <w:r w:rsidRPr="003C0B2F">
        <w:rPr>
          <w:rFonts w:ascii="Palatino Linotype" w:hAnsi="Palatino Linotype"/>
          <w:sz w:val="22"/>
          <w:szCs w:val="22"/>
          <w:lang w:val="nl-NL"/>
        </w:rPr>
        <w:t>dasklem</w:t>
      </w:r>
      <w:proofErr w:type="spellEnd"/>
      <w:r w:rsidRPr="003C0B2F">
        <w:rPr>
          <w:rFonts w:ascii="Palatino Linotype" w:hAnsi="Palatino Linotype"/>
          <w:sz w:val="22"/>
          <w:szCs w:val="22"/>
          <w:lang w:val="nl-NL"/>
        </w:rPr>
        <w:t xml:space="preserve"> aan het overhemd bevestigd.</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Bij de blouse met lange mouwen lopen de uiteinden van de korte das kruislings onder langs de kraagpunten.</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De broek of rok met broekriem wordt zodanig gedragen, dat de bovenrand even boven de heupen glad om het lichaam sluit.</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borstembleem wordt gedragen op de jas respectievelijk het overhemd of de blouse, 1 centimeter boven de klep van de linkerborstzak.</w:t>
      </w:r>
    </w:p>
    <w:p w:rsidR="003C0B2F" w:rsidRPr="003C0B2F" w:rsidRDefault="003C0B2F" w:rsidP="00C6634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Voor wat betreft epauletten, schoenen, sokken of kousen, is de draagwijze overeenkomstig normaal gebruik.</w:t>
      </w:r>
    </w:p>
    <w:p w:rsidR="003C0B2F" w:rsidRPr="003C0B2F" w:rsidRDefault="003C0B2F" w:rsidP="00222411">
      <w:pPr>
        <w:numPr>
          <w:ilvl w:val="0"/>
          <w:numId w:val="40"/>
        </w:num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Het is ambtenaren verboden om naast dienstkleding zichtbaar andere kleding te dragen behoudens het dragen van een zonnebril van niet opvallend model en formaat, zonder versierselen.</w:t>
      </w:r>
    </w:p>
    <w:p w:rsidR="003C0B2F" w:rsidRPr="003C0B2F" w:rsidRDefault="003C0B2F" w:rsidP="0053492E">
      <w:pPr>
        <w:suppressAutoHyphens/>
        <w:spacing w:line="200" w:lineRule="exact"/>
        <w:jc w:val="center"/>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45</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Minister kan nadere regelen geven met betrekking tot de dienstkleding, uitrustingstukken en onderscheidingstekens.</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46</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C66341">
      <w:pPr>
        <w:numPr>
          <w:ilvl w:val="0"/>
          <w:numId w:val="3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De aanschaf en verstrekking van de dienstkleding, toebehorende uitrustingstukken en onderscheidingstekens omschreven in dit landsbesluit geschiedt voor rekening van de openbare rechtspersoon Curaçao en behoort tot de zorg van het Hoofd.</w:t>
      </w:r>
    </w:p>
    <w:p w:rsidR="003C0B2F" w:rsidRPr="003C0B2F" w:rsidRDefault="003C0B2F" w:rsidP="00C66341">
      <w:pPr>
        <w:numPr>
          <w:ilvl w:val="0"/>
          <w:numId w:val="3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Aan de ambtenaren zullen de volgende kledingstukken worden verstrekt:</w:t>
      </w:r>
    </w:p>
    <w:p w:rsidR="003C0B2F" w:rsidRPr="003C0B2F" w:rsidRDefault="003C0B2F" w:rsidP="003C0B2F">
      <w:p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Bij de eerste verstrekking:</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compleet dagelijks en werktenue met dien verstande dat bij de eerste verstrekking twee paar schoenen worden verstrekt.</w:t>
      </w:r>
    </w:p>
    <w:p w:rsidR="003C0B2F" w:rsidRPr="003C0B2F" w:rsidRDefault="003C0B2F" w:rsidP="003C0B2F">
      <w:p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Ieder jaar:</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vijf overhemden waarvan ten minste één met lange mouwen;</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drie broeken;</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vijf paar sokken of tweeënvijftig paar kousen;</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paar schoenen.</w:t>
      </w:r>
    </w:p>
    <w:p w:rsidR="003C0B2F" w:rsidRPr="003C0B2F" w:rsidRDefault="003C0B2F" w:rsidP="003C0B2F">
      <w:p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Om de drie jaar:</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borst embleem;</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broekriem;</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lastRenderedPageBreak/>
        <w:t>één das;</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één </w:t>
      </w:r>
      <w:proofErr w:type="spellStart"/>
      <w:r w:rsidRPr="003C0B2F">
        <w:rPr>
          <w:rFonts w:ascii="Palatino Linotype" w:hAnsi="Palatino Linotype"/>
          <w:sz w:val="22"/>
          <w:szCs w:val="22"/>
          <w:lang w:val="nl-NL"/>
        </w:rPr>
        <w:t>dasklem</w:t>
      </w:r>
      <w:proofErr w:type="spellEnd"/>
      <w:r w:rsidRPr="003C0B2F">
        <w:rPr>
          <w:rFonts w:ascii="Palatino Linotype" w:hAnsi="Palatino Linotype"/>
          <w:sz w:val="22"/>
          <w:szCs w:val="22"/>
          <w:lang w:val="nl-NL"/>
        </w:rPr>
        <w:t>;</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 xml:space="preserve">één </w:t>
      </w:r>
      <w:proofErr w:type="spellStart"/>
      <w:r w:rsidRPr="003C0B2F">
        <w:rPr>
          <w:rFonts w:ascii="Palatino Linotype" w:hAnsi="Palatino Linotype"/>
          <w:sz w:val="22"/>
          <w:szCs w:val="22"/>
          <w:lang w:val="nl-NL"/>
        </w:rPr>
        <w:t>petembleem</w:t>
      </w:r>
      <w:proofErr w:type="spellEnd"/>
      <w:r w:rsidRPr="003C0B2F">
        <w:rPr>
          <w:rFonts w:ascii="Palatino Linotype" w:hAnsi="Palatino Linotype"/>
          <w:sz w:val="22"/>
          <w:szCs w:val="22"/>
          <w:lang w:val="nl-NL"/>
        </w:rPr>
        <w:t>;</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paar epauletten met onderscheidingsteken;</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pet.</w:t>
      </w:r>
    </w:p>
    <w:p w:rsidR="003C0B2F" w:rsidRPr="003C0B2F" w:rsidRDefault="003C0B2F" w:rsidP="003C0B2F">
      <w:pPr>
        <w:suppressAutoHyphens/>
        <w:ind w:left="360"/>
        <w:contextualSpacing/>
        <w:jc w:val="both"/>
        <w:rPr>
          <w:rFonts w:ascii="Palatino Linotype" w:hAnsi="Palatino Linotype"/>
          <w:sz w:val="22"/>
          <w:szCs w:val="22"/>
          <w:lang w:val="nl-NL"/>
        </w:rPr>
      </w:pPr>
      <w:r w:rsidRPr="003C0B2F">
        <w:rPr>
          <w:rFonts w:ascii="Palatino Linotype" w:hAnsi="Palatino Linotype"/>
          <w:sz w:val="22"/>
          <w:szCs w:val="22"/>
          <w:lang w:val="nl-NL"/>
        </w:rPr>
        <w:t>Om de vier jaar:</w:t>
      </w:r>
    </w:p>
    <w:p w:rsidR="003C0B2F" w:rsidRPr="003C0B2F" w:rsidRDefault="003C0B2F" w:rsidP="003C0B2F">
      <w:pPr>
        <w:suppressAutoHyphens/>
        <w:ind w:left="720"/>
        <w:contextualSpacing/>
        <w:jc w:val="both"/>
        <w:rPr>
          <w:rFonts w:ascii="Palatino Linotype" w:hAnsi="Palatino Linotype"/>
          <w:sz w:val="22"/>
          <w:szCs w:val="22"/>
          <w:lang w:val="nl-NL"/>
        </w:rPr>
      </w:pPr>
      <w:r w:rsidRPr="003C0B2F">
        <w:rPr>
          <w:rFonts w:ascii="Palatino Linotype" w:hAnsi="Palatino Linotype"/>
          <w:sz w:val="22"/>
          <w:szCs w:val="22"/>
          <w:lang w:val="nl-NL"/>
        </w:rPr>
        <w:t>één jas.</w:t>
      </w:r>
    </w:p>
    <w:p w:rsidR="003C0B2F" w:rsidRPr="003C0B2F" w:rsidRDefault="003C0B2F" w:rsidP="00C66341">
      <w:pPr>
        <w:numPr>
          <w:ilvl w:val="0"/>
          <w:numId w:val="37"/>
        </w:numPr>
        <w:suppressAutoHyphens/>
        <w:contextualSpacing/>
        <w:jc w:val="both"/>
        <w:rPr>
          <w:rFonts w:ascii="Palatino Linotype" w:hAnsi="Palatino Linotype"/>
          <w:sz w:val="22"/>
          <w:szCs w:val="22"/>
          <w:lang w:val="nl-NL"/>
        </w:rPr>
      </w:pPr>
      <w:r w:rsidRPr="003C0B2F">
        <w:rPr>
          <w:rFonts w:ascii="Palatino Linotype" w:hAnsi="Palatino Linotype"/>
          <w:sz w:val="22"/>
          <w:szCs w:val="22"/>
          <w:lang w:val="nl-NL"/>
        </w:rPr>
        <w:t>De Minister kan, na het Hoofd te hebben gehoord, ingeval een kledingvergoeding als bedoeld in artikel 8 wordt toegekend, nadere regelen stellen omtrent de te verstrekken dienstkleding, onderscheidingstekens en uitrustingstukken.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47</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Het Hoofd of een door deze aangewezen ambtenaar zal ten minste éénmaal per kalenderjaar inspectie houden van de dienstkleding, onderscheidingstekens en uitrustingstukken. De wijze waarop deze inspectie geschiedt, wordt nader bepaald door het Hoofd.</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48</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De ambtenaar door wiens toedoen of nalaten de dienstkleding of overige ter beschikking gestelde uitrustingstukken en onderscheidingstekens beschadigd worden of verloren gaan, is verplicht die schade te vergoeden.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Hoofdstuk VI</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Overgangs- en slotbepalingen</w:t>
      </w:r>
    </w:p>
    <w:p w:rsidR="003C0B2F" w:rsidRPr="003C0B2F" w:rsidRDefault="003C0B2F" w:rsidP="003C0B2F">
      <w:pPr>
        <w:suppressAutoHyphens/>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Artikelen 49 tot en met 55</w:t>
      </w: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(vervallen)</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center"/>
        <w:rPr>
          <w:rFonts w:ascii="Palatino Linotype" w:hAnsi="Palatino Linotype"/>
          <w:sz w:val="22"/>
          <w:szCs w:val="22"/>
          <w:lang w:val="nl-NL"/>
        </w:rPr>
      </w:pPr>
      <w:r w:rsidRPr="003C0B2F">
        <w:rPr>
          <w:rFonts w:ascii="Palatino Linotype" w:hAnsi="Palatino Linotype"/>
          <w:sz w:val="22"/>
          <w:szCs w:val="22"/>
          <w:lang w:val="nl-NL"/>
        </w:rPr>
        <w:t>Artikel 56</w:t>
      </w:r>
    </w:p>
    <w:p w:rsidR="003C0B2F" w:rsidRPr="003C0B2F" w:rsidRDefault="003C0B2F" w:rsidP="003C0B2F">
      <w:pPr>
        <w:suppressAutoHyphens/>
        <w:jc w:val="both"/>
        <w:rPr>
          <w:rFonts w:ascii="Palatino Linotype" w:hAnsi="Palatino Linotype"/>
          <w:sz w:val="22"/>
          <w:szCs w:val="22"/>
          <w:lang w:val="nl-NL"/>
        </w:rPr>
      </w:pPr>
    </w:p>
    <w:p w:rsidR="003C0B2F" w:rsidRPr="003C0B2F" w:rsidRDefault="003C0B2F" w:rsidP="003C0B2F">
      <w:pPr>
        <w:suppressAutoHyphens/>
        <w:jc w:val="both"/>
        <w:rPr>
          <w:rFonts w:ascii="Palatino Linotype" w:hAnsi="Palatino Linotype"/>
          <w:sz w:val="22"/>
          <w:szCs w:val="22"/>
          <w:lang w:val="nl-NL"/>
        </w:rPr>
      </w:pPr>
      <w:r w:rsidRPr="003C0B2F">
        <w:rPr>
          <w:rFonts w:ascii="Palatino Linotype" w:hAnsi="Palatino Linotype"/>
          <w:sz w:val="22"/>
          <w:szCs w:val="22"/>
          <w:lang w:val="nl-NL"/>
        </w:rPr>
        <w:t>Dit landsbesluit, houdende algemene maatregeling, wordt aangehaald als: Landsbesluit Douane.</w:t>
      </w:r>
      <w:r w:rsidRPr="003C0B2F">
        <w:rPr>
          <w:rFonts w:ascii="Palatino Linotype" w:hAnsi="Palatino Linotype"/>
          <w:sz w:val="22"/>
          <w:szCs w:val="22"/>
          <w:vertAlign w:val="superscript"/>
          <w:lang w:val="nl-NL"/>
        </w:rPr>
        <w:footnoteReference w:id="5"/>
      </w:r>
    </w:p>
    <w:p w:rsidR="003C0B2F" w:rsidRPr="003C0B2F" w:rsidRDefault="003C0B2F" w:rsidP="003C0B2F">
      <w:pPr>
        <w:suppressAutoHyphens/>
        <w:jc w:val="both"/>
        <w:rPr>
          <w:rFonts w:ascii="Palatino Linotype" w:hAnsi="Palatino Linotype"/>
          <w:sz w:val="22"/>
          <w:szCs w:val="22"/>
          <w:lang w:val="nl-NL"/>
        </w:rPr>
      </w:pPr>
    </w:p>
    <w:p w:rsidR="008D5E2E" w:rsidRDefault="003C0B2F" w:rsidP="003C0B2F">
      <w:pPr>
        <w:autoSpaceDE w:val="0"/>
        <w:autoSpaceDN w:val="0"/>
        <w:adjustRightInd w:val="0"/>
        <w:jc w:val="center"/>
        <w:rPr>
          <w:rFonts w:ascii="Palatino Linotype" w:hAnsi="Palatino Linotype" w:cs="Arial"/>
          <w:snapToGrid/>
          <w:sz w:val="22"/>
          <w:szCs w:val="22"/>
          <w:lang w:val="nl-NL"/>
        </w:rPr>
      </w:pPr>
      <w:r w:rsidRPr="003C0B2F">
        <w:rPr>
          <w:rFonts w:ascii="Palatino Linotype" w:hAnsi="Palatino Linotype"/>
          <w:sz w:val="22"/>
          <w:szCs w:val="22"/>
          <w:lang w:val="nl-NL"/>
        </w:rPr>
        <w:t>***</w:t>
      </w:r>
    </w:p>
    <w:p w:rsidR="0053492E" w:rsidRDefault="0053492E" w:rsidP="00022D76">
      <w:pPr>
        <w:autoSpaceDE w:val="0"/>
        <w:autoSpaceDN w:val="0"/>
        <w:adjustRightInd w:val="0"/>
        <w:rPr>
          <w:rFonts w:ascii="Palatino Linotype" w:hAnsi="Palatino Linotype" w:cs="Arial"/>
          <w:b/>
          <w:sz w:val="20"/>
          <w:lang w:val="nl-NL"/>
        </w:rPr>
      </w:pPr>
    </w:p>
    <w:p w:rsidR="0053492E" w:rsidRPr="0053492E" w:rsidRDefault="0053492E" w:rsidP="0053492E">
      <w:pPr>
        <w:rPr>
          <w:rFonts w:ascii="Palatino Linotype" w:hAnsi="Palatino Linotype" w:cs="Arial"/>
          <w:sz w:val="20"/>
          <w:lang w:val="nl-NL"/>
        </w:rPr>
      </w:pPr>
    </w:p>
    <w:p w:rsidR="0053492E" w:rsidRPr="0053492E" w:rsidRDefault="0053492E" w:rsidP="0053492E">
      <w:pPr>
        <w:rPr>
          <w:rFonts w:ascii="Palatino Linotype" w:hAnsi="Palatino Linotype" w:cs="Arial"/>
          <w:sz w:val="20"/>
          <w:lang w:val="nl-NL"/>
        </w:rPr>
      </w:pPr>
    </w:p>
    <w:p w:rsidR="0053492E" w:rsidRPr="0053492E" w:rsidRDefault="0053492E" w:rsidP="0053492E">
      <w:pPr>
        <w:rPr>
          <w:rFonts w:ascii="Palatino Linotype" w:hAnsi="Palatino Linotype" w:cs="Arial"/>
          <w:sz w:val="20"/>
          <w:lang w:val="nl-NL"/>
        </w:rPr>
      </w:pPr>
    </w:p>
    <w:p w:rsidR="0053492E" w:rsidRDefault="0053492E" w:rsidP="0053492E">
      <w:pPr>
        <w:rPr>
          <w:rFonts w:ascii="Palatino Linotype" w:hAnsi="Palatino Linotype" w:cs="Arial"/>
          <w:sz w:val="20"/>
          <w:lang w:val="nl-NL"/>
        </w:rPr>
      </w:pPr>
    </w:p>
    <w:p w:rsidR="0053492E" w:rsidRDefault="0053492E">
      <w:pPr>
        <w:widowControl/>
        <w:rPr>
          <w:rFonts w:ascii="Palatino Linotype" w:hAnsi="Palatino Linotype" w:cs="Arial"/>
          <w:sz w:val="20"/>
          <w:lang w:val="nl-NL"/>
        </w:rPr>
      </w:pPr>
      <w:r>
        <w:rPr>
          <w:rFonts w:ascii="Palatino Linotype" w:hAnsi="Palatino Linotype" w:cs="Arial"/>
          <w:sz w:val="20"/>
          <w:lang w:val="nl-NL"/>
        </w:rPr>
        <w:br w:type="page"/>
      </w:r>
    </w:p>
    <w:p w:rsidR="00C66341" w:rsidRPr="00C66341" w:rsidRDefault="00C66341" w:rsidP="00C66341">
      <w:pPr>
        <w:widowControl/>
        <w:spacing w:line="259" w:lineRule="auto"/>
        <w:jc w:val="both"/>
        <w:rPr>
          <w:rFonts w:ascii="Palatino Linotype" w:hAnsi="Palatino Linotype"/>
          <w:b/>
          <w:sz w:val="22"/>
          <w:szCs w:val="22"/>
          <w:lang w:val="nl-NL"/>
        </w:rPr>
      </w:pPr>
      <w:r w:rsidRPr="00C66341">
        <w:rPr>
          <w:rFonts w:ascii="Palatino Linotype" w:hAnsi="Palatino Linotype"/>
          <w:b/>
          <w:sz w:val="22"/>
          <w:szCs w:val="22"/>
          <w:lang w:val="nl-NL"/>
        </w:rPr>
        <w:lastRenderedPageBreak/>
        <w:t xml:space="preserve">Bijlage B </w:t>
      </w:r>
    </w:p>
    <w:p w:rsidR="00C66341" w:rsidRPr="00C66341" w:rsidRDefault="00C66341" w:rsidP="00C66341">
      <w:pPr>
        <w:widowControl/>
        <w:spacing w:line="259" w:lineRule="auto"/>
        <w:jc w:val="both"/>
        <w:rPr>
          <w:rFonts w:ascii="Palatino Linotype" w:hAnsi="Palatino Linotype"/>
          <w:sz w:val="22"/>
          <w:szCs w:val="22"/>
          <w:lang w:val="nl-NL"/>
        </w:rPr>
      </w:pPr>
      <w:r w:rsidRPr="00C66341">
        <w:rPr>
          <w:rFonts w:ascii="Palatino Linotype" w:hAnsi="Palatino Linotype"/>
          <w:sz w:val="22"/>
          <w:szCs w:val="22"/>
          <w:lang w:val="nl-NL"/>
        </w:rPr>
        <w:t>behorende bij het Landsbesluit, houdende algemene maatregelen, van de 23</w:t>
      </w:r>
      <w:r w:rsidRPr="00C66341">
        <w:rPr>
          <w:rFonts w:ascii="Palatino Linotype" w:hAnsi="Palatino Linotype"/>
          <w:sz w:val="22"/>
          <w:szCs w:val="22"/>
          <w:vertAlign w:val="superscript"/>
          <w:lang w:val="nl-NL"/>
        </w:rPr>
        <w:t>ste</w:t>
      </w:r>
      <w:r w:rsidRPr="00C66341">
        <w:rPr>
          <w:rFonts w:ascii="Palatino Linotype" w:hAnsi="Palatino Linotype"/>
          <w:sz w:val="22"/>
          <w:szCs w:val="22"/>
          <w:lang w:val="nl-NL"/>
        </w:rPr>
        <w:t>september 2010 ter uitvoering van de artikelen 13, tweede lid, onderdeel a, 17, 18, 19, 64, vierde lid, onderdeel a en 74 van Landsverordening Materieel Ambtenarenrecht ten behoeve van de Inspectie der Invoerrechten en Accijnzen (Landsbesluit Douane).</w:t>
      </w:r>
    </w:p>
    <w:p w:rsidR="00C66341" w:rsidRPr="00C66341" w:rsidRDefault="00C66341" w:rsidP="00C66341">
      <w:pPr>
        <w:suppressAutoHyphens/>
        <w:rPr>
          <w:rFonts w:ascii="Palatino Linotype" w:hAnsi="Palatino Linotype"/>
          <w:sz w:val="22"/>
          <w:szCs w:val="22"/>
          <w:lang w:val="nl-NL"/>
        </w:rPr>
      </w:pPr>
    </w:p>
    <w:p w:rsidR="00C66341" w:rsidRPr="00C66341" w:rsidRDefault="00C66341" w:rsidP="00C66341">
      <w:pPr>
        <w:suppressAutoHyphens/>
        <w:rPr>
          <w:rFonts w:ascii="Palatino Linotype" w:hAnsi="Palatino Linotype"/>
          <w:sz w:val="22"/>
          <w:szCs w:val="22"/>
          <w:lang w:val="nl-NL"/>
        </w:rPr>
      </w:pPr>
      <w:r w:rsidRPr="00C66341">
        <w:rPr>
          <w:rFonts w:ascii="Palatino Linotype" w:hAnsi="Palatino Linotype"/>
          <w:sz w:val="22"/>
          <w:szCs w:val="22"/>
          <w:lang w:val="nl-NL"/>
        </w:rPr>
        <w:t xml:space="preserve">Overzicht van de bezoldigingsschalen, de bezoldigingen en </w:t>
      </w:r>
      <w:proofErr w:type="spellStart"/>
      <w:r w:rsidRPr="00C66341">
        <w:rPr>
          <w:rFonts w:ascii="Palatino Linotype" w:hAnsi="Palatino Linotype"/>
          <w:sz w:val="22"/>
          <w:szCs w:val="22"/>
          <w:lang w:val="nl-NL"/>
        </w:rPr>
        <w:t>bezoldigingstredes</w:t>
      </w:r>
      <w:proofErr w:type="spellEnd"/>
      <w:r w:rsidRPr="00C66341">
        <w:rPr>
          <w:rFonts w:ascii="Palatino Linotype" w:hAnsi="Palatino Linotype"/>
          <w:sz w:val="22"/>
          <w:szCs w:val="22"/>
          <w:lang w:val="nl-NL"/>
        </w:rPr>
        <w:t xml:space="preserve"> </w:t>
      </w:r>
    </w:p>
    <w:p w:rsidR="00C66341" w:rsidRPr="00C66341" w:rsidRDefault="00C66341" w:rsidP="00C66341">
      <w:pPr>
        <w:widowControl/>
        <w:spacing w:line="259" w:lineRule="auto"/>
        <w:jc w:val="both"/>
        <w:rPr>
          <w:rFonts w:ascii="Palatino Linotype" w:hAnsi="Palatino Linotype"/>
          <w:sz w:val="22"/>
          <w:szCs w:val="22"/>
          <w:lang w:val="nl-NL"/>
        </w:rPr>
      </w:pPr>
    </w:p>
    <w:tbl>
      <w:tblPr>
        <w:tblStyle w:val="TableGrid2"/>
        <w:tblW w:w="9175" w:type="dxa"/>
        <w:tblLayout w:type="fixed"/>
        <w:tblLook w:val="04A0" w:firstRow="1" w:lastRow="0" w:firstColumn="1" w:lastColumn="0" w:noHBand="0" w:noVBand="1"/>
      </w:tblPr>
      <w:tblGrid>
        <w:gridCol w:w="898"/>
        <w:gridCol w:w="987"/>
        <w:gridCol w:w="1170"/>
        <w:gridCol w:w="990"/>
        <w:gridCol w:w="1080"/>
        <w:gridCol w:w="990"/>
        <w:gridCol w:w="990"/>
        <w:gridCol w:w="990"/>
        <w:gridCol w:w="1080"/>
      </w:tblGrid>
      <w:tr w:rsidR="00C66341" w:rsidRPr="00C66341" w:rsidTr="007C5DA1">
        <w:trPr>
          <w:trHeight w:val="432"/>
        </w:trPr>
        <w:tc>
          <w:tcPr>
            <w:tcW w:w="1885" w:type="dxa"/>
            <w:gridSpan w:val="2"/>
          </w:tcPr>
          <w:p w:rsidR="00C66341" w:rsidRPr="00C66341" w:rsidRDefault="00C66341" w:rsidP="00C66341">
            <w:pPr>
              <w:widowControl/>
              <w:rPr>
                <w:rFonts w:ascii="Palatino Linotype" w:hAnsi="Palatino Linotype"/>
                <w:sz w:val="22"/>
                <w:lang w:val="nl-NL"/>
              </w:rPr>
            </w:pPr>
            <w:r w:rsidRPr="00C66341">
              <w:rPr>
                <w:rFonts w:ascii="Palatino Linotype" w:hAnsi="Palatino Linotype"/>
                <w:sz w:val="22"/>
                <w:lang w:val="nl-NL"/>
              </w:rPr>
              <w:t>Bijlage B</w:t>
            </w:r>
          </w:p>
        </w:tc>
        <w:tc>
          <w:tcPr>
            <w:tcW w:w="1170" w:type="dxa"/>
          </w:tcPr>
          <w:p w:rsidR="00C66341" w:rsidRPr="00C66341" w:rsidRDefault="00C66341" w:rsidP="00C66341">
            <w:pPr>
              <w:widowControl/>
              <w:rPr>
                <w:rFonts w:ascii="Palatino Linotype" w:hAnsi="Palatino Linotype"/>
                <w:sz w:val="22"/>
                <w:lang w:val="nl-NL"/>
              </w:rPr>
            </w:pPr>
          </w:p>
        </w:tc>
        <w:tc>
          <w:tcPr>
            <w:tcW w:w="6120" w:type="dxa"/>
            <w:gridSpan w:val="6"/>
          </w:tcPr>
          <w:p w:rsidR="00C66341" w:rsidRPr="00C66341" w:rsidRDefault="00C66341" w:rsidP="00C66341">
            <w:pPr>
              <w:widowControl/>
              <w:rPr>
                <w:rFonts w:ascii="Palatino Linotype" w:hAnsi="Palatino Linotype"/>
                <w:sz w:val="22"/>
                <w:lang w:val="nl-NL"/>
              </w:rPr>
            </w:pPr>
            <w:r w:rsidRPr="00C66341">
              <w:rPr>
                <w:rFonts w:ascii="Palatino Linotype" w:hAnsi="Palatino Linotype"/>
                <w:sz w:val="22"/>
                <w:lang w:val="nl-NL"/>
              </w:rPr>
              <w:t>Bezoldigingsstructuur Douane (2006)</w:t>
            </w:r>
          </w:p>
        </w:tc>
      </w:tr>
      <w:tr w:rsidR="00C66341" w:rsidRPr="00C66341" w:rsidTr="007C5DA1">
        <w:trPr>
          <w:trHeight w:val="422"/>
        </w:trPr>
        <w:tc>
          <w:tcPr>
            <w:tcW w:w="898" w:type="dxa"/>
            <w:vAlign w:val="bottom"/>
          </w:tcPr>
          <w:p w:rsidR="00C66341" w:rsidRPr="00C66341" w:rsidRDefault="00C66341" w:rsidP="00C66341">
            <w:pPr>
              <w:widowControl/>
              <w:jc w:val="center"/>
              <w:rPr>
                <w:rFonts w:ascii="Palatino Linotype" w:hAnsi="Palatino Linotype"/>
                <w:sz w:val="20"/>
                <w:lang w:val="nl-NL"/>
              </w:rPr>
            </w:pPr>
          </w:p>
        </w:tc>
        <w:tc>
          <w:tcPr>
            <w:tcW w:w="987"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4</w:t>
            </w:r>
          </w:p>
        </w:tc>
        <w:tc>
          <w:tcPr>
            <w:tcW w:w="117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4A</w:t>
            </w:r>
          </w:p>
        </w:tc>
        <w:tc>
          <w:tcPr>
            <w:tcW w:w="99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5</w:t>
            </w:r>
          </w:p>
        </w:tc>
        <w:tc>
          <w:tcPr>
            <w:tcW w:w="108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6</w:t>
            </w:r>
          </w:p>
        </w:tc>
        <w:tc>
          <w:tcPr>
            <w:tcW w:w="99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7</w:t>
            </w:r>
          </w:p>
        </w:tc>
        <w:tc>
          <w:tcPr>
            <w:tcW w:w="99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8</w:t>
            </w:r>
          </w:p>
        </w:tc>
        <w:tc>
          <w:tcPr>
            <w:tcW w:w="99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9</w:t>
            </w:r>
          </w:p>
        </w:tc>
        <w:tc>
          <w:tcPr>
            <w:tcW w:w="1080" w:type="dxa"/>
            <w:vAlign w:val="bottom"/>
          </w:tcPr>
          <w:p w:rsidR="00C66341" w:rsidRPr="00C66341" w:rsidRDefault="00C66341" w:rsidP="00C66341">
            <w:pPr>
              <w:rPr>
                <w:rFonts w:ascii="Palatino Linotype" w:hAnsi="Palatino Linotype"/>
                <w:sz w:val="20"/>
                <w:lang w:val="nl-NL"/>
              </w:rPr>
            </w:pPr>
            <w:r w:rsidRPr="00C66341">
              <w:rPr>
                <w:rFonts w:ascii="Palatino Linotype" w:hAnsi="Palatino Linotype"/>
                <w:sz w:val="20"/>
                <w:lang w:val="nl-NL"/>
              </w:rPr>
              <w:t>Schaal 10</w:t>
            </w:r>
          </w:p>
        </w:tc>
      </w:tr>
      <w:tr w:rsidR="00C66341" w:rsidRPr="00C66341" w:rsidTr="007C5DA1">
        <w:trPr>
          <w:trHeight w:val="332"/>
        </w:trPr>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1</w:t>
            </w:r>
          </w:p>
        </w:tc>
        <w:tc>
          <w:tcPr>
            <w:tcW w:w="987"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1922</w:t>
            </w:r>
          </w:p>
        </w:tc>
        <w:tc>
          <w:tcPr>
            <w:tcW w:w="117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1977</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2203</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2455</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2889</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3220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3790</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4340</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2</w:t>
            </w:r>
          </w:p>
        </w:tc>
        <w:tc>
          <w:tcPr>
            <w:tcW w:w="987"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1977</w:t>
            </w:r>
          </w:p>
        </w:tc>
        <w:tc>
          <w:tcPr>
            <w:tcW w:w="117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2030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2263</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2522</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2968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3308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3893</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4459</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3</w:t>
            </w:r>
          </w:p>
        </w:tc>
        <w:tc>
          <w:tcPr>
            <w:tcW w:w="987"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2030</w:t>
            </w:r>
          </w:p>
        </w:tc>
        <w:tc>
          <w:tcPr>
            <w:tcW w:w="117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2086</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2324</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2592</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3050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3399</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4000</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4582</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4</w:t>
            </w:r>
          </w:p>
        </w:tc>
        <w:tc>
          <w:tcPr>
            <w:tcW w:w="987"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2086</w:t>
            </w:r>
          </w:p>
        </w:tc>
        <w:tc>
          <w:tcPr>
            <w:tcW w:w="117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2144</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2389</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2662</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3134</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3493</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4111</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4707</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5</w:t>
            </w:r>
          </w:p>
        </w:tc>
        <w:tc>
          <w:tcPr>
            <w:tcW w:w="987"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2144</w:t>
            </w:r>
          </w:p>
        </w:tc>
        <w:tc>
          <w:tcPr>
            <w:tcW w:w="1170" w:type="dxa"/>
            <w:tcBorders>
              <w:bottom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2203</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2455</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2736</w:t>
            </w:r>
          </w:p>
        </w:tc>
        <w:tc>
          <w:tcPr>
            <w:tcW w:w="990" w:type="dxa"/>
          </w:tcPr>
          <w:p w:rsidR="00C66341" w:rsidRPr="00C66341" w:rsidRDefault="00C66341" w:rsidP="00C66341">
            <w:pPr>
              <w:jc w:val="right"/>
              <w:rPr>
                <w:rFonts w:ascii="Palatino Linotype" w:hAnsi="Palatino Linotype"/>
                <w:sz w:val="20"/>
              </w:rPr>
            </w:pPr>
            <w:r w:rsidRPr="00C66341">
              <w:rPr>
                <w:rFonts w:ascii="Palatino Linotype" w:hAnsi="Palatino Linotype"/>
                <w:sz w:val="20"/>
              </w:rPr>
              <w:t>3220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3589</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4224</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4837</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6</w:t>
            </w:r>
          </w:p>
        </w:tc>
        <w:tc>
          <w:tcPr>
            <w:tcW w:w="987" w:type="dxa"/>
            <w:tcBorders>
              <w:righ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2203</w:t>
            </w: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Borders>
              <w:lef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2522</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2811</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3308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3688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4340</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4970</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7</w:t>
            </w:r>
          </w:p>
        </w:tc>
        <w:tc>
          <w:tcPr>
            <w:tcW w:w="987" w:type="dxa"/>
            <w:tcBorders>
              <w:righ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2263</w:t>
            </w: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Borders>
              <w:lef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2592</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2889</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3399</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3790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4459</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5107</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8</w:t>
            </w:r>
          </w:p>
        </w:tc>
        <w:tc>
          <w:tcPr>
            <w:tcW w:w="987" w:type="dxa"/>
            <w:tcBorders>
              <w:righ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2324</w:t>
            </w: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Borders>
              <w:lef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2662</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2968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3493</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3893</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4582</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5247</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9</w:t>
            </w:r>
          </w:p>
        </w:tc>
        <w:tc>
          <w:tcPr>
            <w:tcW w:w="987" w:type="dxa"/>
            <w:tcBorders>
              <w:righ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2389</w:t>
            </w: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Borders>
              <w:lef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2736</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3050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3589</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4000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4765</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5391</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10</w:t>
            </w:r>
          </w:p>
        </w:tc>
        <w:tc>
          <w:tcPr>
            <w:tcW w:w="987" w:type="dxa"/>
            <w:tcBorders>
              <w:righ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2495</w:t>
            </w: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Borders>
              <w:left w:val="single" w:sz="4" w:space="0" w:color="auto"/>
            </w:tcBorders>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2811</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3134</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3688</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4111</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4896</w:t>
            </w: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5541</w:t>
            </w: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11</w:t>
            </w:r>
          </w:p>
        </w:tc>
        <w:tc>
          <w:tcPr>
            <w:tcW w:w="987" w:type="dxa"/>
          </w:tcPr>
          <w:p w:rsidR="00C66341" w:rsidRPr="00C66341" w:rsidRDefault="00C66341" w:rsidP="00C66341">
            <w:pPr>
              <w:widowControl/>
              <w:jc w:val="right"/>
              <w:rPr>
                <w:rFonts w:ascii="Palatino Linotype" w:hAnsi="Palatino Linotype"/>
                <w:sz w:val="20"/>
                <w:lang w:val="nl-NL"/>
              </w:rPr>
            </w:pPr>
          </w:p>
        </w:tc>
        <w:tc>
          <w:tcPr>
            <w:tcW w:w="1170" w:type="dxa"/>
            <w:tcBorders>
              <w:top w:val="single" w:sz="4" w:space="0" w:color="auto"/>
            </w:tcBorders>
          </w:tcPr>
          <w:p w:rsidR="00C66341" w:rsidRPr="00C66341" w:rsidRDefault="00C66341" w:rsidP="00C66341">
            <w:pPr>
              <w:widowControl/>
              <w:jc w:val="right"/>
              <w:rPr>
                <w:rFonts w:ascii="Palatino Linotype" w:hAnsi="Palatino Linotype"/>
                <w:sz w:val="20"/>
                <w:lang w:val="nl-NL"/>
              </w:rPr>
            </w:pPr>
          </w:p>
        </w:tc>
        <w:tc>
          <w:tcPr>
            <w:tcW w:w="990" w:type="dxa"/>
          </w:tcPr>
          <w:p w:rsidR="00C66341" w:rsidRPr="00C66341" w:rsidRDefault="00C66341" w:rsidP="00C66341">
            <w:pPr>
              <w:widowControl/>
              <w:jc w:val="right"/>
              <w:rPr>
                <w:rFonts w:ascii="Palatino Linotype" w:hAnsi="Palatino Linotype"/>
                <w:sz w:val="20"/>
                <w:lang w:val="nl-NL"/>
              </w:rPr>
            </w:pPr>
          </w:p>
        </w:tc>
        <w:tc>
          <w:tcPr>
            <w:tcW w:w="108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3220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3790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4224</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4970</w:t>
            </w:r>
          </w:p>
        </w:tc>
        <w:tc>
          <w:tcPr>
            <w:tcW w:w="1080" w:type="dxa"/>
          </w:tcPr>
          <w:p w:rsidR="00C66341" w:rsidRPr="00C66341" w:rsidRDefault="00C66341" w:rsidP="00C66341">
            <w:pPr>
              <w:widowControl/>
              <w:jc w:val="right"/>
              <w:rPr>
                <w:rFonts w:ascii="Palatino Linotype" w:hAnsi="Palatino Linotype"/>
                <w:sz w:val="20"/>
                <w:lang w:val="nl-NL"/>
              </w:rPr>
            </w:pPr>
          </w:p>
        </w:tc>
      </w:tr>
      <w:tr w:rsidR="00C66341" w:rsidRPr="00C66341" w:rsidTr="007C5DA1">
        <w:tc>
          <w:tcPr>
            <w:tcW w:w="898" w:type="dxa"/>
            <w:vAlign w:val="bottom"/>
          </w:tcPr>
          <w:p w:rsidR="00C66341" w:rsidRPr="00C66341" w:rsidRDefault="00C66341" w:rsidP="00C66341">
            <w:pPr>
              <w:widowControl/>
              <w:jc w:val="center"/>
              <w:rPr>
                <w:rFonts w:ascii="Palatino Linotype" w:hAnsi="Palatino Linotype"/>
                <w:sz w:val="20"/>
                <w:lang w:val="nl-NL"/>
              </w:rPr>
            </w:pPr>
            <w:r w:rsidRPr="00C66341">
              <w:rPr>
                <w:rFonts w:ascii="Palatino Linotype" w:hAnsi="Palatino Linotype"/>
                <w:sz w:val="20"/>
                <w:lang w:val="nl-NL"/>
              </w:rPr>
              <w:t>12</w:t>
            </w:r>
          </w:p>
        </w:tc>
        <w:tc>
          <w:tcPr>
            <w:tcW w:w="987" w:type="dxa"/>
          </w:tcPr>
          <w:p w:rsidR="00C66341" w:rsidRPr="00C66341" w:rsidRDefault="00C66341" w:rsidP="00C66341">
            <w:pPr>
              <w:widowControl/>
              <w:jc w:val="right"/>
              <w:rPr>
                <w:rFonts w:ascii="Palatino Linotype" w:hAnsi="Palatino Linotype"/>
                <w:sz w:val="20"/>
                <w:lang w:val="nl-NL"/>
              </w:rPr>
            </w:pPr>
          </w:p>
        </w:tc>
        <w:tc>
          <w:tcPr>
            <w:tcW w:w="1170" w:type="dxa"/>
          </w:tcPr>
          <w:p w:rsidR="00C66341" w:rsidRPr="00C66341" w:rsidRDefault="00C66341" w:rsidP="00C66341">
            <w:pPr>
              <w:widowControl/>
              <w:jc w:val="right"/>
              <w:rPr>
                <w:rFonts w:ascii="Palatino Linotype" w:hAnsi="Palatino Linotype"/>
                <w:sz w:val="20"/>
                <w:lang w:val="nl-NL"/>
              </w:rPr>
            </w:pPr>
          </w:p>
        </w:tc>
        <w:tc>
          <w:tcPr>
            <w:tcW w:w="990" w:type="dxa"/>
          </w:tcPr>
          <w:p w:rsidR="00C66341" w:rsidRPr="00C66341" w:rsidRDefault="00C66341" w:rsidP="00C66341">
            <w:pPr>
              <w:widowControl/>
              <w:jc w:val="right"/>
              <w:rPr>
                <w:rFonts w:ascii="Palatino Linotype" w:hAnsi="Palatino Linotype"/>
                <w:sz w:val="20"/>
                <w:lang w:val="nl-NL"/>
              </w:rPr>
            </w:pPr>
          </w:p>
        </w:tc>
        <w:tc>
          <w:tcPr>
            <w:tcW w:w="1080" w:type="dxa"/>
          </w:tcPr>
          <w:p w:rsidR="00C66341" w:rsidRPr="00C66341" w:rsidRDefault="00C66341" w:rsidP="00C66341">
            <w:pPr>
              <w:widowControl/>
              <w:jc w:val="right"/>
              <w:rPr>
                <w:rFonts w:ascii="Palatino Linotype" w:hAnsi="Palatino Linotype"/>
                <w:sz w:val="20"/>
                <w:lang w:val="nl-NL"/>
              </w:rPr>
            </w:pP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4000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4340</w:t>
            </w:r>
          </w:p>
        </w:tc>
        <w:tc>
          <w:tcPr>
            <w:tcW w:w="990" w:type="dxa"/>
          </w:tcPr>
          <w:p w:rsidR="00C66341" w:rsidRPr="00C66341" w:rsidRDefault="00C66341" w:rsidP="00C66341">
            <w:pPr>
              <w:widowControl/>
              <w:jc w:val="right"/>
              <w:rPr>
                <w:rFonts w:ascii="Palatino Linotype" w:hAnsi="Palatino Linotype"/>
                <w:sz w:val="20"/>
                <w:lang w:val="nl-NL"/>
              </w:rPr>
            </w:pPr>
            <w:r w:rsidRPr="00C66341">
              <w:rPr>
                <w:rFonts w:ascii="Palatino Linotype" w:hAnsi="Palatino Linotype"/>
                <w:sz w:val="20"/>
                <w:lang w:val="nl-NL"/>
              </w:rPr>
              <w:t>5107</w:t>
            </w:r>
          </w:p>
        </w:tc>
        <w:tc>
          <w:tcPr>
            <w:tcW w:w="1080" w:type="dxa"/>
          </w:tcPr>
          <w:p w:rsidR="00C66341" w:rsidRPr="00C66341" w:rsidRDefault="00C66341" w:rsidP="00C66341">
            <w:pPr>
              <w:widowControl/>
              <w:jc w:val="right"/>
              <w:rPr>
                <w:rFonts w:ascii="Palatino Linotype" w:hAnsi="Palatino Linotype"/>
                <w:sz w:val="20"/>
                <w:lang w:val="nl-NL"/>
              </w:rPr>
            </w:pPr>
          </w:p>
        </w:tc>
      </w:tr>
    </w:tbl>
    <w:p w:rsidR="00C66341" w:rsidRPr="00C66341" w:rsidRDefault="00C66341" w:rsidP="00C66341">
      <w:pPr>
        <w:widowControl/>
        <w:spacing w:after="160" w:line="259" w:lineRule="auto"/>
        <w:rPr>
          <w:rFonts w:ascii="Palatino Linotype" w:hAnsi="Palatino Linotype"/>
          <w:sz w:val="22"/>
          <w:szCs w:val="22"/>
          <w:lang w:val="nl-NL"/>
        </w:rPr>
      </w:pPr>
    </w:p>
    <w:tbl>
      <w:tblPr>
        <w:tblStyle w:val="TableGrid2"/>
        <w:tblW w:w="9165" w:type="dxa"/>
        <w:tblInd w:w="10" w:type="dxa"/>
        <w:tblLook w:val="04A0" w:firstRow="1" w:lastRow="0" w:firstColumn="1" w:lastColumn="0" w:noHBand="0" w:noVBand="1"/>
      </w:tblPr>
      <w:tblGrid>
        <w:gridCol w:w="834"/>
        <w:gridCol w:w="1131"/>
        <w:gridCol w:w="1170"/>
        <w:gridCol w:w="1170"/>
        <w:gridCol w:w="1080"/>
        <w:gridCol w:w="1156"/>
        <w:gridCol w:w="1308"/>
        <w:gridCol w:w="1316"/>
      </w:tblGrid>
      <w:tr w:rsidR="00C66341" w:rsidRPr="00C66341" w:rsidTr="007C5DA1">
        <w:trPr>
          <w:trHeight w:val="288"/>
        </w:trPr>
        <w:tc>
          <w:tcPr>
            <w:tcW w:w="1965" w:type="dxa"/>
            <w:gridSpan w:val="2"/>
            <w:tcBorders>
              <w:left w:val="single" w:sz="4" w:space="0" w:color="auto"/>
              <w:right w:val="single" w:sz="4" w:space="0" w:color="auto"/>
            </w:tcBorders>
          </w:tcPr>
          <w:p w:rsidR="00C66341" w:rsidRPr="00C66341" w:rsidRDefault="00C66341" w:rsidP="00C66341">
            <w:pPr>
              <w:suppressAutoHyphens/>
              <w:rPr>
                <w:rFonts w:ascii="Palatino Linotype" w:hAnsi="Palatino Linotype"/>
                <w:sz w:val="22"/>
                <w:lang w:val="nl-NL"/>
              </w:rPr>
            </w:pPr>
            <w:r w:rsidRPr="00C66341">
              <w:rPr>
                <w:rFonts w:ascii="Palatino Linotype" w:hAnsi="Palatino Linotype"/>
                <w:sz w:val="22"/>
                <w:lang w:val="nl-NL"/>
              </w:rPr>
              <w:t>Bijlage B</w:t>
            </w:r>
          </w:p>
        </w:tc>
        <w:tc>
          <w:tcPr>
            <w:tcW w:w="7200" w:type="dxa"/>
            <w:gridSpan w:val="6"/>
            <w:tcBorders>
              <w:left w:val="single" w:sz="4" w:space="0" w:color="auto"/>
            </w:tcBorders>
          </w:tcPr>
          <w:p w:rsidR="00C66341" w:rsidRPr="00C66341" w:rsidRDefault="00C66341" w:rsidP="00C66341">
            <w:pPr>
              <w:suppressAutoHyphens/>
              <w:rPr>
                <w:rFonts w:ascii="Palatino Linotype" w:hAnsi="Palatino Linotype"/>
                <w:sz w:val="22"/>
                <w:lang w:val="nl-NL"/>
              </w:rPr>
            </w:pPr>
            <w:r w:rsidRPr="00C66341">
              <w:rPr>
                <w:rFonts w:ascii="Palatino Linotype" w:hAnsi="Palatino Linotype"/>
                <w:sz w:val="22"/>
                <w:lang w:val="nl-NL"/>
              </w:rPr>
              <w:t>Bezoldigingsstructuur Douane (2006)</w:t>
            </w:r>
          </w:p>
        </w:tc>
      </w:tr>
      <w:tr w:rsidR="00C66341" w:rsidRPr="00C66341" w:rsidTr="007C5DA1">
        <w:trPr>
          <w:trHeight w:val="467"/>
        </w:trPr>
        <w:tc>
          <w:tcPr>
            <w:tcW w:w="834" w:type="dxa"/>
            <w:tcBorders>
              <w:left w:val="single" w:sz="4" w:space="0" w:color="auto"/>
              <w:right w:val="single" w:sz="4" w:space="0" w:color="auto"/>
            </w:tcBorders>
          </w:tcPr>
          <w:p w:rsidR="00C66341" w:rsidRPr="00C66341" w:rsidRDefault="00C66341" w:rsidP="00C66341">
            <w:pPr>
              <w:suppressAutoHyphens/>
              <w:rPr>
                <w:rFonts w:ascii="Palatino Linotype" w:hAnsi="Palatino Linotype"/>
                <w:sz w:val="20"/>
                <w:lang w:val="nl-NL"/>
              </w:rPr>
            </w:pPr>
          </w:p>
        </w:tc>
        <w:tc>
          <w:tcPr>
            <w:tcW w:w="1131" w:type="dxa"/>
            <w:tcBorders>
              <w:left w:val="single" w:sz="4" w:space="0" w:color="auto"/>
            </w:tcBorders>
          </w:tcPr>
          <w:p w:rsidR="00C66341" w:rsidRPr="00C66341" w:rsidRDefault="00C66341" w:rsidP="00C66341">
            <w:pPr>
              <w:suppressAutoHyphens/>
              <w:rPr>
                <w:rFonts w:ascii="Palatino Linotype" w:hAnsi="Palatino Linotype"/>
                <w:sz w:val="20"/>
                <w:lang w:val="nl-NL"/>
              </w:rPr>
            </w:pPr>
          </w:p>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Schaal 11</w:t>
            </w:r>
          </w:p>
        </w:tc>
        <w:tc>
          <w:tcPr>
            <w:tcW w:w="1170" w:type="dxa"/>
            <w:vAlign w:val="bottom"/>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Schaal 12</w:t>
            </w:r>
          </w:p>
        </w:tc>
        <w:tc>
          <w:tcPr>
            <w:tcW w:w="1170" w:type="dxa"/>
            <w:vAlign w:val="bottom"/>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Schaal 13</w:t>
            </w:r>
          </w:p>
        </w:tc>
        <w:tc>
          <w:tcPr>
            <w:tcW w:w="1080" w:type="dxa"/>
          </w:tcPr>
          <w:p w:rsidR="00C66341" w:rsidRPr="00C66341" w:rsidRDefault="00C66341" w:rsidP="00C66341">
            <w:pPr>
              <w:suppressAutoHyphens/>
              <w:rPr>
                <w:rFonts w:ascii="Palatino Linotype" w:hAnsi="Palatino Linotype"/>
                <w:sz w:val="20"/>
                <w:lang w:val="nl-NL"/>
              </w:rPr>
            </w:pPr>
          </w:p>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Schaal 14</w:t>
            </w:r>
          </w:p>
        </w:tc>
        <w:tc>
          <w:tcPr>
            <w:tcW w:w="1156" w:type="dxa"/>
            <w:vAlign w:val="bottom"/>
          </w:tcPr>
          <w:p w:rsidR="00C66341" w:rsidRPr="00C66341" w:rsidRDefault="00C66341" w:rsidP="00C66341">
            <w:pPr>
              <w:suppressAutoHyphens/>
              <w:jc w:val="center"/>
              <w:rPr>
                <w:rFonts w:ascii="Palatino Linotype" w:hAnsi="Palatino Linotype"/>
                <w:sz w:val="20"/>
                <w:lang w:val="nl-NL"/>
              </w:rPr>
            </w:pPr>
            <w:r w:rsidRPr="00C66341">
              <w:rPr>
                <w:rFonts w:ascii="Palatino Linotype" w:hAnsi="Palatino Linotype"/>
                <w:sz w:val="20"/>
                <w:lang w:val="nl-NL"/>
              </w:rPr>
              <w:t>Schaal 15</w:t>
            </w:r>
          </w:p>
        </w:tc>
        <w:tc>
          <w:tcPr>
            <w:tcW w:w="1308" w:type="dxa"/>
            <w:vAlign w:val="bottom"/>
          </w:tcPr>
          <w:p w:rsidR="00C66341" w:rsidRPr="00C66341" w:rsidRDefault="00C66341" w:rsidP="00C66341">
            <w:pPr>
              <w:suppressAutoHyphens/>
              <w:jc w:val="center"/>
              <w:rPr>
                <w:rFonts w:ascii="Palatino Linotype" w:hAnsi="Palatino Linotype"/>
                <w:sz w:val="20"/>
                <w:lang w:val="nl-NL"/>
              </w:rPr>
            </w:pPr>
            <w:r w:rsidRPr="00C66341">
              <w:rPr>
                <w:rFonts w:ascii="Palatino Linotype" w:hAnsi="Palatino Linotype"/>
                <w:sz w:val="20"/>
                <w:lang w:val="nl-NL"/>
              </w:rPr>
              <w:t>Schaal 16</w:t>
            </w:r>
          </w:p>
        </w:tc>
        <w:tc>
          <w:tcPr>
            <w:tcW w:w="1316" w:type="dxa"/>
            <w:vAlign w:val="bottom"/>
          </w:tcPr>
          <w:p w:rsidR="00C66341" w:rsidRPr="00C66341" w:rsidRDefault="00C66341" w:rsidP="00C66341">
            <w:pPr>
              <w:suppressAutoHyphens/>
              <w:jc w:val="center"/>
              <w:rPr>
                <w:rFonts w:ascii="Palatino Linotype" w:hAnsi="Palatino Linotype"/>
                <w:sz w:val="20"/>
                <w:lang w:val="nl-NL"/>
              </w:rPr>
            </w:pPr>
            <w:r w:rsidRPr="00C66341">
              <w:rPr>
                <w:rFonts w:ascii="Palatino Linotype" w:hAnsi="Palatino Linotype"/>
                <w:sz w:val="20"/>
                <w:lang w:val="nl-NL"/>
              </w:rPr>
              <w:t>Schaal 17</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1</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4970</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5541</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6344</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7071</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7466</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8100</w:t>
            </w:r>
          </w:p>
        </w:tc>
        <w:tc>
          <w:tcPr>
            <w:tcW w:w="131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8786</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2</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5107</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5692</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6520</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7267</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7671</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8321</w:t>
            </w:r>
          </w:p>
        </w:tc>
        <w:tc>
          <w:tcPr>
            <w:tcW w:w="131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9027</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3</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5247</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5848</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6699</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7466</w:t>
            </w:r>
          </w:p>
        </w:tc>
        <w:tc>
          <w:tcPr>
            <w:tcW w:w="115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7883</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8550</w:t>
            </w:r>
          </w:p>
        </w:tc>
        <w:tc>
          <w:tcPr>
            <w:tcW w:w="131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9275</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4</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5392</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6009</w:t>
            </w:r>
          </w:p>
        </w:tc>
        <w:tc>
          <w:tcPr>
            <w:tcW w:w="1170"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6883</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7671</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8100</w:t>
            </w:r>
          </w:p>
        </w:tc>
        <w:tc>
          <w:tcPr>
            <w:tcW w:w="1308"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8786</w:t>
            </w:r>
          </w:p>
        </w:tc>
        <w:tc>
          <w:tcPr>
            <w:tcW w:w="131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9531</w:t>
            </w:r>
          </w:p>
        </w:tc>
      </w:tr>
      <w:tr w:rsidR="00C66341" w:rsidRPr="00C66341" w:rsidTr="007C5DA1">
        <w:trPr>
          <w:trHeight w:val="224"/>
        </w:trPr>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5</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5541</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6174</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7071</w:t>
            </w:r>
          </w:p>
        </w:tc>
        <w:tc>
          <w:tcPr>
            <w:tcW w:w="1080"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7883</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8321</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9027</w:t>
            </w:r>
          </w:p>
        </w:tc>
        <w:tc>
          <w:tcPr>
            <w:tcW w:w="131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9793</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6</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5692</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6344</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7267</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8100</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8550</w:t>
            </w:r>
          </w:p>
        </w:tc>
        <w:tc>
          <w:tcPr>
            <w:tcW w:w="1308"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9275</w:t>
            </w:r>
          </w:p>
        </w:tc>
        <w:tc>
          <w:tcPr>
            <w:tcW w:w="131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10062</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7</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5848</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6520</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7466</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8321</w:t>
            </w:r>
          </w:p>
        </w:tc>
        <w:tc>
          <w:tcPr>
            <w:tcW w:w="115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8786</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9531</w:t>
            </w:r>
          </w:p>
        </w:tc>
        <w:tc>
          <w:tcPr>
            <w:tcW w:w="131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10339</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8</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6009</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6699</w:t>
            </w:r>
          </w:p>
        </w:tc>
        <w:tc>
          <w:tcPr>
            <w:tcW w:w="117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7671</w:t>
            </w:r>
          </w:p>
        </w:tc>
        <w:tc>
          <w:tcPr>
            <w:tcW w:w="1080"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8550</w:t>
            </w:r>
          </w:p>
        </w:tc>
        <w:tc>
          <w:tcPr>
            <w:tcW w:w="115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9027</w:t>
            </w:r>
          </w:p>
        </w:tc>
        <w:tc>
          <w:tcPr>
            <w:tcW w:w="1308"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9793</w:t>
            </w:r>
          </w:p>
        </w:tc>
        <w:tc>
          <w:tcPr>
            <w:tcW w:w="1316"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10623</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9</w:t>
            </w:r>
          </w:p>
        </w:tc>
        <w:tc>
          <w:tcPr>
            <w:tcW w:w="1131" w:type="dxa"/>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6174</w:t>
            </w:r>
          </w:p>
        </w:tc>
        <w:tc>
          <w:tcPr>
            <w:tcW w:w="1170"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6883</w:t>
            </w:r>
          </w:p>
        </w:tc>
        <w:tc>
          <w:tcPr>
            <w:tcW w:w="1170"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7883</w:t>
            </w:r>
          </w:p>
        </w:tc>
        <w:tc>
          <w:tcPr>
            <w:tcW w:w="1080" w:type="dxa"/>
            <w:tcBorders>
              <w:bottom w:val="single" w:sz="4" w:space="0" w:color="auto"/>
            </w:tcBorders>
          </w:tcPr>
          <w:p w:rsidR="00C66341" w:rsidRPr="00C66341" w:rsidRDefault="00C66341" w:rsidP="00C66341">
            <w:pPr>
              <w:tabs>
                <w:tab w:val="left" w:pos="635"/>
              </w:tabs>
              <w:suppressAutoHyphens/>
              <w:jc w:val="right"/>
              <w:rPr>
                <w:rFonts w:ascii="Palatino Linotype" w:hAnsi="Palatino Linotype"/>
                <w:sz w:val="20"/>
                <w:lang w:val="nl-NL"/>
              </w:rPr>
            </w:pPr>
            <w:r w:rsidRPr="00C66341">
              <w:rPr>
                <w:rFonts w:ascii="Palatino Linotype" w:hAnsi="Palatino Linotype"/>
                <w:sz w:val="20"/>
                <w:lang w:val="nl-NL"/>
              </w:rPr>
              <w:t>8786</w:t>
            </w:r>
          </w:p>
        </w:tc>
        <w:tc>
          <w:tcPr>
            <w:tcW w:w="115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9275</w:t>
            </w:r>
          </w:p>
        </w:tc>
        <w:tc>
          <w:tcPr>
            <w:tcW w:w="1308"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10062</w:t>
            </w:r>
          </w:p>
        </w:tc>
        <w:tc>
          <w:tcPr>
            <w:tcW w:w="1316"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10914</w:t>
            </w:r>
          </w:p>
        </w:tc>
      </w:tr>
      <w:tr w:rsidR="00C66341" w:rsidRPr="00C66341" w:rsidTr="007C5DA1">
        <w:tc>
          <w:tcPr>
            <w:tcW w:w="834" w:type="dxa"/>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10</w:t>
            </w:r>
          </w:p>
        </w:tc>
        <w:tc>
          <w:tcPr>
            <w:tcW w:w="1131" w:type="dxa"/>
            <w:tcBorders>
              <w:bottom w:val="single" w:sz="4" w:space="0" w:color="auto"/>
            </w:tcBorders>
          </w:tcPr>
          <w:p w:rsidR="00C66341" w:rsidRPr="00C66341" w:rsidRDefault="00C66341" w:rsidP="00C66341">
            <w:pPr>
              <w:suppressAutoHyphens/>
              <w:jc w:val="right"/>
              <w:rPr>
                <w:rFonts w:ascii="Palatino Linotype" w:hAnsi="Palatino Linotype"/>
                <w:sz w:val="20"/>
                <w:lang w:val="nl-NL"/>
              </w:rPr>
            </w:pPr>
            <w:r w:rsidRPr="00C66341">
              <w:rPr>
                <w:rFonts w:ascii="Palatino Linotype" w:hAnsi="Palatino Linotype"/>
                <w:sz w:val="20"/>
                <w:lang w:val="nl-NL"/>
              </w:rPr>
              <w:t>6344</w:t>
            </w:r>
          </w:p>
        </w:tc>
        <w:tc>
          <w:tcPr>
            <w:tcW w:w="1170" w:type="dxa"/>
            <w:tcBorders>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70" w:type="dxa"/>
            <w:tcBorders>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080" w:type="dxa"/>
            <w:tcBorders>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56" w:type="dxa"/>
            <w:tcBorders>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08" w:type="dxa"/>
            <w:tcBorders>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16" w:type="dxa"/>
            <w:tcBorders>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r>
      <w:tr w:rsidR="00C66341" w:rsidRPr="00C66341" w:rsidTr="007C5DA1">
        <w:tc>
          <w:tcPr>
            <w:tcW w:w="834" w:type="dxa"/>
            <w:tcBorders>
              <w:bottom w:val="single" w:sz="4" w:space="0" w:color="auto"/>
            </w:tcBorders>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11</w:t>
            </w:r>
          </w:p>
        </w:tc>
        <w:tc>
          <w:tcPr>
            <w:tcW w:w="1131" w:type="dxa"/>
            <w:tcBorders>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08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56"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08"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16"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r>
      <w:tr w:rsidR="00C66341" w:rsidRPr="00C66341" w:rsidTr="007C5DA1">
        <w:tc>
          <w:tcPr>
            <w:tcW w:w="834" w:type="dxa"/>
            <w:tcBorders>
              <w:top w:val="single" w:sz="4" w:space="0" w:color="auto"/>
              <w:bottom w:val="single" w:sz="4" w:space="0" w:color="auto"/>
            </w:tcBorders>
          </w:tcPr>
          <w:p w:rsidR="00C66341" w:rsidRPr="00C66341" w:rsidRDefault="00C66341" w:rsidP="00C66341">
            <w:pPr>
              <w:suppressAutoHyphens/>
              <w:rPr>
                <w:rFonts w:ascii="Palatino Linotype" w:hAnsi="Palatino Linotype"/>
                <w:sz w:val="20"/>
                <w:lang w:val="nl-NL"/>
              </w:rPr>
            </w:pPr>
            <w:r w:rsidRPr="00C66341">
              <w:rPr>
                <w:rFonts w:ascii="Palatino Linotype" w:hAnsi="Palatino Linotype"/>
                <w:sz w:val="20"/>
                <w:lang w:val="nl-NL"/>
              </w:rPr>
              <w:t>12</w:t>
            </w:r>
          </w:p>
        </w:tc>
        <w:tc>
          <w:tcPr>
            <w:tcW w:w="1131" w:type="dxa"/>
            <w:tcBorders>
              <w:top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7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080"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156"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08"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c>
          <w:tcPr>
            <w:tcW w:w="1316" w:type="dxa"/>
            <w:tcBorders>
              <w:top w:val="single" w:sz="4" w:space="0" w:color="auto"/>
              <w:left w:val="single" w:sz="4" w:space="0" w:color="auto"/>
              <w:bottom w:val="single" w:sz="4" w:space="0" w:color="auto"/>
              <w:right w:val="single" w:sz="4" w:space="0" w:color="auto"/>
            </w:tcBorders>
          </w:tcPr>
          <w:p w:rsidR="00C66341" w:rsidRPr="00C66341" w:rsidRDefault="00C66341" w:rsidP="00C66341">
            <w:pPr>
              <w:suppressAutoHyphens/>
              <w:jc w:val="right"/>
              <w:rPr>
                <w:rFonts w:ascii="Palatino Linotype" w:hAnsi="Palatino Linotype"/>
                <w:sz w:val="20"/>
                <w:lang w:val="nl-NL"/>
              </w:rPr>
            </w:pPr>
          </w:p>
        </w:tc>
      </w:tr>
    </w:tbl>
    <w:p w:rsidR="00022D76" w:rsidRPr="0053492E" w:rsidRDefault="00022D76" w:rsidP="0053492E">
      <w:pPr>
        <w:rPr>
          <w:rFonts w:ascii="Palatino Linotype" w:hAnsi="Palatino Linotype" w:cs="Arial"/>
          <w:sz w:val="20"/>
          <w:lang w:val="nl-NL"/>
        </w:rPr>
      </w:pPr>
    </w:p>
    <w:sectPr w:rsidR="00022D76" w:rsidRPr="0053492E">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B2F" w:rsidRDefault="003C0B2F">
      <w:pPr>
        <w:spacing w:line="20" w:lineRule="exact"/>
      </w:pPr>
    </w:p>
  </w:endnote>
  <w:endnote w:type="continuationSeparator" w:id="0">
    <w:p w:rsidR="003C0B2F" w:rsidRDefault="003C0B2F">
      <w:r>
        <w:t xml:space="preserve"> </w:t>
      </w:r>
    </w:p>
  </w:endnote>
  <w:endnote w:type="continuationNotice" w:id="1">
    <w:p w:rsidR="003C0B2F" w:rsidRDefault="003C0B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B2F" w:rsidRDefault="003C0B2F">
      <w:r>
        <w:separator/>
      </w:r>
    </w:p>
  </w:footnote>
  <w:footnote w:type="continuationSeparator" w:id="0">
    <w:p w:rsidR="003C0B2F" w:rsidRDefault="003C0B2F">
      <w:r>
        <w:continuationSeparator/>
      </w:r>
    </w:p>
  </w:footnote>
  <w:footnote w:id="1">
    <w:p w:rsidR="003C0B2F" w:rsidRPr="002B11FC" w:rsidRDefault="003C0B2F" w:rsidP="003C0B2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Pr>
          <w:rFonts w:ascii="Palatino Linotype" w:hAnsi="Palatino Linotype"/>
          <w:sz w:val="18"/>
          <w:szCs w:val="18"/>
          <w:lang w:val="nl-NL"/>
        </w:rPr>
        <w:t xml:space="preserve"> </w:t>
      </w:r>
      <w:r w:rsidRPr="00BC2C00">
        <w:rPr>
          <w:rFonts w:ascii="Palatino Linotype" w:hAnsi="Palatino Linotype"/>
          <w:sz w:val="18"/>
          <w:szCs w:val="18"/>
          <w:lang w:val="nl-NL"/>
        </w:rPr>
        <w:t xml:space="preserve">landsbesluit, houdende algemene </w:t>
      </w:r>
      <w:r w:rsidRPr="006C4C56">
        <w:rPr>
          <w:rFonts w:ascii="Palatino Linotype" w:hAnsi="Palatino Linotype"/>
          <w:sz w:val="18"/>
          <w:szCs w:val="18"/>
          <w:lang w:val="nl-NL"/>
        </w:rPr>
        <w:t>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3C0B2F" w:rsidRPr="00883195" w:rsidRDefault="003C0B2F" w:rsidP="003C0B2F">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883195">
        <w:rPr>
          <w:rFonts w:ascii="Palatino Linotype" w:hAnsi="Palatino Linotype"/>
          <w:sz w:val="18"/>
          <w:szCs w:val="18"/>
          <w:lang w:val="es-ES"/>
        </w:rPr>
        <w:t xml:space="preserve"> </w:t>
      </w:r>
      <w:r w:rsidRPr="00883195">
        <w:rPr>
          <w:rFonts w:ascii="Palatino Linotype" w:hAnsi="Palatino Linotype"/>
          <w:sz w:val="18"/>
          <w:szCs w:val="18"/>
          <w:lang w:val="es-ES"/>
        </w:rPr>
        <w:tab/>
        <w:t xml:space="preserve">A.B. 2010, no. 87, </w:t>
      </w:r>
      <w:proofErr w:type="spellStart"/>
      <w:r w:rsidRPr="00883195">
        <w:rPr>
          <w:rFonts w:ascii="Palatino Linotype" w:hAnsi="Palatino Linotype"/>
          <w:sz w:val="18"/>
          <w:szCs w:val="18"/>
          <w:lang w:val="es-ES"/>
        </w:rPr>
        <w:t>bijlage</w:t>
      </w:r>
      <w:proofErr w:type="spellEnd"/>
      <w:r w:rsidRPr="00883195">
        <w:rPr>
          <w:rFonts w:ascii="Palatino Linotype" w:hAnsi="Palatino Linotype"/>
          <w:sz w:val="18"/>
          <w:szCs w:val="18"/>
          <w:lang w:val="es-ES"/>
        </w:rPr>
        <w:t xml:space="preserve"> a.</w:t>
      </w:r>
    </w:p>
  </w:footnote>
  <w:footnote w:id="3">
    <w:p w:rsidR="003C0B2F" w:rsidRPr="00883195" w:rsidRDefault="003C0B2F" w:rsidP="003C0B2F">
      <w:pPr>
        <w:pStyle w:val="FootnoteText"/>
        <w:rPr>
          <w:rFonts w:ascii="Palatino Linotype" w:hAnsi="Palatino Linotype"/>
          <w:sz w:val="18"/>
          <w:szCs w:val="18"/>
          <w:lang w:val="es-ES"/>
        </w:rPr>
      </w:pPr>
      <w:r w:rsidRPr="009E64DE">
        <w:rPr>
          <w:rStyle w:val="FootnoteReference"/>
          <w:rFonts w:ascii="Palatino Linotype" w:hAnsi="Palatino Linotype"/>
          <w:sz w:val="18"/>
          <w:szCs w:val="18"/>
        </w:rPr>
        <w:footnoteRef/>
      </w:r>
      <w:r w:rsidRPr="00883195">
        <w:rPr>
          <w:rFonts w:ascii="Palatino Linotype" w:hAnsi="Palatino Linotype"/>
          <w:sz w:val="18"/>
          <w:szCs w:val="18"/>
          <w:lang w:val="es-ES"/>
        </w:rPr>
        <w:t xml:space="preserve"> P.B. 2010, no. 69.</w:t>
      </w:r>
    </w:p>
  </w:footnote>
  <w:footnote w:id="4">
    <w:p w:rsidR="003C0B2F" w:rsidRPr="00883195" w:rsidRDefault="003C0B2F" w:rsidP="003C0B2F">
      <w:pPr>
        <w:pStyle w:val="FootnoteText"/>
        <w:rPr>
          <w:rFonts w:ascii="Palatino Linotype" w:hAnsi="Palatino Linotype"/>
          <w:sz w:val="18"/>
          <w:szCs w:val="18"/>
          <w:lang w:val="es-ES"/>
        </w:rPr>
      </w:pPr>
      <w:r w:rsidRPr="00C27482">
        <w:rPr>
          <w:rStyle w:val="FootnoteReference"/>
          <w:rFonts w:ascii="Palatino Linotype" w:hAnsi="Palatino Linotype"/>
          <w:sz w:val="18"/>
          <w:szCs w:val="18"/>
        </w:rPr>
        <w:footnoteRef/>
      </w:r>
      <w:r w:rsidRPr="00883195">
        <w:rPr>
          <w:rFonts w:ascii="Palatino Linotype" w:hAnsi="Palatino Linotype"/>
          <w:sz w:val="18"/>
          <w:szCs w:val="18"/>
          <w:lang w:val="es-ES"/>
        </w:rPr>
        <w:t xml:space="preserve"> P.B. 1997, no. 314.</w:t>
      </w:r>
    </w:p>
  </w:footnote>
  <w:footnote w:id="5">
    <w:p w:rsidR="003C0B2F" w:rsidRPr="009E64DE" w:rsidRDefault="003C0B2F" w:rsidP="003C0B2F">
      <w:pPr>
        <w:pStyle w:val="FootnoteText"/>
        <w:rPr>
          <w:rFonts w:ascii="Palatino Linotype" w:hAnsi="Palatino Linotype"/>
          <w:sz w:val="18"/>
          <w:szCs w:val="18"/>
          <w:lang w:val="nl-NL"/>
        </w:rPr>
      </w:pPr>
      <w:r w:rsidRPr="009E64DE">
        <w:rPr>
          <w:rStyle w:val="FootnoteReference"/>
          <w:rFonts w:ascii="Palatino Linotype" w:hAnsi="Palatino Linotype"/>
          <w:sz w:val="18"/>
          <w:szCs w:val="18"/>
        </w:rPr>
        <w:footnoteRef/>
      </w:r>
      <w:r w:rsidRPr="009E64DE">
        <w:rPr>
          <w:rFonts w:ascii="Palatino Linotype" w:hAnsi="Palatino Linotype"/>
          <w:sz w:val="18"/>
          <w:szCs w:val="18"/>
          <w:lang w:val="nl-NL"/>
        </w:rPr>
        <w:t xml:space="preserve"> V</w:t>
      </w:r>
      <w:r>
        <w:rPr>
          <w:rFonts w:ascii="Palatino Linotype" w:hAnsi="Palatino Linotype"/>
          <w:sz w:val="18"/>
          <w:szCs w:val="18"/>
          <w:lang w:val="nl-NL"/>
        </w:rPr>
        <w:t>óó</w:t>
      </w:r>
      <w:r w:rsidRPr="009E64DE">
        <w:rPr>
          <w:rFonts w:ascii="Palatino Linotype" w:hAnsi="Palatino Linotype"/>
          <w:sz w:val="18"/>
          <w:szCs w:val="18"/>
          <w:lang w:val="nl-NL"/>
        </w:rPr>
        <w:t xml:space="preserve">r </w:t>
      </w:r>
      <w:r>
        <w:rPr>
          <w:rFonts w:ascii="Palatino Linotype" w:hAnsi="Palatino Linotype"/>
          <w:sz w:val="18"/>
          <w:szCs w:val="18"/>
          <w:lang w:val="nl-NL"/>
        </w:rPr>
        <w:t>10 oktober 2010 bekend als Landsbesluit Douane Nederlandse Antillen (P.B. 2011, no.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2F" w:rsidRDefault="003C0B2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C0B2F" w:rsidRDefault="003C0B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C0B2F" w:rsidRDefault="003C0B2F">
                          <w:pPr>
                            <w:tabs>
                              <w:tab w:val="center" w:pos="4657"/>
                              <w:tab w:val="right" w:pos="9314"/>
                            </w:tabs>
                            <w:rPr>
                              <w:rFonts w:ascii="Times New Roman" w:hAnsi="Times New Roman"/>
                              <w:spacing w:val="-3"/>
                            </w:rPr>
                          </w:pPr>
                        </w:p>
                        <w:p w:rsidR="003C0B2F" w:rsidRDefault="003C0B2F">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C0B2F" w:rsidRDefault="003C0B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C0B2F" w:rsidRDefault="003C0B2F">
                    <w:pPr>
                      <w:tabs>
                        <w:tab w:val="center" w:pos="4657"/>
                        <w:tab w:val="right" w:pos="9314"/>
                      </w:tabs>
                      <w:rPr>
                        <w:rFonts w:ascii="Times New Roman" w:hAnsi="Times New Roman"/>
                        <w:spacing w:val="-3"/>
                      </w:rPr>
                    </w:pPr>
                  </w:p>
                  <w:p w:rsidR="003C0B2F" w:rsidRDefault="003C0B2F">
                    <w:pPr>
                      <w:tabs>
                        <w:tab w:val="center" w:pos="4657"/>
                        <w:tab w:val="right" w:pos="9314"/>
                      </w:tabs>
                      <w:rPr>
                        <w:rFonts w:ascii="Times New Roman" w:hAnsi="Times New Roman"/>
                        <w:spacing w:val="-3"/>
                      </w:rPr>
                    </w:pPr>
                  </w:p>
                </w:txbxContent>
              </v:textbox>
              <w10:wrap anchorx="page"/>
            </v:rect>
          </w:pict>
        </mc:Fallback>
      </mc:AlternateContent>
    </w:r>
    <w:r w:rsidR="005F1C45">
      <w:rPr>
        <w:rFonts w:ascii="Times New Roman" w:hAnsi="Times New Roman"/>
        <w:b/>
        <w:spacing w:val="-4"/>
        <w:sz w:val="36"/>
      </w:rPr>
      <w:t>45</w:t>
    </w:r>
    <w:r w:rsidR="00C66341">
      <w:rPr>
        <w:rFonts w:ascii="Times New Roman" w:hAnsi="Times New Roman"/>
        <w:b/>
        <w:spacing w:val="-4"/>
        <w:sz w:val="36"/>
      </w:rPr>
      <w:t xml:space="preserve"> (GT)</w:t>
    </w:r>
  </w:p>
  <w:p w:rsidR="003C0B2F" w:rsidRDefault="003C0B2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2F" w:rsidRDefault="003C0B2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C0B2F" w:rsidRDefault="003C0B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C0B2F" w:rsidRDefault="003C0B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F1C45">
      <w:rPr>
        <w:rFonts w:ascii="Times New Roman" w:hAnsi="Times New Roman"/>
        <w:b/>
        <w:spacing w:val="-4"/>
        <w:sz w:val="36"/>
      </w:rPr>
      <w:t>45</w:t>
    </w:r>
    <w:r w:rsidR="00C66341">
      <w:rPr>
        <w:rFonts w:ascii="Times New Roman" w:hAnsi="Times New Roman"/>
        <w:b/>
        <w:spacing w:val="-4"/>
        <w:sz w:val="36"/>
      </w:rPr>
      <w:t xml:space="preserve"> (GT)</w:t>
    </w:r>
  </w:p>
  <w:p w:rsidR="003C0B2F" w:rsidRDefault="003C0B2F"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7AE"/>
    <w:multiLevelType w:val="hybridMultilevel"/>
    <w:tmpl w:val="285E0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7EB4"/>
    <w:multiLevelType w:val="hybridMultilevel"/>
    <w:tmpl w:val="0C78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5A23"/>
    <w:multiLevelType w:val="hybridMultilevel"/>
    <w:tmpl w:val="DDE6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41AA"/>
    <w:multiLevelType w:val="hybridMultilevel"/>
    <w:tmpl w:val="9E80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7DAF"/>
    <w:multiLevelType w:val="hybridMultilevel"/>
    <w:tmpl w:val="8BE8B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B2CBC"/>
    <w:multiLevelType w:val="hybridMultilevel"/>
    <w:tmpl w:val="BC1E7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758A1"/>
    <w:multiLevelType w:val="hybridMultilevel"/>
    <w:tmpl w:val="DA50E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2842"/>
    <w:multiLevelType w:val="hybridMultilevel"/>
    <w:tmpl w:val="7AB62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84D41"/>
    <w:multiLevelType w:val="hybridMultilevel"/>
    <w:tmpl w:val="B1B29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110BC"/>
    <w:multiLevelType w:val="hybridMultilevel"/>
    <w:tmpl w:val="63E0E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36C36"/>
    <w:multiLevelType w:val="hybridMultilevel"/>
    <w:tmpl w:val="404AB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F33A4"/>
    <w:multiLevelType w:val="hybridMultilevel"/>
    <w:tmpl w:val="8F14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E2716"/>
    <w:multiLevelType w:val="hybridMultilevel"/>
    <w:tmpl w:val="A07AD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F7526"/>
    <w:multiLevelType w:val="hybridMultilevel"/>
    <w:tmpl w:val="0E64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2717E"/>
    <w:multiLevelType w:val="hybridMultilevel"/>
    <w:tmpl w:val="90885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F4CA4"/>
    <w:multiLevelType w:val="hybridMultilevel"/>
    <w:tmpl w:val="C76E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B42E0"/>
    <w:multiLevelType w:val="hybridMultilevel"/>
    <w:tmpl w:val="7DE2C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37048"/>
    <w:multiLevelType w:val="hybridMultilevel"/>
    <w:tmpl w:val="9312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920E3"/>
    <w:multiLevelType w:val="hybridMultilevel"/>
    <w:tmpl w:val="5CB6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45DD6"/>
    <w:multiLevelType w:val="hybridMultilevel"/>
    <w:tmpl w:val="5094C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F2F9A"/>
    <w:multiLevelType w:val="hybridMultilevel"/>
    <w:tmpl w:val="BE50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E46D1"/>
    <w:multiLevelType w:val="hybridMultilevel"/>
    <w:tmpl w:val="85D2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54C5A"/>
    <w:multiLevelType w:val="hybridMultilevel"/>
    <w:tmpl w:val="1EFC0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4310F"/>
    <w:multiLevelType w:val="hybridMultilevel"/>
    <w:tmpl w:val="8572C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8A301C"/>
    <w:multiLevelType w:val="hybridMultilevel"/>
    <w:tmpl w:val="AEB86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F5ECF"/>
    <w:multiLevelType w:val="hybridMultilevel"/>
    <w:tmpl w:val="8D84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965E1"/>
    <w:multiLevelType w:val="hybridMultilevel"/>
    <w:tmpl w:val="4BF42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C6AF3"/>
    <w:multiLevelType w:val="hybridMultilevel"/>
    <w:tmpl w:val="92E4D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702F2"/>
    <w:multiLevelType w:val="hybridMultilevel"/>
    <w:tmpl w:val="26DC3D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A4BE3"/>
    <w:multiLevelType w:val="hybridMultilevel"/>
    <w:tmpl w:val="0EB22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F09BF"/>
    <w:multiLevelType w:val="hybridMultilevel"/>
    <w:tmpl w:val="8E7A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533A2"/>
    <w:multiLevelType w:val="hybridMultilevel"/>
    <w:tmpl w:val="04DA6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003C17"/>
    <w:multiLevelType w:val="hybridMultilevel"/>
    <w:tmpl w:val="15D0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A4799"/>
    <w:multiLevelType w:val="hybridMultilevel"/>
    <w:tmpl w:val="0FFCA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C7147"/>
    <w:multiLevelType w:val="hybridMultilevel"/>
    <w:tmpl w:val="52A6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94BF5"/>
    <w:multiLevelType w:val="hybridMultilevel"/>
    <w:tmpl w:val="99F27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63CC1"/>
    <w:multiLevelType w:val="hybridMultilevel"/>
    <w:tmpl w:val="09126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17AD6"/>
    <w:multiLevelType w:val="hybridMultilevel"/>
    <w:tmpl w:val="BFF4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A3584B"/>
    <w:multiLevelType w:val="hybridMultilevel"/>
    <w:tmpl w:val="E842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75405E"/>
    <w:multiLevelType w:val="hybridMultilevel"/>
    <w:tmpl w:val="AD785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71526"/>
    <w:multiLevelType w:val="hybridMultilevel"/>
    <w:tmpl w:val="F2287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314D7"/>
    <w:multiLevelType w:val="hybridMultilevel"/>
    <w:tmpl w:val="56601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12771"/>
    <w:multiLevelType w:val="hybridMultilevel"/>
    <w:tmpl w:val="8B084CD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A3C5D"/>
    <w:multiLevelType w:val="hybridMultilevel"/>
    <w:tmpl w:val="F788D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2695E"/>
    <w:multiLevelType w:val="hybridMultilevel"/>
    <w:tmpl w:val="B8F88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C25E6F"/>
    <w:multiLevelType w:val="hybridMultilevel"/>
    <w:tmpl w:val="22DE1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C2E99"/>
    <w:multiLevelType w:val="hybridMultilevel"/>
    <w:tmpl w:val="D690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3"/>
  </w:num>
  <w:num w:numId="3">
    <w:abstractNumId w:val="15"/>
  </w:num>
  <w:num w:numId="4">
    <w:abstractNumId w:val="46"/>
  </w:num>
  <w:num w:numId="5">
    <w:abstractNumId w:val="29"/>
  </w:num>
  <w:num w:numId="6">
    <w:abstractNumId w:val="32"/>
  </w:num>
  <w:num w:numId="7">
    <w:abstractNumId w:val="44"/>
  </w:num>
  <w:num w:numId="8">
    <w:abstractNumId w:val="24"/>
  </w:num>
  <w:num w:numId="9">
    <w:abstractNumId w:val="21"/>
  </w:num>
  <w:num w:numId="10">
    <w:abstractNumId w:val="9"/>
  </w:num>
  <w:num w:numId="11">
    <w:abstractNumId w:val="14"/>
  </w:num>
  <w:num w:numId="12">
    <w:abstractNumId w:val="13"/>
  </w:num>
  <w:num w:numId="13">
    <w:abstractNumId w:val="16"/>
  </w:num>
  <w:num w:numId="14">
    <w:abstractNumId w:val="0"/>
  </w:num>
  <w:num w:numId="15">
    <w:abstractNumId w:val="39"/>
  </w:num>
  <w:num w:numId="16">
    <w:abstractNumId w:val="28"/>
  </w:num>
  <w:num w:numId="17">
    <w:abstractNumId w:val="25"/>
  </w:num>
  <w:num w:numId="18">
    <w:abstractNumId w:val="3"/>
  </w:num>
  <w:num w:numId="19">
    <w:abstractNumId w:val="36"/>
  </w:num>
  <w:num w:numId="20">
    <w:abstractNumId w:val="41"/>
  </w:num>
  <w:num w:numId="21">
    <w:abstractNumId w:val="8"/>
  </w:num>
  <w:num w:numId="22">
    <w:abstractNumId w:val="34"/>
  </w:num>
  <w:num w:numId="23">
    <w:abstractNumId w:val="31"/>
  </w:num>
  <w:num w:numId="24">
    <w:abstractNumId w:val="40"/>
  </w:num>
  <w:num w:numId="25">
    <w:abstractNumId w:val="33"/>
  </w:num>
  <w:num w:numId="26">
    <w:abstractNumId w:val="6"/>
  </w:num>
  <w:num w:numId="27">
    <w:abstractNumId w:val="22"/>
  </w:num>
  <w:num w:numId="28">
    <w:abstractNumId w:val="18"/>
  </w:num>
  <w:num w:numId="29">
    <w:abstractNumId w:val="17"/>
  </w:num>
  <w:num w:numId="30">
    <w:abstractNumId w:val="10"/>
  </w:num>
  <w:num w:numId="31">
    <w:abstractNumId w:val="38"/>
  </w:num>
  <w:num w:numId="32">
    <w:abstractNumId w:val="5"/>
  </w:num>
  <w:num w:numId="33">
    <w:abstractNumId w:val="27"/>
  </w:num>
  <w:num w:numId="34">
    <w:abstractNumId w:val="4"/>
  </w:num>
  <w:num w:numId="35">
    <w:abstractNumId w:val="26"/>
  </w:num>
  <w:num w:numId="36">
    <w:abstractNumId w:val="2"/>
  </w:num>
  <w:num w:numId="37">
    <w:abstractNumId w:val="12"/>
  </w:num>
  <w:num w:numId="38">
    <w:abstractNumId w:val="19"/>
  </w:num>
  <w:num w:numId="39">
    <w:abstractNumId w:val="20"/>
  </w:num>
  <w:num w:numId="40">
    <w:abstractNumId w:val="37"/>
  </w:num>
  <w:num w:numId="41">
    <w:abstractNumId w:val="23"/>
  </w:num>
  <w:num w:numId="42">
    <w:abstractNumId w:val="35"/>
  </w:num>
  <w:num w:numId="43">
    <w:abstractNumId w:val="30"/>
  </w:num>
  <w:num w:numId="44">
    <w:abstractNumId w:val="11"/>
  </w:num>
  <w:num w:numId="45">
    <w:abstractNumId w:val="45"/>
  </w:num>
  <w:num w:numId="46">
    <w:abstractNumId w:val="1"/>
  </w:num>
  <w:num w:numId="4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22411"/>
    <w:rsid w:val="00282C3F"/>
    <w:rsid w:val="002B27B9"/>
    <w:rsid w:val="002F0CFE"/>
    <w:rsid w:val="00331A7B"/>
    <w:rsid w:val="00334EF0"/>
    <w:rsid w:val="00390EC1"/>
    <w:rsid w:val="003B694F"/>
    <w:rsid w:val="003C0B2F"/>
    <w:rsid w:val="003C30EB"/>
    <w:rsid w:val="003D1497"/>
    <w:rsid w:val="003D25AC"/>
    <w:rsid w:val="003E6FF3"/>
    <w:rsid w:val="0043209F"/>
    <w:rsid w:val="004E29EE"/>
    <w:rsid w:val="004E2C9C"/>
    <w:rsid w:val="004E799B"/>
    <w:rsid w:val="00505553"/>
    <w:rsid w:val="0053492E"/>
    <w:rsid w:val="00573A17"/>
    <w:rsid w:val="00593143"/>
    <w:rsid w:val="005B7EA9"/>
    <w:rsid w:val="005D0989"/>
    <w:rsid w:val="005D39A3"/>
    <w:rsid w:val="005E7D87"/>
    <w:rsid w:val="005F1C45"/>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95B94"/>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66341"/>
    <w:rsid w:val="00CC6CA3"/>
    <w:rsid w:val="00CE18CE"/>
    <w:rsid w:val="00CE5C4F"/>
    <w:rsid w:val="00D03575"/>
    <w:rsid w:val="00D03A15"/>
    <w:rsid w:val="00D15CE7"/>
    <w:rsid w:val="00D43A38"/>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45E78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3C0B2F"/>
  </w:style>
  <w:style w:type="paragraph" w:styleId="BodyTextIndent">
    <w:name w:val="Body Text Indent"/>
    <w:basedOn w:val="Normal"/>
    <w:link w:val="BodyTextIndentChar"/>
    <w:rsid w:val="003C0B2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C0B2F"/>
    <w:rPr>
      <w:spacing w:val="-3"/>
      <w:sz w:val="24"/>
      <w:szCs w:val="24"/>
      <w:lang w:val="nl-NL"/>
    </w:rPr>
  </w:style>
  <w:style w:type="paragraph" w:styleId="Title">
    <w:name w:val="Title"/>
    <w:basedOn w:val="Normal"/>
    <w:link w:val="TitleChar"/>
    <w:qFormat/>
    <w:rsid w:val="003C0B2F"/>
    <w:pPr>
      <w:widowControl/>
      <w:jc w:val="center"/>
    </w:pPr>
    <w:rPr>
      <w:rFonts w:ascii="Arial" w:hAnsi="Arial"/>
      <w:b/>
      <w:snapToGrid/>
      <w:sz w:val="32"/>
    </w:rPr>
  </w:style>
  <w:style w:type="character" w:customStyle="1" w:styleId="TitleChar">
    <w:name w:val="Title Char"/>
    <w:basedOn w:val="DefaultParagraphFont"/>
    <w:link w:val="Title"/>
    <w:rsid w:val="003C0B2F"/>
    <w:rPr>
      <w:rFonts w:ascii="Arial" w:hAnsi="Arial"/>
      <w:b/>
      <w:sz w:val="32"/>
    </w:rPr>
  </w:style>
  <w:style w:type="paragraph" w:styleId="BalloonText">
    <w:name w:val="Balloon Text"/>
    <w:basedOn w:val="Normal"/>
    <w:link w:val="BalloonTextChar"/>
    <w:uiPriority w:val="99"/>
    <w:unhideWhenUsed/>
    <w:rsid w:val="003C0B2F"/>
    <w:rPr>
      <w:rFonts w:ascii="Segoe UI" w:hAnsi="Segoe UI" w:cs="Segoe UI"/>
      <w:sz w:val="18"/>
      <w:szCs w:val="18"/>
    </w:rPr>
  </w:style>
  <w:style w:type="character" w:customStyle="1" w:styleId="BalloonTextChar">
    <w:name w:val="Balloon Text Char"/>
    <w:basedOn w:val="DefaultParagraphFont"/>
    <w:link w:val="BalloonText"/>
    <w:uiPriority w:val="99"/>
    <w:rsid w:val="003C0B2F"/>
    <w:rPr>
      <w:rFonts w:ascii="Segoe UI" w:hAnsi="Segoe UI" w:cs="Segoe UI"/>
      <w:snapToGrid w:val="0"/>
      <w:sz w:val="18"/>
      <w:szCs w:val="18"/>
    </w:rPr>
  </w:style>
  <w:style w:type="character" w:styleId="CommentReference">
    <w:name w:val="annotation reference"/>
    <w:basedOn w:val="DefaultParagraphFont"/>
    <w:uiPriority w:val="99"/>
    <w:unhideWhenUsed/>
    <w:rsid w:val="003C0B2F"/>
    <w:rPr>
      <w:sz w:val="16"/>
      <w:szCs w:val="16"/>
    </w:rPr>
  </w:style>
  <w:style w:type="paragraph" w:styleId="CommentText">
    <w:name w:val="annotation text"/>
    <w:basedOn w:val="Normal"/>
    <w:link w:val="CommentTextChar"/>
    <w:uiPriority w:val="99"/>
    <w:unhideWhenUsed/>
    <w:rsid w:val="003C0B2F"/>
    <w:rPr>
      <w:sz w:val="20"/>
    </w:rPr>
  </w:style>
  <w:style w:type="character" w:customStyle="1" w:styleId="CommentTextChar">
    <w:name w:val="Comment Text Char"/>
    <w:basedOn w:val="DefaultParagraphFont"/>
    <w:link w:val="CommentText"/>
    <w:uiPriority w:val="99"/>
    <w:rsid w:val="003C0B2F"/>
    <w:rPr>
      <w:rFonts w:ascii="Courier" w:hAnsi="Courier"/>
      <w:snapToGrid w:val="0"/>
    </w:rPr>
  </w:style>
  <w:style w:type="paragraph" w:styleId="CommentSubject">
    <w:name w:val="annotation subject"/>
    <w:basedOn w:val="CommentText"/>
    <w:next w:val="CommentText"/>
    <w:link w:val="CommentSubjectChar"/>
    <w:uiPriority w:val="99"/>
    <w:unhideWhenUsed/>
    <w:rsid w:val="003C0B2F"/>
    <w:rPr>
      <w:b/>
      <w:bCs/>
    </w:rPr>
  </w:style>
  <w:style w:type="character" w:customStyle="1" w:styleId="CommentSubjectChar">
    <w:name w:val="Comment Subject Char"/>
    <w:basedOn w:val="CommentTextChar"/>
    <w:link w:val="CommentSubject"/>
    <w:uiPriority w:val="99"/>
    <w:rsid w:val="003C0B2F"/>
    <w:rPr>
      <w:rFonts w:ascii="Courier" w:hAnsi="Courier"/>
      <w:b/>
      <w:bCs/>
      <w:snapToGrid w:val="0"/>
    </w:rPr>
  </w:style>
  <w:style w:type="table" w:customStyle="1" w:styleId="TableGrid1">
    <w:name w:val="Table Grid1"/>
    <w:basedOn w:val="TableNormal"/>
    <w:next w:val="TableGrid"/>
    <w:uiPriority w:val="39"/>
    <w:rsid w:val="003C0B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B2F"/>
    <w:rPr>
      <w:rFonts w:ascii="Courier" w:hAnsi="Courier"/>
      <w:snapToGrid w:val="0"/>
      <w:sz w:val="24"/>
    </w:rPr>
  </w:style>
  <w:style w:type="paragraph" w:styleId="BodyText">
    <w:name w:val="Body Text"/>
    <w:basedOn w:val="Normal"/>
    <w:link w:val="BodyTextChar"/>
    <w:rsid w:val="003C0B2F"/>
    <w:pPr>
      <w:spacing w:after="120"/>
    </w:pPr>
  </w:style>
  <w:style w:type="character" w:customStyle="1" w:styleId="BodyTextChar">
    <w:name w:val="Body Text Char"/>
    <w:basedOn w:val="DefaultParagraphFont"/>
    <w:link w:val="BodyText"/>
    <w:rsid w:val="003C0B2F"/>
    <w:rPr>
      <w:rFonts w:ascii="Courier" w:hAnsi="Courier"/>
      <w:snapToGrid w:val="0"/>
      <w:sz w:val="24"/>
    </w:rPr>
  </w:style>
  <w:style w:type="table" w:customStyle="1" w:styleId="TableGrid2">
    <w:name w:val="Table Grid2"/>
    <w:basedOn w:val="TableNormal"/>
    <w:next w:val="TableGrid"/>
    <w:uiPriority w:val="39"/>
    <w:rsid w:val="00C663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6401</Words>
  <Characters>35279</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2026-03-25T13:09:00Z</dcterms:created>
  <dcterms:modified xsi:type="dcterms:W3CDTF">2026-03-26T22:18:00Z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20260326181439586</vt:lpwstr>
  </property>
</Properties>
</file>