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4E5F1A" w:rsidRPr="00F31A77">
        <w:rPr>
          <w:b/>
          <w:sz w:val="36"/>
          <w:szCs w:val="36"/>
          <w:lang w:val="nl-NL"/>
        </w:rPr>
        <w:t>74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4E5F1A" w:rsidRPr="004E5F1A" w:rsidRDefault="004E5F1A" w:rsidP="004E5F1A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AC5329" wp14:editId="0BFF219E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5F1A" w:rsidRDefault="004E5F1A" w:rsidP="004E5F1A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C532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4E5F1A" w:rsidRDefault="004E5F1A" w:rsidP="004E5F1A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4E5F1A">
        <w:rPr>
          <w:rFonts w:ascii="Palatino Linotype" w:hAnsi="Palatino Linotype"/>
          <w:b/>
          <w:snapToGrid/>
          <w:sz w:val="22"/>
          <w:szCs w:val="22"/>
          <w:lang w:val="nl-NL"/>
        </w:rPr>
        <w:t>Ministeriële regeling met algemene werking van de 22</w:t>
      </w:r>
      <w:r w:rsidRPr="004E5F1A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 w:rsidRPr="004E5F1A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april 2026 tot wijziging van de Prijzenregeling basis-, brandstof- en consumententarieven (</w:t>
      </w:r>
      <w:r w:rsidR="00AD1FA1">
        <w:rPr>
          <w:rFonts w:ascii="Palatino Linotype" w:hAnsi="Palatino Linotype"/>
          <w:b/>
          <w:snapToGrid/>
          <w:sz w:val="22"/>
          <w:szCs w:val="22"/>
          <w:lang w:val="nl-NL"/>
        </w:rPr>
        <w:t>P.B.</w:t>
      </w:r>
      <w:r w:rsidRPr="004E5F1A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2023, no. 91).</w:t>
      </w:r>
    </w:p>
    <w:p w:rsidR="004E5F1A" w:rsidRPr="004E5F1A" w:rsidRDefault="004E5F1A" w:rsidP="00AD1FA1">
      <w:pPr>
        <w:widowControl/>
        <w:spacing w:line="220" w:lineRule="exact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AD1FA1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DE MINISTER VAN ECONOMISCHE ONTWIKKELING,</w:t>
      </w:r>
    </w:p>
    <w:p w:rsidR="004E5F1A" w:rsidRPr="004E5F1A" w:rsidRDefault="004E5F1A" w:rsidP="00AD1FA1">
      <w:pPr>
        <w:widowControl/>
        <w:spacing w:line="220" w:lineRule="exact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tabs>
          <w:tab w:val="left" w:pos="540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ab/>
        <w:t>Overwegende:</w:t>
      </w:r>
    </w:p>
    <w:p w:rsidR="004E5F1A" w:rsidRPr="004E5F1A" w:rsidRDefault="004E5F1A" w:rsidP="00AD1FA1">
      <w:pPr>
        <w:widowControl/>
        <w:tabs>
          <w:tab w:val="left" w:pos="1260"/>
        </w:tabs>
        <w:spacing w:line="220" w:lineRule="exact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tabs>
          <w:tab w:val="left" w:pos="1260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4E5F1A">
        <w:rPr>
          <w:rFonts w:ascii="Palatino Linotype" w:hAnsi="Palatino Linotype"/>
          <w:snapToGrid/>
          <w:sz w:val="22"/>
          <w:szCs w:val="22"/>
          <w:lang w:val="nl-NL"/>
        </w:rPr>
        <w:t>importvervangende</w:t>
      </w:r>
      <w:proofErr w:type="spellEnd"/>
      <w:r w:rsidRPr="004E5F1A">
        <w:rPr>
          <w:rFonts w:ascii="Palatino Linotype" w:hAnsi="Palatino Linotype"/>
          <w:snapToGrid/>
          <w:sz w:val="22"/>
          <w:szCs w:val="22"/>
          <w:lang w:val="nl-NL"/>
        </w:rPr>
        <w:t xml:space="preserve"> industriële, exportgerichte industriële doeleinden, hospitaal en voor irrigatiewater vast te stellen;</w:t>
      </w:r>
    </w:p>
    <w:p w:rsidR="004E5F1A" w:rsidRPr="004E5F1A" w:rsidRDefault="004E5F1A" w:rsidP="00AD1FA1">
      <w:pPr>
        <w:widowControl/>
        <w:spacing w:line="220" w:lineRule="exact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tabs>
          <w:tab w:val="left" w:pos="540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ab/>
        <w:t>Gelet op:</w:t>
      </w:r>
    </w:p>
    <w:p w:rsidR="004E5F1A" w:rsidRPr="004E5F1A" w:rsidRDefault="004E5F1A" w:rsidP="00AD1FA1">
      <w:pPr>
        <w:widowControl/>
        <w:tabs>
          <w:tab w:val="left" w:pos="1080"/>
        </w:tabs>
        <w:spacing w:line="220" w:lineRule="exact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tabs>
          <w:tab w:val="left" w:pos="1080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Artikel 2 van de Prijzenverordening 1961, zoals gewijzigd</w:t>
      </w:r>
      <w:r w:rsidRPr="004E5F1A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footnoteReference w:id="1"/>
      </w: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;</w:t>
      </w:r>
    </w:p>
    <w:p w:rsidR="004E5F1A" w:rsidRPr="004E5F1A" w:rsidRDefault="004E5F1A" w:rsidP="00AD1FA1">
      <w:pPr>
        <w:widowControl/>
        <w:spacing w:line="220" w:lineRule="exact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Heeft besloten:</w:t>
      </w:r>
    </w:p>
    <w:p w:rsidR="00AD1FA1" w:rsidRDefault="00AD1FA1" w:rsidP="00AD1FA1">
      <w:pPr>
        <w:widowControl/>
        <w:spacing w:line="220" w:lineRule="exact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Artikel I</w:t>
      </w:r>
    </w:p>
    <w:p w:rsidR="004E5F1A" w:rsidRPr="004E5F1A" w:rsidRDefault="004E5F1A" w:rsidP="00AD1FA1">
      <w:pPr>
        <w:widowControl/>
        <w:spacing w:line="220" w:lineRule="exact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De Prijzenregeling basis-, brandstof- en consumententarieven (</w:t>
      </w:r>
      <w:r w:rsidR="00AD1FA1">
        <w:rPr>
          <w:rFonts w:ascii="Palatino Linotype" w:hAnsi="Palatino Linotype"/>
          <w:snapToGrid/>
          <w:sz w:val="22"/>
          <w:szCs w:val="22"/>
          <w:lang w:val="nl-NL"/>
        </w:rPr>
        <w:t>P.B.</w:t>
      </w:r>
      <w:r w:rsidRPr="004E5F1A">
        <w:rPr>
          <w:rFonts w:ascii="Palatino Linotype" w:hAnsi="Palatino Linotype"/>
          <w:snapToGrid/>
          <w:sz w:val="22"/>
          <w:szCs w:val="22"/>
          <w:lang w:val="nl-NL"/>
        </w:rPr>
        <w:t xml:space="preserve"> 2023, no. 91) wordt nader gewijzigd als volgt:</w:t>
      </w:r>
    </w:p>
    <w:p w:rsidR="004E5F1A" w:rsidRPr="004E5F1A" w:rsidRDefault="004E5F1A" w:rsidP="00AD1FA1">
      <w:pPr>
        <w:widowControl/>
        <w:spacing w:line="220" w:lineRule="exact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 xml:space="preserve">In de bijlage behorende bij artikel 2 worden de navolgende tarieven gewijzigd als volgt: </w:t>
      </w:r>
    </w:p>
    <w:tbl>
      <w:tblPr>
        <w:tblW w:w="9313" w:type="dxa"/>
        <w:tblLook w:val="04A0" w:firstRow="1" w:lastRow="0" w:firstColumn="1" w:lastColumn="0" w:noHBand="0" w:noVBand="1"/>
      </w:tblPr>
      <w:tblGrid>
        <w:gridCol w:w="3230"/>
        <w:gridCol w:w="270"/>
        <w:gridCol w:w="1217"/>
        <w:gridCol w:w="235"/>
        <w:gridCol w:w="978"/>
        <w:gridCol w:w="537"/>
        <w:gridCol w:w="871"/>
        <w:gridCol w:w="533"/>
        <w:gridCol w:w="975"/>
        <w:gridCol w:w="467"/>
      </w:tblGrid>
      <w:tr w:rsidR="004E5F1A" w:rsidRPr="004E5F1A" w:rsidTr="00AD1FA1">
        <w:trPr>
          <w:gridAfter w:val="1"/>
          <w:wAfter w:w="467" w:type="dxa"/>
          <w:trHeight w:val="297"/>
        </w:trPr>
        <w:tc>
          <w:tcPr>
            <w:tcW w:w="3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Tariefgroep elektriciteit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AD1FA1">
            <w:pPr>
              <w:widowControl/>
              <w:jc w:val="center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Categorie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AD1FA1">
            <w:pPr>
              <w:widowControl/>
              <w:jc w:val="center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 xml:space="preserve">Basis tarief in </w:t>
            </w:r>
            <w:proofErr w:type="spellStart"/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Cg</w:t>
            </w:r>
            <w:proofErr w:type="spellEnd"/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/ kWh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AD1FA1">
            <w:pPr>
              <w:widowControl/>
              <w:jc w:val="center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 xml:space="preserve">Brandstof clausule in </w:t>
            </w:r>
            <w:proofErr w:type="spellStart"/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Cg</w:t>
            </w:r>
            <w:proofErr w:type="spellEnd"/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/kWh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AD1FA1">
            <w:pPr>
              <w:widowControl/>
              <w:jc w:val="center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 xml:space="preserve">Totaal in </w:t>
            </w:r>
            <w:proofErr w:type="spellStart"/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Cg</w:t>
            </w:r>
            <w:proofErr w:type="spellEnd"/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/kWh</w:t>
            </w:r>
          </w:p>
        </w:tc>
      </w:tr>
      <w:tr w:rsidR="004E5F1A" w:rsidRPr="004E5F1A" w:rsidTr="00AD1FA1">
        <w:trPr>
          <w:gridAfter w:val="1"/>
          <w:wAfter w:w="467" w:type="dxa"/>
          <w:trHeight w:val="272"/>
        </w:trPr>
        <w:tc>
          <w:tcPr>
            <w:tcW w:w="3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4E5F1A" w:rsidRPr="004E5F1A" w:rsidTr="00AD1FA1">
        <w:trPr>
          <w:gridAfter w:val="1"/>
          <w:wAfter w:w="467" w:type="dxa"/>
          <w:trHeight w:val="272"/>
        </w:trPr>
        <w:tc>
          <w:tcPr>
            <w:tcW w:w="3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4E5F1A" w:rsidRPr="004E5F1A" w:rsidTr="00AD1FA1">
        <w:trPr>
          <w:gridAfter w:val="1"/>
          <w:wAfter w:w="467" w:type="dxa"/>
          <w:trHeight w:val="272"/>
        </w:trPr>
        <w:tc>
          <w:tcPr>
            <w:tcW w:w="3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4E5F1A" w:rsidRPr="004E5F1A" w:rsidTr="00AD1FA1">
        <w:trPr>
          <w:gridAfter w:val="1"/>
          <w:wAfter w:w="467" w:type="dxa"/>
          <w:trHeight w:val="30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1 Huishoudelijk Post en Prepaid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≤250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0,3129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0,2732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0,5861</w:t>
            </w:r>
          </w:p>
        </w:tc>
      </w:tr>
      <w:tr w:rsidR="004E5F1A" w:rsidRPr="004E5F1A" w:rsidTr="00AD1FA1">
        <w:trPr>
          <w:gridAfter w:val="1"/>
          <w:wAfter w:w="467" w:type="dxa"/>
          <w:trHeight w:val="30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250&lt;x≤350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0,4192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0,2732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0,6924</w:t>
            </w:r>
          </w:p>
        </w:tc>
      </w:tr>
      <w:tr w:rsidR="004E5F1A" w:rsidRPr="004E5F1A" w:rsidTr="00AD1FA1">
        <w:trPr>
          <w:gridAfter w:val="1"/>
          <w:wAfter w:w="467" w:type="dxa"/>
          <w:trHeight w:val="30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&gt;350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0,4634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0,2732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0,7366</w:t>
            </w:r>
          </w:p>
        </w:tc>
      </w:tr>
      <w:tr w:rsidR="004E5F1A" w:rsidRPr="004E5F1A" w:rsidTr="00AD1FA1">
        <w:trPr>
          <w:gridAfter w:val="1"/>
          <w:wAfter w:w="467" w:type="dxa"/>
          <w:trHeight w:val="30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2 Zakelijk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0,4226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0,2732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0,6958</w:t>
            </w:r>
          </w:p>
        </w:tc>
      </w:tr>
      <w:tr w:rsidR="004E5F1A" w:rsidRPr="004E5F1A" w:rsidTr="00AD1FA1">
        <w:trPr>
          <w:gridAfter w:val="1"/>
          <w:wAfter w:w="467" w:type="dxa"/>
          <w:trHeight w:val="30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22 Industrieel standaard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Hoog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0,3229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0,2732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0,5961</w:t>
            </w:r>
          </w:p>
        </w:tc>
      </w:tr>
      <w:tr w:rsidR="004E5F1A" w:rsidRPr="004E5F1A" w:rsidTr="00AD1FA1">
        <w:trPr>
          <w:gridAfter w:val="1"/>
          <w:wAfter w:w="467" w:type="dxa"/>
          <w:trHeight w:val="30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Laag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0,3174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0,2732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0,5906</w:t>
            </w:r>
          </w:p>
        </w:tc>
      </w:tr>
      <w:tr w:rsidR="004E5F1A" w:rsidRPr="004E5F1A" w:rsidTr="00AD1FA1">
        <w:trPr>
          <w:gridAfter w:val="1"/>
          <w:wAfter w:w="467" w:type="dxa"/>
          <w:trHeight w:val="30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23 Industrieel exportgericht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Hoog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0,1930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0,2732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0,4662</w:t>
            </w:r>
          </w:p>
        </w:tc>
      </w:tr>
      <w:tr w:rsidR="004E5F1A" w:rsidRPr="004E5F1A" w:rsidTr="00AD1FA1">
        <w:trPr>
          <w:gridAfter w:val="1"/>
          <w:wAfter w:w="467" w:type="dxa"/>
          <w:trHeight w:val="30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Laag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0,1876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0,2732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0,4608</w:t>
            </w:r>
          </w:p>
        </w:tc>
      </w:tr>
      <w:tr w:rsidR="004E5F1A" w:rsidRPr="004E5F1A" w:rsidTr="00AD1FA1">
        <w:trPr>
          <w:gridAfter w:val="1"/>
          <w:wAfter w:w="467" w:type="dxa"/>
          <w:trHeight w:val="30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AD1FA1">
            <w:pPr>
              <w:widowControl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24</w:t>
            </w:r>
            <w:r w:rsidR="00AD1FA1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 xml:space="preserve"> </w:t>
            </w: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Industrieel import vervangend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Hoog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0,2577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0,2732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0,5309</w:t>
            </w:r>
          </w:p>
        </w:tc>
      </w:tr>
      <w:tr w:rsidR="004E5F1A" w:rsidRPr="004E5F1A" w:rsidTr="00AD1FA1">
        <w:trPr>
          <w:gridAfter w:val="1"/>
          <w:wAfter w:w="467" w:type="dxa"/>
          <w:trHeight w:val="30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Laag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0,2519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0,2732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0,5251</w:t>
            </w:r>
          </w:p>
        </w:tc>
      </w:tr>
      <w:tr w:rsidR="004E5F1A" w:rsidRPr="004E5F1A" w:rsidTr="00AD1FA1">
        <w:trPr>
          <w:gridAfter w:val="1"/>
          <w:wAfter w:w="467" w:type="dxa"/>
          <w:trHeight w:val="30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33 Hospitaal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Hoog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0,1696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0,2732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0,4428</w:t>
            </w:r>
          </w:p>
        </w:tc>
      </w:tr>
      <w:tr w:rsidR="004E5F1A" w:rsidRPr="004E5F1A" w:rsidTr="00AD1FA1">
        <w:trPr>
          <w:gridAfter w:val="1"/>
          <w:wAfter w:w="467" w:type="dxa"/>
          <w:trHeight w:val="30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Laag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0,1547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0,2732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0,4279</w:t>
            </w:r>
          </w:p>
        </w:tc>
      </w:tr>
      <w:tr w:rsidR="004E5F1A" w:rsidRPr="004E5F1A" w:rsidTr="00AD1FA1">
        <w:trPr>
          <w:gridAfter w:val="1"/>
          <w:wAfter w:w="467" w:type="dxa"/>
          <w:trHeight w:val="300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Straatverlichting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0,3043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0,2732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0,5775</w:t>
            </w:r>
          </w:p>
        </w:tc>
      </w:tr>
      <w:tr w:rsidR="004E5F1A" w:rsidRPr="00AD1FA1" w:rsidTr="00AD1FA1">
        <w:trPr>
          <w:trHeight w:val="458"/>
        </w:trPr>
        <w:tc>
          <w:tcPr>
            <w:tcW w:w="3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lastRenderedPageBreak/>
              <w:t>Tariefgroep water</w:t>
            </w:r>
          </w:p>
        </w:tc>
        <w:tc>
          <w:tcPr>
            <w:tcW w:w="17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Categorie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 xml:space="preserve">Basis tarief in </w:t>
            </w:r>
            <w:proofErr w:type="spellStart"/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Cg</w:t>
            </w:r>
            <w:proofErr w:type="spellEnd"/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/m³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 xml:space="preserve">Brandstof clausule in </w:t>
            </w:r>
            <w:proofErr w:type="spellStart"/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Cg</w:t>
            </w:r>
            <w:proofErr w:type="spellEnd"/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/m³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 xml:space="preserve">Totaal tarief in </w:t>
            </w:r>
            <w:proofErr w:type="spellStart"/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Cg</w:t>
            </w:r>
            <w:proofErr w:type="spellEnd"/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/m³</w:t>
            </w:r>
          </w:p>
        </w:tc>
      </w:tr>
      <w:tr w:rsidR="004E5F1A" w:rsidRPr="00AD1FA1" w:rsidTr="00AD1FA1">
        <w:trPr>
          <w:trHeight w:val="458"/>
        </w:trPr>
        <w:tc>
          <w:tcPr>
            <w:tcW w:w="3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7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4E5F1A" w:rsidRPr="00AD1FA1" w:rsidTr="00AD1FA1">
        <w:trPr>
          <w:trHeight w:val="458"/>
        </w:trPr>
        <w:tc>
          <w:tcPr>
            <w:tcW w:w="3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7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4E5F1A" w:rsidRPr="00AD1FA1" w:rsidTr="00AD1FA1">
        <w:trPr>
          <w:trHeight w:val="458"/>
        </w:trPr>
        <w:tc>
          <w:tcPr>
            <w:tcW w:w="3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7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4E5F1A" w:rsidRPr="004E5F1A" w:rsidTr="00AD1FA1">
        <w:trPr>
          <w:trHeight w:val="3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Huishoudelijk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≤ 9m³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4,9289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3,3939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8,3228</w:t>
            </w:r>
          </w:p>
        </w:tc>
      </w:tr>
      <w:tr w:rsidR="004E5F1A" w:rsidRPr="004E5F1A" w:rsidTr="00AD1FA1">
        <w:trPr>
          <w:trHeight w:val="3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9m³ &lt; x ≤ 12m³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10,0792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3,3939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13,4731</w:t>
            </w:r>
          </w:p>
        </w:tc>
      </w:tr>
      <w:tr w:rsidR="004E5F1A" w:rsidRPr="004E5F1A" w:rsidTr="00AD1FA1">
        <w:trPr>
          <w:trHeight w:val="3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12m³ &lt; x ≤ 20m³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12,0203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3,3939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15,4142</w:t>
            </w:r>
          </w:p>
        </w:tc>
      </w:tr>
      <w:tr w:rsidR="004E5F1A" w:rsidRPr="004E5F1A" w:rsidTr="00AD1FA1">
        <w:trPr>
          <w:trHeight w:val="3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&gt; 20m³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13,9840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3,3939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17,3779</w:t>
            </w:r>
          </w:p>
        </w:tc>
      </w:tr>
      <w:tr w:rsidR="004E5F1A" w:rsidRPr="004E5F1A" w:rsidTr="00AD1FA1">
        <w:trPr>
          <w:trHeight w:val="3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Zakelijk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10,4489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3,3939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13,8428</w:t>
            </w:r>
          </w:p>
        </w:tc>
      </w:tr>
      <w:tr w:rsidR="004E5F1A" w:rsidRPr="004E5F1A" w:rsidTr="00AD1FA1">
        <w:trPr>
          <w:trHeight w:val="3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Industrieel standaard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10,4489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3,3939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13,8428</w:t>
            </w:r>
          </w:p>
        </w:tc>
      </w:tr>
      <w:tr w:rsidR="004E5F1A" w:rsidRPr="004E5F1A" w:rsidTr="00AD1FA1">
        <w:trPr>
          <w:trHeight w:val="3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AD1FA1">
            <w:pPr>
              <w:widowControl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Industrieel import vervangend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10,4489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3,3939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13,8428</w:t>
            </w:r>
          </w:p>
        </w:tc>
      </w:tr>
      <w:tr w:rsidR="004E5F1A" w:rsidRPr="004E5F1A" w:rsidTr="00AD1FA1">
        <w:trPr>
          <w:trHeight w:val="3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Industrieel export gericht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9,4989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3,3939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12,8928</w:t>
            </w:r>
          </w:p>
        </w:tc>
      </w:tr>
      <w:tr w:rsidR="004E5F1A" w:rsidRPr="004E5F1A" w:rsidTr="00AD1FA1">
        <w:trPr>
          <w:trHeight w:val="3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Hospitaal</w:t>
            </w:r>
            <w:bookmarkStart w:id="0" w:name="_GoBack"/>
            <w:bookmarkEnd w:id="0"/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9,4989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3,3939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12,8928</w:t>
            </w:r>
          </w:p>
        </w:tc>
      </w:tr>
      <w:tr w:rsidR="004E5F1A" w:rsidRPr="004E5F1A" w:rsidTr="00AD1FA1">
        <w:trPr>
          <w:trHeight w:val="360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  <w:t>Irrigatiewater</w:t>
            </w: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E5F1A" w:rsidRPr="004E5F1A" w:rsidRDefault="004E5F1A" w:rsidP="004E5F1A">
            <w:pPr>
              <w:widowControl/>
              <w:jc w:val="both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color w:val="000000"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3,5000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jc w:val="right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3,3939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E5F1A" w:rsidRPr="004E5F1A" w:rsidRDefault="004E5F1A" w:rsidP="00AD1FA1">
            <w:pPr>
              <w:widowControl/>
              <w:autoSpaceDE w:val="0"/>
              <w:autoSpaceDN w:val="0"/>
              <w:adjustRightInd w:val="0"/>
              <w:jc w:val="right"/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</w:pPr>
            <w:r w:rsidRPr="004E5F1A">
              <w:rPr>
                <w:rFonts w:ascii="Palatino Linotype" w:eastAsia="Calibri" w:hAnsi="Palatino Linotype"/>
                <w:snapToGrid/>
                <w:color w:val="000000"/>
                <w:sz w:val="22"/>
                <w:szCs w:val="22"/>
              </w:rPr>
              <w:t>6,8939</w:t>
            </w:r>
          </w:p>
        </w:tc>
      </w:tr>
    </w:tbl>
    <w:p w:rsidR="004E5F1A" w:rsidRPr="004E5F1A" w:rsidRDefault="004E5F1A" w:rsidP="004E5F1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Artikel II</w:t>
      </w:r>
    </w:p>
    <w:p w:rsidR="004E5F1A" w:rsidRPr="004E5F1A" w:rsidRDefault="004E5F1A" w:rsidP="004E5F1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Deze regeling wordt in de oorspronkelijke vorm of in een aan de behoefte aangepaste vorm bekendgemaakt in één of meer dagbladen.</w:t>
      </w:r>
    </w:p>
    <w:p w:rsidR="004E5F1A" w:rsidRPr="004E5F1A" w:rsidRDefault="004E5F1A" w:rsidP="004E5F1A">
      <w:pPr>
        <w:widowControl/>
        <w:tabs>
          <w:tab w:val="left" w:pos="360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tabs>
          <w:tab w:val="left" w:pos="360"/>
        </w:tabs>
        <w:ind w:left="360" w:hanging="3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Artikel III</w:t>
      </w:r>
    </w:p>
    <w:p w:rsidR="004E5F1A" w:rsidRPr="004E5F1A" w:rsidRDefault="004E5F1A" w:rsidP="004E5F1A">
      <w:pPr>
        <w:widowControl/>
        <w:tabs>
          <w:tab w:val="left" w:pos="360"/>
        </w:tabs>
        <w:ind w:left="360" w:hanging="3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tabs>
          <w:tab w:val="left" w:pos="360"/>
        </w:tabs>
        <w:ind w:left="360" w:hanging="3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Deze regeling treedt in werking met ingang van 1 mei 2026.</w:t>
      </w:r>
    </w:p>
    <w:p w:rsidR="004E5F1A" w:rsidRPr="004E5F1A" w:rsidRDefault="004E5F1A" w:rsidP="004E5F1A">
      <w:pPr>
        <w:widowControl/>
        <w:tabs>
          <w:tab w:val="left" w:pos="360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ind w:left="43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Gegeven te Willemstad, 22 april 2026</w:t>
      </w:r>
    </w:p>
    <w:p w:rsidR="004E5F1A" w:rsidRPr="004E5F1A" w:rsidRDefault="004E5F1A" w:rsidP="004E5F1A">
      <w:pPr>
        <w:widowControl/>
        <w:ind w:left="4860" w:hanging="54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De Minister van Economische Ontwikkeling</w:t>
      </w:r>
    </w:p>
    <w:p w:rsidR="004E5F1A" w:rsidRPr="004E5F1A" w:rsidRDefault="004E5F1A" w:rsidP="004E5F1A">
      <w:pPr>
        <w:autoSpaceDE w:val="0"/>
        <w:autoSpaceDN w:val="0"/>
        <w:spacing w:line="274" w:lineRule="exact"/>
        <w:ind w:left="4320" w:right="760"/>
        <w:jc w:val="center"/>
        <w:outlineLvl w:val="0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R.P.H. MIDDELHOF</w:t>
      </w:r>
    </w:p>
    <w:p w:rsidR="004E5F1A" w:rsidRPr="004E5F1A" w:rsidRDefault="004E5F1A" w:rsidP="004E5F1A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ind w:left="48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E5F1A" w:rsidRPr="004E5F1A" w:rsidRDefault="004E5F1A" w:rsidP="004E5F1A">
      <w:pPr>
        <w:widowControl/>
        <w:ind w:left="4860" w:hanging="54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Uitgegeven de</w:t>
      </w:r>
      <w:r w:rsidR="00AD1FA1">
        <w:rPr>
          <w:rFonts w:ascii="Palatino Linotype" w:hAnsi="Palatino Linotype"/>
          <w:snapToGrid/>
          <w:sz w:val="22"/>
          <w:szCs w:val="22"/>
          <w:lang w:val="nl-NL"/>
        </w:rPr>
        <w:t xml:space="preserve"> 24</w:t>
      </w:r>
      <w:r w:rsidR="00AD1FA1" w:rsidRPr="00AD1FA1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 w:rsidR="00AD1FA1">
        <w:rPr>
          <w:rFonts w:ascii="Palatino Linotype" w:hAnsi="Palatino Linotype"/>
          <w:snapToGrid/>
          <w:sz w:val="22"/>
          <w:szCs w:val="22"/>
          <w:lang w:val="nl-NL"/>
        </w:rPr>
        <w:t xml:space="preserve"> april 2026</w:t>
      </w:r>
    </w:p>
    <w:p w:rsidR="004E5F1A" w:rsidRPr="004E5F1A" w:rsidRDefault="004E5F1A" w:rsidP="004E5F1A">
      <w:pPr>
        <w:widowControl/>
        <w:ind w:left="4860" w:hanging="54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E5F1A">
        <w:rPr>
          <w:rFonts w:ascii="Palatino Linotype" w:hAnsi="Palatino Linotype"/>
          <w:snapToGrid/>
          <w:sz w:val="22"/>
          <w:szCs w:val="22"/>
          <w:lang w:val="nl-NL"/>
        </w:rPr>
        <w:t>De Minister van Algemene Zaken</w:t>
      </w:r>
    </w:p>
    <w:p w:rsidR="004E5F1A" w:rsidRPr="004E5F1A" w:rsidRDefault="004E5F1A" w:rsidP="004E5F1A">
      <w:pPr>
        <w:pStyle w:val="BodyText"/>
        <w:ind w:left="4320" w:right="1750"/>
        <w:jc w:val="center"/>
        <w:rPr>
          <w:lang w:val="nl-NL"/>
        </w:rPr>
      </w:pPr>
      <w:r w:rsidRPr="004E5F1A">
        <w:rPr>
          <w:lang w:val="nl-NL"/>
        </w:rPr>
        <w:t>G.S. PISAS</w:t>
      </w:r>
    </w:p>
    <w:p w:rsidR="008D5E2E" w:rsidRDefault="008D5E2E" w:rsidP="004E5F1A">
      <w:pPr>
        <w:autoSpaceDE w:val="0"/>
        <w:autoSpaceDN w:val="0"/>
        <w:adjustRightInd w:val="0"/>
        <w:jc w:val="both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 w:rsidSect="00AD1FA1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710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4E5F1A" w:rsidRPr="00AD1FA1" w:rsidRDefault="004E5F1A" w:rsidP="004E5F1A">
      <w:pPr>
        <w:pStyle w:val="FootnoteText"/>
        <w:rPr>
          <w:rFonts w:ascii="Palatino Linotype" w:hAnsi="Palatino Linotype"/>
        </w:rPr>
      </w:pPr>
      <w:r w:rsidRPr="00AD1FA1">
        <w:rPr>
          <w:rStyle w:val="FootnoteReference"/>
          <w:rFonts w:ascii="Palatino Linotype" w:hAnsi="Palatino Linotype"/>
          <w:sz w:val="22"/>
        </w:rPr>
        <w:footnoteRef/>
      </w:r>
      <w:r w:rsidRPr="00AD1FA1">
        <w:rPr>
          <w:rFonts w:ascii="Palatino Linotype" w:hAnsi="Palatino Linotype"/>
          <w:sz w:val="22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31A77">
      <w:rPr>
        <w:rFonts w:ascii="Times New Roman" w:hAnsi="Times New Roman"/>
        <w:b/>
        <w:spacing w:val="-4"/>
        <w:sz w:val="36"/>
      </w:rPr>
      <w:t>74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F31A77">
      <w:rPr>
        <w:rFonts w:ascii="Times New Roman" w:hAnsi="Times New Roman"/>
        <w:b/>
        <w:spacing w:val="-4"/>
        <w:sz w:val="36"/>
      </w:rPr>
      <w:t>74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5F1A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AD1FA1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43A7D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31A77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C005BAA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rsid w:val="004E5F1A"/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4E5F1A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E5F1A"/>
    <w:rPr>
      <w:rFonts w:ascii="Palatino Linotype" w:eastAsia="Palatino Linotype" w:hAnsi="Palatino Linotype" w:cs="Palatino Linotype"/>
      <w:sz w:val="22"/>
      <w:szCs w:val="22"/>
    </w:rPr>
  </w:style>
  <w:style w:type="paragraph" w:styleId="BalloonText">
    <w:name w:val="Balloon Text"/>
    <w:basedOn w:val="Normal"/>
    <w:link w:val="BalloonTextChar"/>
    <w:rsid w:val="004E5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5F1A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4</cp:revision>
  <cp:lastPrinted>2011-07-22T21:19:00Z</cp:lastPrinted>
  <dcterms:created xsi:type="dcterms:W3CDTF">2026-04-23T20:20:00Z</dcterms:created>
  <dcterms:modified xsi:type="dcterms:W3CDTF">2026-04-24T18:16:00Z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20260424141340235</vt:lpwstr>
  </property>
</Properties>
</file>