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8D72DF" w:rsidRPr="00C9214B">
        <w:rPr>
          <w:b/>
          <w:sz w:val="36"/>
          <w:szCs w:val="36"/>
          <w:lang w:val="nl-NL"/>
        </w:rPr>
        <w:t>93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D72DF" w:rsidRPr="008D72DF" w:rsidRDefault="008D72DF" w:rsidP="008D72DF">
      <w:pPr>
        <w:pStyle w:val="Title"/>
        <w:jc w:val="both"/>
        <w:rPr>
          <w:rFonts w:ascii="Palatino Linotype" w:hAnsi="Palatino Linotype"/>
          <w:sz w:val="22"/>
          <w:szCs w:val="22"/>
          <w:lang w:val="nl-NL"/>
        </w:rPr>
      </w:pPr>
      <w:r w:rsidRPr="008D72DF">
        <w:rPr>
          <w:rFonts w:ascii="Palatino Linotype" w:hAnsi="Palatino Linotype"/>
          <w:sz w:val="22"/>
          <w:szCs w:val="22"/>
          <w:lang w:val="nl-NL"/>
        </w:rPr>
        <w:t>LANDSBESLUIT</w:t>
      </w:r>
      <w:r w:rsidRPr="008D72DF">
        <w:rPr>
          <w:rFonts w:ascii="Palatino Linotype" w:hAnsi="Palatino Linotype"/>
          <w:spacing w:val="46"/>
          <w:sz w:val="22"/>
          <w:szCs w:val="22"/>
          <w:lang w:val="nl-NL"/>
        </w:rPr>
        <w:t xml:space="preserve"> </w:t>
      </w:r>
      <w:r w:rsidRPr="008D72DF">
        <w:rPr>
          <w:rFonts w:ascii="Palatino Linotype" w:hAnsi="Palatino Linotype"/>
          <w:sz w:val="22"/>
          <w:szCs w:val="22"/>
          <w:lang w:val="nl-NL"/>
        </w:rPr>
        <w:t>van de 1</w:t>
      </w:r>
      <w:r w:rsidRPr="008D72DF">
        <w:rPr>
          <w:rFonts w:ascii="Palatino Linotype" w:hAnsi="Palatino Linotype"/>
          <w:sz w:val="22"/>
          <w:szCs w:val="22"/>
          <w:vertAlign w:val="superscript"/>
          <w:lang w:val="nl-NL"/>
        </w:rPr>
        <w:t>ste</w:t>
      </w:r>
      <w:r w:rsidRPr="008D72DF">
        <w:rPr>
          <w:rFonts w:ascii="Palatino Linotype" w:hAnsi="Palatino Linotype"/>
          <w:sz w:val="22"/>
          <w:szCs w:val="22"/>
          <w:lang w:val="nl-NL"/>
        </w:rPr>
        <w:t xml:space="preserve"> april 2026, no. 26/910, houdende vaststelling van de geconsolideerde tekst van het </w:t>
      </w:r>
      <w:proofErr w:type="spellStart"/>
      <w:r w:rsidRPr="008D72DF">
        <w:rPr>
          <w:rFonts w:ascii="Palatino Linotype" w:hAnsi="Palatino Linotype"/>
          <w:sz w:val="22"/>
          <w:szCs w:val="22"/>
          <w:lang w:val="nl-NL"/>
        </w:rPr>
        <w:t>Eilandsbesluit</w:t>
      </w:r>
      <w:proofErr w:type="spellEnd"/>
      <w:r w:rsidRPr="008D72DF">
        <w:rPr>
          <w:rFonts w:ascii="Palatino Linotype" w:hAnsi="Palatino Linotype"/>
          <w:sz w:val="22"/>
          <w:szCs w:val="22"/>
          <w:lang w:val="nl-NL"/>
        </w:rPr>
        <w:t xml:space="preserve"> Toezichtkosten Casinowezen</w:t>
      </w:r>
      <w:r w:rsidRPr="008D72DF">
        <w:rPr>
          <w:rStyle w:val="FootnoteReference"/>
          <w:rFonts w:ascii="Palatino Linotype" w:hAnsi="Palatino Linotype"/>
          <w:sz w:val="22"/>
          <w:szCs w:val="22"/>
          <w:lang w:val="nl-NL"/>
        </w:rPr>
        <w:footnoteReference w:id="1"/>
      </w:r>
    </w:p>
    <w:p w:rsidR="008D72DF" w:rsidRPr="00C42806" w:rsidRDefault="008D72DF" w:rsidP="008D72DF">
      <w:pPr>
        <w:pStyle w:val="Title"/>
        <w:spacing w:line="200" w:lineRule="exact"/>
        <w:jc w:val="left"/>
        <w:rPr>
          <w:rFonts w:ascii="Palatino Linotype" w:hAnsi="Palatino Linotype"/>
          <w:b w:val="0"/>
          <w:sz w:val="22"/>
          <w:szCs w:val="22"/>
          <w:lang w:val="nl-NL"/>
        </w:rPr>
      </w:pPr>
    </w:p>
    <w:p w:rsidR="008D72DF" w:rsidRPr="00C42806" w:rsidRDefault="008D72DF" w:rsidP="008D72DF">
      <w:pPr>
        <w:pStyle w:val="Title"/>
        <w:spacing w:line="200" w:lineRule="exact"/>
        <w:rPr>
          <w:rFonts w:ascii="Palatino Linotype" w:hAnsi="Palatino Linotype"/>
          <w:sz w:val="22"/>
          <w:szCs w:val="22"/>
          <w:lang w:val="nl-NL"/>
        </w:rPr>
      </w:pPr>
      <w:r w:rsidRPr="00C42806">
        <w:rPr>
          <w:rFonts w:ascii="Palatino Linotype" w:hAnsi="Palatino Linotype"/>
          <w:sz w:val="22"/>
          <w:szCs w:val="22"/>
          <w:lang w:val="nl-NL"/>
        </w:rPr>
        <w:t>____________</w:t>
      </w:r>
    </w:p>
    <w:p w:rsidR="008D72DF" w:rsidRPr="00C42806" w:rsidRDefault="008D72DF" w:rsidP="008D72DF">
      <w:pPr>
        <w:pStyle w:val="Title"/>
        <w:spacing w:line="200" w:lineRule="exact"/>
        <w:rPr>
          <w:rFonts w:ascii="Palatino Linotype" w:hAnsi="Palatino Linotype"/>
          <w:b w:val="0"/>
          <w:sz w:val="22"/>
          <w:szCs w:val="22"/>
          <w:lang w:val="nl-NL"/>
        </w:rPr>
      </w:pPr>
    </w:p>
    <w:p w:rsidR="008D72DF" w:rsidRPr="00C42806" w:rsidRDefault="008D72DF" w:rsidP="008D72DF">
      <w:pPr>
        <w:pStyle w:val="Title"/>
        <w:rPr>
          <w:rFonts w:ascii="Palatino Linotype" w:hAnsi="Palatino Linotype"/>
          <w:b w:val="0"/>
          <w:sz w:val="22"/>
          <w:szCs w:val="22"/>
          <w:lang w:val="nl-NL"/>
        </w:rPr>
      </w:pPr>
      <w:r w:rsidRPr="00C42806">
        <w:rPr>
          <w:rFonts w:ascii="Palatino Linotype" w:hAnsi="Palatino Linotype"/>
          <w:b w:val="0"/>
          <w:sz w:val="22"/>
          <w:szCs w:val="22"/>
          <w:lang w:val="nl-NL"/>
        </w:rPr>
        <w:t>De Gouverneur van Curaçao,</w:t>
      </w:r>
    </w:p>
    <w:p w:rsidR="008D72DF" w:rsidRPr="00C42806" w:rsidRDefault="008D72DF" w:rsidP="008D72DF">
      <w:pPr>
        <w:pStyle w:val="Title"/>
        <w:spacing w:line="200" w:lineRule="exact"/>
        <w:jc w:val="left"/>
        <w:rPr>
          <w:rFonts w:ascii="Palatino Linotype" w:hAnsi="Palatino Linotype"/>
          <w:b w:val="0"/>
          <w:sz w:val="22"/>
          <w:szCs w:val="22"/>
          <w:lang w:val="nl-NL"/>
        </w:rPr>
      </w:pPr>
    </w:p>
    <w:p w:rsidR="008D72DF" w:rsidRPr="00C42806" w:rsidRDefault="008D72DF" w:rsidP="008D72DF">
      <w:pPr>
        <w:pStyle w:val="BodyTextIndent"/>
        <w:spacing w:line="200" w:lineRule="exact"/>
        <w:ind w:left="0"/>
        <w:rPr>
          <w:rFonts w:ascii="Palatino Linotype" w:hAnsi="Palatino Linotype"/>
          <w:sz w:val="22"/>
          <w:szCs w:val="22"/>
        </w:rPr>
      </w:pPr>
    </w:p>
    <w:p w:rsidR="008D72DF" w:rsidRPr="00C42806" w:rsidRDefault="008D72DF" w:rsidP="008D72DF">
      <w:pPr>
        <w:pStyle w:val="BodyTextIndent"/>
        <w:ind w:left="0"/>
        <w:rPr>
          <w:rFonts w:ascii="Palatino Linotype" w:hAnsi="Palatino Linotype"/>
          <w:sz w:val="22"/>
          <w:szCs w:val="22"/>
        </w:rPr>
      </w:pPr>
      <w:r w:rsidRPr="00C42806">
        <w:rPr>
          <w:rFonts w:ascii="Palatino Linotype" w:hAnsi="Palatino Linotype"/>
          <w:sz w:val="22"/>
          <w:szCs w:val="22"/>
        </w:rPr>
        <w:t xml:space="preserve">Op voordracht van de Minister van </w:t>
      </w:r>
      <w:r>
        <w:rPr>
          <w:rFonts w:ascii="Palatino Linotype" w:hAnsi="Palatino Linotype"/>
          <w:sz w:val="22"/>
          <w:szCs w:val="22"/>
        </w:rPr>
        <w:t>Algemene Zaken</w:t>
      </w:r>
      <w:r w:rsidRPr="00C42806">
        <w:rPr>
          <w:rFonts w:ascii="Palatino Linotype" w:hAnsi="Palatino Linotype"/>
          <w:sz w:val="22"/>
          <w:szCs w:val="22"/>
        </w:rPr>
        <w:t>;</w:t>
      </w:r>
    </w:p>
    <w:p w:rsidR="008D72DF" w:rsidRPr="00C42806" w:rsidRDefault="008D72DF" w:rsidP="008D72DF">
      <w:pPr>
        <w:pStyle w:val="BodyTextIndent"/>
        <w:ind w:left="0"/>
        <w:rPr>
          <w:rFonts w:ascii="Palatino Linotype" w:hAnsi="Palatino Linotype"/>
          <w:sz w:val="22"/>
          <w:szCs w:val="22"/>
        </w:rPr>
      </w:pPr>
    </w:p>
    <w:p w:rsidR="008D72DF" w:rsidRPr="00C42806" w:rsidRDefault="008D72DF" w:rsidP="008D72DF">
      <w:pPr>
        <w:pStyle w:val="BodyTextIndent"/>
        <w:ind w:left="0" w:firstLine="0"/>
        <w:rPr>
          <w:rFonts w:ascii="Palatino Linotype" w:hAnsi="Palatino Linotype"/>
          <w:sz w:val="22"/>
          <w:szCs w:val="22"/>
        </w:rPr>
      </w:pPr>
      <w:r w:rsidRPr="00C42806">
        <w:rPr>
          <w:rFonts w:ascii="Palatino Linotype" w:hAnsi="Palatino Linotype"/>
          <w:sz w:val="22"/>
          <w:szCs w:val="22"/>
        </w:rPr>
        <w:t>Gelet op:</w:t>
      </w:r>
    </w:p>
    <w:p w:rsidR="008D72DF" w:rsidRPr="00C42806" w:rsidRDefault="008D72DF" w:rsidP="008D72DF">
      <w:pPr>
        <w:pStyle w:val="BodyTextIndent"/>
        <w:ind w:left="0"/>
        <w:rPr>
          <w:rFonts w:ascii="Palatino Linotype" w:hAnsi="Palatino Linotype"/>
          <w:sz w:val="22"/>
          <w:szCs w:val="22"/>
        </w:rPr>
      </w:pPr>
    </w:p>
    <w:p w:rsidR="008D72DF" w:rsidRPr="00C42806" w:rsidRDefault="008D72DF" w:rsidP="008D72DF">
      <w:pPr>
        <w:pStyle w:val="BodyTextIndent"/>
        <w:ind w:left="0"/>
        <w:rPr>
          <w:rFonts w:ascii="Palatino Linotype" w:hAnsi="Palatino Linotype"/>
          <w:sz w:val="22"/>
          <w:szCs w:val="22"/>
        </w:rPr>
      </w:pPr>
      <w:r w:rsidRPr="00C42806">
        <w:rPr>
          <w:rFonts w:ascii="Palatino Linotype" w:hAnsi="Palatino Linotype"/>
          <w:sz w:val="22"/>
          <w:szCs w:val="22"/>
        </w:rPr>
        <w:t>de Algemene overgangsregeling wetgeving en bestuur Land Curaçao</w:t>
      </w:r>
      <w:r w:rsidRPr="00C42806">
        <w:rPr>
          <w:rStyle w:val="FootnoteReference"/>
          <w:rFonts w:ascii="Palatino Linotype" w:hAnsi="Palatino Linotype"/>
          <w:sz w:val="22"/>
          <w:szCs w:val="22"/>
        </w:rPr>
        <w:footnoteReference w:id="2"/>
      </w:r>
      <w:r w:rsidRPr="00C42806">
        <w:rPr>
          <w:rFonts w:ascii="Palatino Linotype" w:hAnsi="Palatino Linotype"/>
          <w:sz w:val="22"/>
          <w:szCs w:val="22"/>
        </w:rPr>
        <w:t>;</w:t>
      </w:r>
    </w:p>
    <w:p w:rsidR="008D72DF" w:rsidRPr="00C42806" w:rsidRDefault="008D72DF" w:rsidP="008D72DF">
      <w:pPr>
        <w:pStyle w:val="BodyTextIndent"/>
        <w:spacing w:line="200" w:lineRule="exact"/>
        <w:ind w:left="0" w:firstLine="0"/>
        <w:rPr>
          <w:rFonts w:ascii="Palatino Linotype" w:hAnsi="Palatino Linotype"/>
          <w:sz w:val="22"/>
          <w:szCs w:val="22"/>
        </w:rPr>
      </w:pPr>
    </w:p>
    <w:p w:rsidR="008D72DF" w:rsidRPr="00C42806" w:rsidRDefault="008D72DF" w:rsidP="008D72DF">
      <w:pPr>
        <w:pStyle w:val="BodyTextIndent"/>
        <w:spacing w:line="200" w:lineRule="exact"/>
        <w:ind w:left="0" w:right="-46" w:firstLine="0"/>
        <w:rPr>
          <w:rFonts w:ascii="Palatino Linotype" w:hAnsi="Palatino Linotype"/>
          <w:sz w:val="22"/>
          <w:szCs w:val="22"/>
        </w:rPr>
      </w:pPr>
    </w:p>
    <w:p w:rsidR="008D72DF" w:rsidRPr="00C42806" w:rsidRDefault="008D72DF" w:rsidP="008D72DF">
      <w:pPr>
        <w:pStyle w:val="BodyTextIndent"/>
        <w:ind w:left="0" w:right="-46"/>
        <w:jc w:val="center"/>
        <w:rPr>
          <w:rFonts w:ascii="Palatino Linotype" w:hAnsi="Palatino Linotype"/>
          <w:sz w:val="22"/>
          <w:szCs w:val="22"/>
        </w:rPr>
      </w:pPr>
      <w:r w:rsidRPr="00C42806">
        <w:rPr>
          <w:rFonts w:ascii="Palatino Linotype" w:hAnsi="Palatino Linotype"/>
          <w:sz w:val="22"/>
          <w:szCs w:val="22"/>
        </w:rPr>
        <w:t>Heeft goedgevonden:</w:t>
      </w:r>
    </w:p>
    <w:p w:rsidR="008D72DF" w:rsidRPr="00C42806" w:rsidRDefault="008D72DF" w:rsidP="008D72DF">
      <w:pPr>
        <w:spacing w:line="200" w:lineRule="exact"/>
        <w:rPr>
          <w:rFonts w:ascii="Palatino Linotype" w:hAnsi="Palatino Linotype"/>
          <w:sz w:val="22"/>
          <w:szCs w:val="22"/>
          <w:lang w:val="nl-NL"/>
        </w:rPr>
      </w:pPr>
    </w:p>
    <w:p w:rsidR="008D72DF" w:rsidRPr="00C42806" w:rsidRDefault="008D72DF" w:rsidP="008D72DF">
      <w:pPr>
        <w:spacing w:line="200" w:lineRule="exact"/>
        <w:jc w:val="both"/>
        <w:rPr>
          <w:rFonts w:ascii="Palatino Linotype" w:hAnsi="Palatino Linotype"/>
          <w:sz w:val="22"/>
          <w:szCs w:val="22"/>
          <w:lang w:val="nl-NL"/>
        </w:rPr>
      </w:pPr>
    </w:p>
    <w:p w:rsidR="008D72DF" w:rsidRPr="00C42806" w:rsidRDefault="008D72DF" w:rsidP="008D72DF">
      <w:pPr>
        <w:jc w:val="center"/>
        <w:rPr>
          <w:rFonts w:ascii="Palatino Linotype" w:hAnsi="Palatino Linotype"/>
          <w:sz w:val="22"/>
          <w:szCs w:val="22"/>
          <w:lang w:val="nl-NL"/>
        </w:rPr>
      </w:pPr>
      <w:r w:rsidRPr="00C42806">
        <w:rPr>
          <w:rFonts w:ascii="Palatino Linotype" w:hAnsi="Palatino Linotype"/>
          <w:sz w:val="22"/>
          <w:szCs w:val="22"/>
          <w:lang w:val="nl-NL"/>
        </w:rPr>
        <w:t>Artikel 1</w:t>
      </w:r>
    </w:p>
    <w:p w:rsidR="008D72DF" w:rsidRPr="00C42806" w:rsidRDefault="008D72DF" w:rsidP="008D72DF">
      <w:pPr>
        <w:jc w:val="center"/>
        <w:rPr>
          <w:rFonts w:ascii="Palatino Linotype" w:hAnsi="Palatino Linotype"/>
          <w:sz w:val="22"/>
          <w:szCs w:val="22"/>
          <w:lang w:val="nl-NL"/>
        </w:rPr>
      </w:pPr>
    </w:p>
    <w:p w:rsidR="008D72DF" w:rsidRPr="00C42806" w:rsidRDefault="008D72DF" w:rsidP="008D72DF">
      <w:pPr>
        <w:jc w:val="both"/>
        <w:rPr>
          <w:rFonts w:ascii="Palatino Linotype" w:hAnsi="Palatino Linotype"/>
          <w:sz w:val="22"/>
          <w:szCs w:val="22"/>
          <w:lang w:val="nl-NL"/>
        </w:rPr>
      </w:pPr>
      <w:r w:rsidRPr="00C42806">
        <w:rPr>
          <w:rFonts w:ascii="Palatino Linotype" w:hAnsi="Palatino Linotype"/>
          <w:sz w:val="22"/>
          <w:szCs w:val="22"/>
          <w:lang w:val="nl-NL"/>
        </w:rPr>
        <w:t xml:space="preserve">De geconsolideerde tekst van het </w:t>
      </w:r>
      <w:proofErr w:type="spellStart"/>
      <w:r>
        <w:rPr>
          <w:rFonts w:ascii="Palatino Linotype" w:hAnsi="Palatino Linotype"/>
          <w:sz w:val="22"/>
          <w:szCs w:val="22"/>
          <w:lang w:val="nl-NL"/>
        </w:rPr>
        <w:t>Eil</w:t>
      </w:r>
      <w:r w:rsidRPr="00C42806">
        <w:rPr>
          <w:rFonts w:ascii="Palatino Linotype" w:hAnsi="Palatino Linotype"/>
          <w:sz w:val="22"/>
          <w:szCs w:val="22"/>
          <w:lang w:val="nl-NL"/>
        </w:rPr>
        <w:t>andsbesluit</w:t>
      </w:r>
      <w:proofErr w:type="spellEnd"/>
      <w:r w:rsidRPr="00C42806">
        <w:rPr>
          <w:rFonts w:ascii="Palatino Linotype" w:hAnsi="Palatino Linotype"/>
          <w:sz w:val="22"/>
          <w:szCs w:val="22"/>
          <w:lang w:val="nl-NL"/>
        </w:rPr>
        <w:t xml:space="preserve"> </w:t>
      </w:r>
      <w:r>
        <w:rPr>
          <w:rFonts w:ascii="Palatino Linotype" w:hAnsi="Palatino Linotype"/>
          <w:sz w:val="22"/>
          <w:szCs w:val="22"/>
          <w:lang w:val="nl-NL"/>
        </w:rPr>
        <w:t>T</w:t>
      </w:r>
      <w:r w:rsidRPr="00C42806">
        <w:rPr>
          <w:rFonts w:ascii="Palatino Linotype" w:hAnsi="Palatino Linotype"/>
          <w:sz w:val="22"/>
          <w:szCs w:val="22"/>
          <w:lang w:val="nl-NL"/>
        </w:rPr>
        <w:t xml:space="preserve">oezichtkosten </w:t>
      </w:r>
      <w:r>
        <w:rPr>
          <w:rFonts w:ascii="Palatino Linotype" w:hAnsi="Palatino Linotype"/>
          <w:sz w:val="22"/>
          <w:szCs w:val="22"/>
          <w:lang w:val="nl-NL"/>
        </w:rPr>
        <w:t>C</w:t>
      </w:r>
      <w:r w:rsidRPr="00C42806">
        <w:rPr>
          <w:rFonts w:ascii="Palatino Linotype" w:hAnsi="Palatino Linotype"/>
          <w:sz w:val="22"/>
          <w:szCs w:val="22"/>
          <w:lang w:val="nl-NL"/>
        </w:rPr>
        <w:t>asinowezen opgenomen in de bijlage bij dit landsbesluit wordt vastgesteld.</w:t>
      </w:r>
    </w:p>
    <w:p w:rsidR="008D72DF" w:rsidRPr="00C42806" w:rsidRDefault="008D72DF" w:rsidP="008D72DF">
      <w:pPr>
        <w:jc w:val="both"/>
        <w:rPr>
          <w:rFonts w:ascii="Palatino Linotype" w:hAnsi="Palatino Linotype"/>
          <w:sz w:val="22"/>
          <w:szCs w:val="22"/>
          <w:lang w:val="nl-NL"/>
        </w:rPr>
      </w:pPr>
    </w:p>
    <w:p w:rsidR="008D72DF" w:rsidRPr="00C42806" w:rsidRDefault="008D72DF" w:rsidP="008D72DF">
      <w:pPr>
        <w:jc w:val="center"/>
        <w:rPr>
          <w:rFonts w:ascii="Palatino Linotype" w:hAnsi="Palatino Linotype"/>
          <w:sz w:val="22"/>
          <w:szCs w:val="22"/>
          <w:lang w:val="nl-NL"/>
        </w:rPr>
      </w:pPr>
      <w:r w:rsidRPr="00C42806">
        <w:rPr>
          <w:rFonts w:ascii="Palatino Linotype" w:hAnsi="Palatino Linotype"/>
          <w:sz w:val="22"/>
          <w:szCs w:val="22"/>
          <w:lang w:val="nl-NL"/>
        </w:rPr>
        <w:t>Artikel 2</w:t>
      </w:r>
    </w:p>
    <w:p w:rsidR="008D72DF" w:rsidRPr="00C42806" w:rsidRDefault="008D72DF" w:rsidP="008D72DF">
      <w:pPr>
        <w:jc w:val="center"/>
        <w:rPr>
          <w:rFonts w:ascii="Palatino Linotype" w:hAnsi="Palatino Linotype"/>
          <w:sz w:val="22"/>
          <w:szCs w:val="22"/>
          <w:lang w:val="nl-NL"/>
        </w:rPr>
      </w:pPr>
    </w:p>
    <w:p w:rsidR="008D72DF" w:rsidRPr="00C42806" w:rsidRDefault="008D72DF" w:rsidP="008D72DF">
      <w:pPr>
        <w:rPr>
          <w:rFonts w:ascii="Palatino Linotype" w:hAnsi="Palatino Linotype"/>
          <w:sz w:val="22"/>
          <w:szCs w:val="22"/>
          <w:lang w:val="nl-NL"/>
        </w:rPr>
      </w:pPr>
      <w:r w:rsidRPr="00C42806">
        <w:rPr>
          <w:rFonts w:ascii="Palatino Linotype" w:hAnsi="Palatino Linotype"/>
          <w:sz w:val="22"/>
          <w:szCs w:val="22"/>
          <w:lang w:val="nl-NL"/>
        </w:rPr>
        <w:t>Dit landsbesluit met bijbehorende bijlage wordt bekendgemaakt in het Publicatieblad.</w:t>
      </w:r>
    </w:p>
    <w:p w:rsidR="008D72DF" w:rsidRDefault="008D72DF" w:rsidP="008D72DF">
      <w:pPr>
        <w:tabs>
          <w:tab w:val="left" w:pos="5387"/>
        </w:tabs>
        <w:rPr>
          <w:rFonts w:ascii="Palatino Linotype" w:hAnsi="Palatino Linotype"/>
          <w:sz w:val="22"/>
          <w:szCs w:val="22"/>
          <w:lang w:val="nl-NL"/>
        </w:rPr>
      </w:pPr>
    </w:p>
    <w:p w:rsidR="008D72DF" w:rsidRPr="00C42806" w:rsidRDefault="008D72DF" w:rsidP="008D72DF">
      <w:pPr>
        <w:tabs>
          <w:tab w:val="left" w:pos="5387"/>
        </w:tabs>
        <w:rPr>
          <w:rFonts w:ascii="Palatino Linotype" w:hAnsi="Palatino Linotype"/>
          <w:sz w:val="22"/>
          <w:szCs w:val="22"/>
          <w:lang w:val="nl-NL"/>
        </w:rPr>
      </w:pPr>
    </w:p>
    <w:p w:rsidR="008D72DF" w:rsidRPr="00C42806" w:rsidRDefault="008D72DF" w:rsidP="00831D36">
      <w:pPr>
        <w:ind w:left="5400" w:right="314"/>
        <w:rPr>
          <w:rFonts w:ascii="Palatino Linotype" w:hAnsi="Palatino Linotype"/>
          <w:sz w:val="22"/>
          <w:szCs w:val="22"/>
          <w:lang w:val="nl-NL"/>
        </w:rPr>
      </w:pPr>
      <w:r w:rsidRPr="00C42806">
        <w:rPr>
          <w:rFonts w:ascii="Palatino Linotype" w:hAnsi="Palatino Linotype"/>
          <w:sz w:val="22"/>
          <w:szCs w:val="22"/>
          <w:lang w:val="nl-NL"/>
        </w:rPr>
        <w:t>Gegeven te Willemstad,</w:t>
      </w:r>
      <w:r>
        <w:rPr>
          <w:rFonts w:ascii="Palatino Linotype" w:hAnsi="Palatino Linotype"/>
          <w:sz w:val="22"/>
          <w:szCs w:val="22"/>
          <w:lang w:val="nl-NL"/>
        </w:rPr>
        <w:t xml:space="preserve"> 1 april 2026</w:t>
      </w:r>
    </w:p>
    <w:p w:rsidR="008D72DF" w:rsidRPr="007E3493" w:rsidRDefault="008D72DF" w:rsidP="00831D36">
      <w:pPr>
        <w:widowControl/>
        <w:ind w:left="5400" w:right="314"/>
        <w:jc w:val="center"/>
        <w:rPr>
          <w:rFonts w:ascii="Palatino Linotype" w:eastAsia="Calibri" w:hAnsi="Palatino Linotype"/>
          <w:sz w:val="22"/>
          <w:szCs w:val="22"/>
          <w:lang w:val="nl-NL"/>
        </w:rPr>
      </w:pPr>
      <w:r w:rsidRPr="00A760E5">
        <w:rPr>
          <w:rFonts w:ascii="Palatino Linotype" w:eastAsia="Calibri" w:hAnsi="Palatino Linotype"/>
          <w:sz w:val="22"/>
          <w:szCs w:val="22"/>
          <w:lang w:val="nl-NL"/>
        </w:rPr>
        <w:t>M.J. DE KORT</w:t>
      </w:r>
    </w:p>
    <w:p w:rsidR="008D72DF" w:rsidRPr="00C42806" w:rsidRDefault="008D72DF" w:rsidP="008D72DF">
      <w:pPr>
        <w:jc w:val="both"/>
        <w:rPr>
          <w:rFonts w:ascii="Palatino Linotype" w:hAnsi="Palatino Linotype"/>
          <w:sz w:val="22"/>
          <w:szCs w:val="22"/>
          <w:lang w:val="nl-NL"/>
        </w:rPr>
      </w:pPr>
    </w:p>
    <w:p w:rsidR="008D72DF" w:rsidRPr="00C42806" w:rsidRDefault="008D72DF" w:rsidP="008D72DF">
      <w:pPr>
        <w:jc w:val="both"/>
        <w:rPr>
          <w:rFonts w:ascii="Palatino Linotype" w:hAnsi="Palatino Linotype"/>
          <w:sz w:val="22"/>
          <w:szCs w:val="22"/>
          <w:lang w:val="nl-NL"/>
        </w:rPr>
      </w:pPr>
    </w:p>
    <w:p w:rsidR="008D72DF" w:rsidRPr="00C42806" w:rsidRDefault="008D72DF" w:rsidP="008D72DF">
      <w:pPr>
        <w:jc w:val="both"/>
        <w:rPr>
          <w:rFonts w:ascii="Palatino Linotype" w:hAnsi="Palatino Linotype"/>
          <w:sz w:val="22"/>
          <w:szCs w:val="22"/>
          <w:lang w:val="nl-NL"/>
        </w:rPr>
      </w:pPr>
      <w:r w:rsidRPr="00C42806">
        <w:rPr>
          <w:rFonts w:ascii="Palatino Linotype" w:hAnsi="Palatino Linotype"/>
          <w:sz w:val="22"/>
          <w:szCs w:val="22"/>
          <w:lang w:val="nl-NL"/>
        </w:rPr>
        <w:t xml:space="preserve">De Minister van </w:t>
      </w:r>
      <w:r>
        <w:rPr>
          <w:rFonts w:ascii="Palatino Linotype" w:hAnsi="Palatino Linotype"/>
          <w:sz w:val="22"/>
          <w:szCs w:val="22"/>
          <w:lang w:val="nl-NL"/>
        </w:rPr>
        <w:t>Algemene Zaken,</w:t>
      </w:r>
      <w:bookmarkStart w:id="0" w:name="_GoBack"/>
      <w:bookmarkEnd w:id="0"/>
    </w:p>
    <w:p w:rsidR="008D72DF" w:rsidRPr="008D72DF" w:rsidRDefault="008D72DF" w:rsidP="008D72DF">
      <w:pPr>
        <w:pStyle w:val="BodyText"/>
        <w:ind w:left="90" w:right="5984"/>
        <w:jc w:val="center"/>
        <w:rPr>
          <w:rFonts w:ascii="Palatino Linotype" w:hAnsi="Palatino Linotype"/>
          <w:sz w:val="22"/>
          <w:szCs w:val="22"/>
          <w:lang w:val="nl-NL"/>
        </w:rPr>
      </w:pPr>
      <w:bookmarkStart w:id="1" w:name="_Hlk228867481"/>
      <w:r w:rsidRPr="008D72DF">
        <w:rPr>
          <w:rFonts w:ascii="Palatino Linotype" w:hAnsi="Palatino Linotype"/>
          <w:sz w:val="22"/>
          <w:szCs w:val="22"/>
          <w:lang w:val="nl-NL"/>
        </w:rPr>
        <w:t>G.S. PISAS</w:t>
      </w:r>
      <w:bookmarkEnd w:id="1"/>
    </w:p>
    <w:p w:rsidR="008D72DF" w:rsidRPr="00C42806" w:rsidRDefault="008D72DF" w:rsidP="008D72DF">
      <w:pPr>
        <w:jc w:val="both"/>
        <w:rPr>
          <w:rFonts w:ascii="Palatino Linotype" w:hAnsi="Palatino Linotype"/>
          <w:sz w:val="22"/>
          <w:szCs w:val="22"/>
          <w:lang w:val="nl-NL"/>
        </w:rPr>
      </w:pPr>
    </w:p>
    <w:p w:rsidR="008D72DF" w:rsidRPr="00C42806" w:rsidRDefault="008D72DF" w:rsidP="008D72DF">
      <w:pPr>
        <w:tabs>
          <w:tab w:val="left" w:pos="5387"/>
        </w:tabs>
        <w:jc w:val="both"/>
        <w:rPr>
          <w:rFonts w:ascii="Palatino Linotype" w:hAnsi="Palatino Linotype"/>
          <w:sz w:val="22"/>
          <w:szCs w:val="22"/>
          <w:lang w:val="nl-NL"/>
        </w:rPr>
      </w:pPr>
      <w:r w:rsidRPr="00C42806">
        <w:rPr>
          <w:rFonts w:ascii="Palatino Linotype" w:hAnsi="Palatino Linotype"/>
          <w:sz w:val="22"/>
          <w:szCs w:val="22"/>
          <w:lang w:val="nl-NL"/>
        </w:rPr>
        <w:tab/>
        <w:t xml:space="preserve">Uitgegeven de </w:t>
      </w:r>
      <w:r w:rsidR="00C9214B">
        <w:rPr>
          <w:rFonts w:ascii="Palatino Linotype" w:hAnsi="Palatino Linotype"/>
          <w:sz w:val="22"/>
          <w:szCs w:val="22"/>
          <w:lang w:val="nl-NL"/>
        </w:rPr>
        <w:t>8</w:t>
      </w:r>
      <w:r w:rsidR="00C9214B" w:rsidRPr="00C9214B">
        <w:rPr>
          <w:rFonts w:ascii="Palatino Linotype" w:hAnsi="Palatino Linotype"/>
          <w:sz w:val="22"/>
          <w:szCs w:val="22"/>
          <w:vertAlign w:val="superscript"/>
          <w:lang w:val="nl-NL"/>
        </w:rPr>
        <w:t>ste</w:t>
      </w:r>
      <w:r w:rsidR="00C9214B">
        <w:rPr>
          <w:rFonts w:ascii="Palatino Linotype" w:hAnsi="Palatino Linotype"/>
          <w:sz w:val="22"/>
          <w:szCs w:val="22"/>
          <w:lang w:val="nl-NL"/>
        </w:rPr>
        <w:t xml:space="preserve"> mei 2026</w:t>
      </w:r>
    </w:p>
    <w:p w:rsidR="008D72DF" w:rsidRDefault="008D72DF" w:rsidP="008D72DF">
      <w:pPr>
        <w:tabs>
          <w:tab w:val="left" w:pos="5387"/>
        </w:tabs>
        <w:jc w:val="both"/>
        <w:rPr>
          <w:rFonts w:ascii="Palatino Linotype" w:hAnsi="Palatino Linotype"/>
          <w:sz w:val="22"/>
          <w:szCs w:val="22"/>
          <w:lang w:val="nl-NL"/>
        </w:rPr>
      </w:pPr>
      <w:r w:rsidRPr="00C42806">
        <w:rPr>
          <w:rFonts w:ascii="Palatino Linotype" w:hAnsi="Palatino Linotype"/>
          <w:sz w:val="22"/>
          <w:szCs w:val="22"/>
          <w:lang w:val="nl-NL"/>
        </w:rPr>
        <w:tab/>
        <w:t>De Minister van Algemene Zaken,</w:t>
      </w:r>
    </w:p>
    <w:p w:rsidR="008D72DF" w:rsidRPr="00C42806" w:rsidRDefault="008D72DF" w:rsidP="008D72DF">
      <w:pPr>
        <w:tabs>
          <w:tab w:val="left" w:pos="5387"/>
        </w:tabs>
        <w:ind w:left="5400" w:right="584"/>
        <w:jc w:val="center"/>
        <w:rPr>
          <w:rFonts w:ascii="Palatino Linotype" w:hAnsi="Palatino Linotype"/>
          <w:sz w:val="22"/>
          <w:szCs w:val="22"/>
          <w:lang w:val="nl-NL"/>
        </w:rPr>
      </w:pPr>
      <w:r w:rsidRPr="008D72DF">
        <w:rPr>
          <w:rFonts w:ascii="Palatino Linotype" w:hAnsi="Palatino Linotype"/>
          <w:sz w:val="22"/>
          <w:szCs w:val="22"/>
          <w:lang w:val="nl-NL"/>
        </w:rPr>
        <w:t>G.S. PISAS</w:t>
      </w:r>
    </w:p>
    <w:p w:rsidR="008D72DF" w:rsidRPr="00C42806" w:rsidRDefault="008D72DF" w:rsidP="008D72DF">
      <w:pPr>
        <w:ind w:right="-29"/>
        <w:jc w:val="both"/>
        <w:rPr>
          <w:rFonts w:ascii="Palatino Linotype" w:hAnsi="Palatino Linotype"/>
          <w:sz w:val="22"/>
          <w:szCs w:val="22"/>
          <w:lang w:val="nl-NL"/>
        </w:rPr>
        <w:sectPr w:rsidR="008D72DF" w:rsidRPr="00C42806" w:rsidSect="008D72DF">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8D72DF" w:rsidRPr="00C42806" w:rsidRDefault="008D72DF" w:rsidP="00C9214B">
      <w:pPr>
        <w:widowControl/>
        <w:jc w:val="both"/>
        <w:rPr>
          <w:rFonts w:ascii="Palatino Linotype" w:hAnsi="Palatino Linotype"/>
          <w:sz w:val="22"/>
          <w:szCs w:val="22"/>
          <w:lang w:val="nl-NL"/>
        </w:rPr>
      </w:pPr>
      <w:r>
        <w:rPr>
          <w:rFonts w:ascii="Palatino Linotype" w:hAnsi="Palatino Linotype"/>
          <w:sz w:val="22"/>
          <w:szCs w:val="22"/>
          <w:lang w:val="nl-NL"/>
        </w:rPr>
        <w:br w:type="page"/>
      </w:r>
      <w:r w:rsidRPr="00C42806">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1</w:t>
      </w:r>
      <w:r w:rsidRPr="008D72DF">
        <w:rPr>
          <w:rFonts w:ascii="Palatino Linotype" w:hAnsi="Palatino Linotype"/>
          <w:sz w:val="22"/>
          <w:szCs w:val="22"/>
          <w:vertAlign w:val="superscript"/>
          <w:lang w:val="nl-NL"/>
        </w:rPr>
        <w:t>ste</w:t>
      </w:r>
      <w:r>
        <w:rPr>
          <w:rFonts w:ascii="Palatino Linotype" w:hAnsi="Palatino Linotype"/>
          <w:sz w:val="22"/>
          <w:szCs w:val="22"/>
          <w:lang w:val="nl-NL"/>
        </w:rPr>
        <w:t xml:space="preserve"> april 2026</w:t>
      </w:r>
      <w:r w:rsidRPr="00C42806">
        <w:rPr>
          <w:rFonts w:ascii="Palatino Linotype" w:hAnsi="Palatino Linotype"/>
          <w:sz w:val="22"/>
          <w:szCs w:val="22"/>
          <w:lang w:val="nl-NL"/>
        </w:rPr>
        <w:t>, no.</w:t>
      </w:r>
      <w:r>
        <w:rPr>
          <w:rFonts w:ascii="Palatino Linotype" w:hAnsi="Palatino Linotype"/>
          <w:sz w:val="22"/>
          <w:szCs w:val="22"/>
          <w:lang w:val="nl-NL"/>
        </w:rPr>
        <w:t xml:space="preserve"> 26/910</w:t>
      </w:r>
      <w:r w:rsidRPr="00C42806">
        <w:rPr>
          <w:rFonts w:ascii="Palatino Linotype" w:hAnsi="Palatino Linotype"/>
          <w:sz w:val="22"/>
          <w:szCs w:val="22"/>
          <w:lang w:val="nl-NL"/>
        </w:rPr>
        <w:t xml:space="preserve">, houdende vaststelling van de geconsolideerde tekst van het </w:t>
      </w:r>
      <w:proofErr w:type="spellStart"/>
      <w:r>
        <w:rPr>
          <w:rFonts w:ascii="Palatino Linotype" w:hAnsi="Palatino Linotype"/>
          <w:sz w:val="22"/>
          <w:szCs w:val="22"/>
          <w:lang w:val="nl-NL"/>
        </w:rPr>
        <w:t>Eil</w:t>
      </w:r>
      <w:r w:rsidRPr="00C42806">
        <w:rPr>
          <w:rFonts w:ascii="Palatino Linotype" w:hAnsi="Palatino Linotype"/>
          <w:sz w:val="22"/>
          <w:szCs w:val="22"/>
          <w:lang w:val="nl-NL"/>
        </w:rPr>
        <w:t>andsbesluit</w:t>
      </w:r>
      <w:proofErr w:type="spellEnd"/>
      <w:r w:rsidRPr="00C42806">
        <w:rPr>
          <w:rFonts w:ascii="Palatino Linotype" w:hAnsi="Palatino Linotype"/>
          <w:sz w:val="22"/>
          <w:szCs w:val="22"/>
          <w:lang w:val="nl-NL"/>
        </w:rPr>
        <w:t xml:space="preserve"> </w:t>
      </w:r>
      <w:r>
        <w:rPr>
          <w:rFonts w:ascii="Palatino Linotype" w:hAnsi="Palatino Linotype"/>
          <w:sz w:val="22"/>
          <w:szCs w:val="22"/>
          <w:lang w:val="nl-NL"/>
        </w:rPr>
        <w:t>T</w:t>
      </w:r>
      <w:r w:rsidRPr="00C42806">
        <w:rPr>
          <w:rFonts w:ascii="Palatino Linotype" w:hAnsi="Palatino Linotype"/>
          <w:sz w:val="22"/>
          <w:szCs w:val="22"/>
          <w:lang w:val="nl-NL"/>
        </w:rPr>
        <w:t xml:space="preserve">oezichtkosten </w:t>
      </w:r>
      <w:r>
        <w:rPr>
          <w:rFonts w:ascii="Palatino Linotype" w:hAnsi="Palatino Linotype"/>
          <w:sz w:val="22"/>
          <w:szCs w:val="22"/>
          <w:lang w:val="nl-NL"/>
        </w:rPr>
        <w:t>C</w:t>
      </w:r>
      <w:r w:rsidRPr="00C42806">
        <w:rPr>
          <w:rFonts w:ascii="Palatino Linotype" w:hAnsi="Palatino Linotype"/>
          <w:sz w:val="22"/>
          <w:szCs w:val="22"/>
          <w:lang w:val="nl-NL"/>
        </w:rPr>
        <w:t>asinowezen</w:t>
      </w:r>
      <w:r w:rsidRPr="00C42806">
        <w:rPr>
          <w:rStyle w:val="FootnoteReference"/>
          <w:rFonts w:ascii="Palatino Linotype" w:hAnsi="Palatino Linotype"/>
          <w:i/>
          <w:sz w:val="22"/>
          <w:szCs w:val="22"/>
          <w:lang w:val="nl-NL"/>
        </w:rPr>
        <w:footnoteReference w:id="3"/>
      </w:r>
    </w:p>
    <w:p w:rsidR="008D72DF" w:rsidRPr="00C42806" w:rsidRDefault="008D72DF" w:rsidP="008D72DF">
      <w:pPr>
        <w:pBdr>
          <w:bottom w:val="single" w:sz="6" w:space="1" w:color="auto"/>
        </w:pBdr>
        <w:ind w:right="-29"/>
        <w:jc w:val="both"/>
        <w:rPr>
          <w:rFonts w:ascii="Palatino Linotype" w:hAnsi="Palatino Linotype"/>
          <w:sz w:val="22"/>
          <w:szCs w:val="22"/>
          <w:lang w:val="nl-NL"/>
        </w:rPr>
      </w:pPr>
    </w:p>
    <w:p w:rsidR="008D72DF" w:rsidRPr="00C42806" w:rsidRDefault="008D72DF" w:rsidP="008D72DF">
      <w:pPr>
        <w:ind w:right="-29"/>
        <w:jc w:val="center"/>
        <w:rPr>
          <w:rFonts w:ascii="Palatino Linotype" w:hAnsi="Palatino Linotype"/>
          <w:sz w:val="22"/>
          <w:szCs w:val="22"/>
          <w:lang w:val="nl-NL"/>
        </w:rPr>
      </w:pPr>
    </w:p>
    <w:p w:rsidR="008D72DF" w:rsidRPr="00C42806" w:rsidRDefault="008D72DF" w:rsidP="008D72DF">
      <w:pPr>
        <w:ind w:right="-29"/>
        <w:jc w:val="both"/>
        <w:rPr>
          <w:rFonts w:ascii="Palatino Linotype" w:hAnsi="Palatino Linotype"/>
          <w:sz w:val="22"/>
          <w:szCs w:val="22"/>
          <w:lang w:val="nl-NL"/>
        </w:rPr>
      </w:pPr>
      <w:r w:rsidRPr="00C42806">
        <w:rPr>
          <w:rFonts w:ascii="Palatino Linotype" w:hAnsi="Palatino Linotype"/>
          <w:sz w:val="22"/>
          <w:szCs w:val="22"/>
          <w:lang w:val="nl-NL"/>
        </w:rPr>
        <w:t xml:space="preserve">Geconsolideerde tekst van het </w:t>
      </w:r>
      <w:proofErr w:type="spellStart"/>
      <w:r>
        <w:rPr>
          <w:rFonts w:ascii="Palatino Linotype" w:hAnsi="Palatino Linotype"/>
          <w:sz w:val="22"/>
          <w:szCs w:val="22"/>
          <w:lang w:val="nl-NL"/>
        </w:rPr>
        <w:t>Eil</w:t>
      </w:r>
      <w:r w:rsidRPr="00C42806">
        <w:rPr>
          <w:rFonts w:ascii="Palatino Linotype" w:hAnsi="Palatino Linotype"/>
          <w:sz w:val="22"/>
          <w:szCs w:val="22"/>
          <w:lang w:val="nl-NL"/>
        </w:rPr>
        <w:t>andsbesluit</w:t>
      </w:r>
      <w:proofErr w:type="spellEnd"/>
      <w:r w:rsidRPr="00C42806">
        <w:rPr>
          <w:rFonts w:ascii="Palatino Linotype" w:hAnsi="Palatino Linotype"/>
          <w:sz w:val="22"/>
          <w:szCs w:val="22"/>
          <w:lang w:val="nl-NL"/>
        </w:rPr>
        <w:t xml:space="preserve"> </w:t>
      </w:r>
      <w:r>
        <w:rPr>
          <w:rFonts w:ascii="Palatino Linotype" w:hAnsi="Palatino Linotype"/>
          <w:sz w:val="22"/>
          <w:szCs w:val="22"/>
          <w:lang w:val="nl-NL"/>
        </w:rPr>
        <w:t>T</w:t>
      </w:r>
      <w:r w:rsidRPr="00C42806">
        <w:rPr>
          <w:rFonts w:ascii="Palatino Linotype" w:hAnsi="Palatino Linotype"/>
          <w:sz w:val="22"/>
          <w:szCs w:val="22"/>
          <w:lang w:val="nl-NL"/>
        </w:rPr>
        <w:t xml:space="preserve">oezichtkosten </w:t>
      </w:r>
      <w:r>
        <w:rPr>
          <w:rFonts w:ascii="Palatino Linotype" w:hAnsi="Palatino Linotype"/>
          <w:sz w:val="22"/>
          <w:szCs w:val="22"/>
          <w:lang w:val="nl-NL"/>
        </w:rPr>
        <w:t>C</w:t>
      </w:r>
      <w:r w:rsidRPr="00C42806">
        <w:rPr>
          <w:rFonts w:ascii="Palatino Linotype" w:hAnsi="Palatino Linotype"/>
          <w:sz w:val="22"/>
          <w:szCs w:val="22"/>
          <w:lang w:val="nl-NL"/>
        </w:rPr>
        <w:t>asinowezen (A.B. 2001, no. 108),</w:t>
      </w:r>
      <w:r w:rsidRPr="00C42806">
        <w:rPr>
          <w:rFonts w:ascii="Palatino Linotype" w:hAnsi="Palatino Linotype"/>
          <w:b/>
          <w:sz w:val="22"/>
          <w:szCs w:val="22"/>
          <w:lang w:val="nl-NL"/>
        </w:rPr>
        <w:t xml:space="preserve"> </w:t>
      </w:r>
      <w:r w:rsidRPr="00C42806">
        <w:rPr>
          <w:rFonts w:ascii="Palatino Linotype" w:hAnsi="Palatino Linotype"/>
          <w:sz w:val="22"/>
          <w:szCs w:val="22"/>
          <w:lang w:val="nl-NL"/>
        </w:rPr>
        <w:t>zoals d</w:t>
      </w:r>
      <w:r>
        <w:rPr>
          <w:rFonts w:ascii="Palatino Linotype" w:hAnsi="Palatino Linotype"/>
          <w:sz w:val="22"/>
          <w:szCs w:val="22"/>
          <w:lang w:val="nl-NL"/>
        </w:rPr>
        <w:t xml:space="preserve">it </w:t>
      </w:r>
      <w:r w:rsidRPr="00C42806">
        <w:rPr>
          <w:rFonts w:ascii="Palatino Linotype" w:hAnsi="Palatino Linotype"/>
          <w:sz w:val="22"/>
          <w:szCs w:val="22"/>
          <w:lang w:val="nl-NL"/>
        </w:rPr>
        <w:t>luidt na in overeenstemming te zijn gebracht met de aanwijzingen van de Algemene overgangsregeling wetgeving en bestuur Land Curaçao (A.B. 2010, no. 87, bijlage a).</w:t>
      </w:r>
    </w:p>
    <w:p w:rsidR="008D72DF" w:rsidRPr="00C42806" w:rsidRDefault="008D72DF" w:rsidP="008D72DF">
      <w:pPr>
        <w:spacing w:line="200" w:lineRule="exact"/>
        <w:jc w:val="both"/>
        <w:rPr>
          <w:rFonts w:ascii="Palatino Linotype" w:hAnsi="Palatino Linotype"/>
          <w:sz w:val="22"/>
          <w:szCs w:val="22"/>
          <w:lang w:val="nl-NL"/>
        </w:rPr>
      </w:pPr>
    </w:p>
    <w:p w:rsidR="008D72DF" w:rsidRPr="00C42806" w:rsidRDefault="008D72DF" w:rsidP="008D72DF">
      <w:pPr>
        <w:spacing w:line="200" w:lineRule="exact"/>
        <w:jc w:val="center"/>
        <w:rPr>
          <w:rFonts w:ascii="Palatino Linotype" w:hAnsi="Palatino Linotype"/>
          <w:sz w:val="22"/>
          <w:szCs w:val="22"/>
          <w:lang w:val="nl-NL"/>
        </w:rPr>
      </w:pPr>
      <w:r w:rsidRPr="00C42806">
        <w:rPr>
          <w:rFonts w:ascii="Palatino Linotype" w:hAnsi="Palatino Linotype"/>
          <w:sz w:val="22"/>
          <w:szCs w:val="22"/>
          <w:lang w:val="nl-NL"/>
        </w:rPr>
        <w:t>-----</w:t>
      </w:r>
    </w:p>
    <w:p w:rsidR="008D72DF" w:rsidRPr="00C42806" w:rsidRDefault="008D72DF" w:rsidP="008D72DF">
      <w:pPr>
        <w:suppressAutoHyphens/>
        <w:spacing w:line="200" w:lineRule="exact"/>
        <w:jc w:val="center"/>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1</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Definities</w:t>
      </w:r>
    </w:p>
    <w:p w:rsidR="008D72DF" w:rsidRPr="00C42806" w:rsidRDefault="008D72DF" w:rsidP="008D72DF">
      <w:pPr>
        <w:suppressAutoHyphens/>
        <w:spacing w:line="200" w:lineRule="exact"/>
        <w:jc w:val="both"/>
        <w:rPr>
          <w:rFonts w:ascii="Palatino Linotype" w:hAnsi="Palatino Linotype"/>
          <w:sz w:val="22"/>
          <w:szCs w:val="22"/>
          <w:lang w:val="nl-NL"/>
        </w:rPr>
      </w:pPr>
    </w:p>
    <w:p w:rsidR="008D72DF" w:rsidRPr="00C42806" w:rsidRDefault="008D72DF" w:rsidP="008D72DF">
      <w:pPr>
        <w:suppressAutoHyphens/>
        <w:jc w:val="both"/>
        <w:rPr>
          <w:rFonts w:ascii="Palatino Linotype" w:hAnsi="Palatino Linotype"/>
          <w:sz w:val="22"/>
          <w:szCs w:val="22"/>
          <w:lang w:val="nl-NL"/>
        </w:rPr>
      </w:pPr>
      <w:r w:rsidRPr="00C42806">
        <w:rPr>
          <w:rFonts w:ascii="Palatino Linotype" w:hAnsi="Palatino Linotype"/>
          <w:sz w:val="22"/>
          <w:szCs w:val="22"/>
          <w:lang w:val="nl-NL"/>
        </w:rPr>
        <w:t>In dit landsbesluit en de daarop berustende bepalingen wordt verstaan onder:</w:t>
      </w:r>
    </w:p>
    <w:p w:rsidR="008D72DF" w:rsidRPr="00C42806" w:rsidRDefault="008D72DF" w:rsidP="008D72DF">
      <w:pPr>
        <w:pStyle w:val="ListParagraph"/>
        <w:widowControl w:val="0"/>
        <w:numPr>
          <w:ilvl w:val="0"/>
          <w:numId w:val="7"/>
        </w:numPr>
        <w:tabs>
          <w:tab w:val="left" w:pos="360"/>
          <w:tab w:val="left" w:pos="2700"/>
        </w:tabs>
        <w:suppressAutoHyphens/>
        <w:ind w:left="2880" w:hanging="2880"/>
        <w:jc w:val="both"/>
        <w:rPr>
          <w:rFonts w:ascii="Palatino Linotype" w:hAnsi="Palatino Linotype"/>
          <w:sz w:val="22"/>
          <w:szCs w:val="22"/>
        </w:rPr>
      </w:pPr>
      <w:r w:rsidRPr="00C42806">
        <w:rPr>
          <w:rFonts w:ascii="Palatino Linotype" w:hAnsi="Palatino Linotype"/>
          <w:sz w:val="22"/>
          <w:szCs w:val="22"/>
        </w:rPr>
        <w:t xml:space="preserve">de </w:t>
      </w:r>
      <w:r>
        <w:rPr>
          <w:rFonts w:ascii="Palatino Linotype" w:hAnsi="Palatino Linotype"/>
          <w:sz w:val="22"/>
          <w:szCs w:val="22"/>
        </w:rPr>
        <w:t>landsverordening</w:t>
      </w:r>
      <w:r>
        <w:rPr>
          <w:rFonts w:ascii="Palatino Linotype" w:hAnsi="Palatino Linotype"/>
          <w:sz w:val="22"/>
          <w:szCs w:val="22"/>
        </w:rPr>
        <w:tab/>
      </w:r>
      <w:r w:rsidRPr="00C42806">
        <w:rPr>
          <w:rFonts w:ascii="Palatino Linotype" w:hAnsi="Palatino Linotype"/>
          <w:sz w:val="22"/>
          <w:szCs w:val="22"/>
        </w:rPr>
        <w:t xml:space="preserve">: de </w:t>
      </w:r>
      <w:r>
        <w:rPr>
          <w:rFonts w:ascii="Palatino Linotype" w:hAnsi="Palatino Linotype"/>
          <w:sz w:val="22"/>
          <w:szCs w:val="22"/>
        </w:rPr>
        <w:t>L</w:t>
      </w:r>
      <w:r w:rsidRPr="00C42806">
        <w:rPr>
          <w:rFonts w:ascii="Palatino Linotype" w:hAnsi="Palatino Linotype"/>
          <w:sz w:val="22"/>
          <w:szCs w:val="22"/>
        </w:rPr>
        <w:t>andsverordening Casinowezen Curaçao</w:t>
      </w:r>
      <w:r w:rsidRPr="00C42806">
        <w:rPr>
          <w:rStyle w:val="FootnoteReference"/>
          <w:rFonts w:ascii="Palatino Linotype" w:hAnsi="Palatino Linotype"/>
          <w:sz w:val="22"/>
          <w:szCs w:val="22"/>
        </w:rPr>
        <w:footnoteReference w:id="4"/>
      </w:r>
      <w:r w:rsidRPr="00C42806">
        <w:rPr>
          <w:rFonts w:ascii="Palatino Linotype" w:hAnsi="Palatino Linotype"/>
          <w:sz w:val="22"/>
          <w:szCs w:val="22"/>
        </w:rPr>
        <w:t xml:space="preserve"> zoals laatstelijk gewijzigd;</w:t>
      </w:r>
    </w:p>
    <w:p w:rsidR="008D72DF" w:rsidRPr="00C42806" w:rsidRDefault="008D72DF" w:rsidP="008D72DF">
      <w:pPr>
        <w:pStyle w:val="ListParagraph"/>
        <w:widowControl w:val="0"/>
        <w:numPr>
          <w:ilvl w:val="0"/>
          <w:numId w:val="7"/>
        </w:numPr>
        <w:tabs>
          <w:tab w:val="left" w:pos="360"/>
          <w:tab w:val="left" w:pos="2700"/>
        </w:tabs>
        <w:suppressAutoHyphens/>
        <w:ind w:left="2880" w:hanging="2880"/>
        <w:jc w:val="both"/>
        <w:rPr>
          <w:rFonts w:ascii="Palatino Linotype" w:hAnsi="Palatino Linotype"/>
          <w:sz w:val="22"/>
          <w:szCs w:val="22"/>
        </w:rPr>
      </w:pPr>
      <w:r w:rsidRPr="00C42806">
        <w:rPr>
          <w:rFonts w:ascii="Palatino Linotype" w:hAnsi="Palatino Linotype"/>
          <w:sz w:val="22"/>
          <w:szCs w:val="22"/>
        </w:rPr>
        <w:t>casino-omzet</w:t>
      </w:r>
      <w:r>
        <w:rPr>
          <w:rFonts w:ascii="Palatino Linotype" w:hAnsi="Palatino Linotype"/>
          <w:sz w:val="22"/>
          <w:szCs w:val="22"/>
        </w:rPr>
        <w:tab/>
      </w:r>
      <w:r w:rsidRPr="00C42806">
        <w:rPr>
          <w:rFonts w:ascii="Palatino Linotype" w:hAnsi="Palatino Linotype"/>
          <w:sz w:val="22"/>
          <w:szCs w:val="22"/>
        </w:rPr>
        <w:t>:</w:t>
      </w:r>
      <w:r>
        <w:rPr>
          <w:rFonts w:ascii="Palatino Linotype" w:hAnsi="Palatino Linotype"/>
          <w:sz w:val="22"/>
          <w:szCs w:val="22"/>
        </w:rPr>
        <w:tab/>
      </w:r>
      <w:r w:rsidRPr="00C42806">
        <w:rPr>
          <w:rFonts w:ascii="Palatino Linotype" w:hAnsi="Palatino Linotype"/>
          <w:sz w:val="22"/>
          <w:szCs w:val="22"/>
        </w:rPr>
        <w:t>het brutobedrag van de ontvangsten uit hazardspelen gedurende het kalenderjaar waarover de kosten worden berekend. Hieronder worden mede begrepen de door de casinovergunninghouder niet geïncasseerde speelschulden en de door hem verleende speelkredieten;</w:t>
      </w:r>
    </w:p>
    <w:p w:rsidR="008D72DF" w:rsidRPr="00C42806" w:rsidRDefault="008D72DF" w:rsidP="008D72DF">
      <w:pPr>
        <w:pStyle w:val="ListParagraph"/>
        <w:widowControl w:val="0"/>
        <w:numPr>
          <w:ilvl w:val="0"/>
          <w:numId w:val="7"/>
        </w:numPr>
        <w:tabs>
          <w:tab w:val="left" w:pos="360"/>
          <w:tab w:val="left" w:pos="2700"/>
        </w:tabs>
        <w:suppressAutoHyphens/>
        <w:ind w:left="2880" w:hanging="2880"/>
        <w:jc w:val="both"/>
        <w:rPr>
          <w:rFonts w:ascii="Palatino Linotype" w:hAnsi="Palatino Linotype"/>
          <w:sz w:val="22"/>
          <w:szCs w:val="22"/>
        </w:rPr>
      </w:pPr>
      <w:r w:rsidRPr="00C42806">
        <w:rPr>
          <w:rFonts w:ascii="Palatino Linotype" w:hAnsi="Palatino Linotype"/>
          <w:sz w:val="22"/>
          <w:szCs w:val="22"/>
        </w:rPr>
        <w:t>toezichthouder</w:t>
      </w:r>
      <w:r>
        <w:rPr>
          <w:rFonts w:ascii="Palatino Linotype" w:hAnsi="Palatino Linotype"/>
          <w:sz w:val="22"/>
          <w:szCs w:val="22"/>
        </w:rPr>
        <w:tab/>
      </w:r>
      <w:r w:rsidRPr="00C42806">
        <w:rPr>
          <w:rFonts w:ascii="Palatino Linotype" w:hAnsi="Palatino Linotype"/>
          <w:sz w:val="22"/>
          <w:szCs w:val="22"/>
        </w:rPr>
        <w:t xml:space="preserve">: de krachtens de </w:t>
      </w:r>
      <w:r>
        <w:rPr>
          <w:rFonts w:ascii="Palatino Linotype" w:hAnsi="Palatino Linotype"/>
          <w:sz w:val="22"/>
          <w:szCs w:val="22"/>
        </w:rPr>
        <w:t>landsverordening</w:t>
      </w:r>
      <w:r w:rsidRPr="00C42806">
        <w:rPr>
          <w:rFonts w:ascii="Palatino Linotype" w:hAnsi="Palatino Linotype"/>
          <w:sz w:val="22"/>
          <w:szCs w:val="22"/>
        </w:rPr>
        <w:t xml:space="preserve"> door </w:t>
      </w:r>
      <w:r>
        <w:rPr>
          <w:rFonts w:ascii="Palatino Linotype" w:hAnsi="Palatino Linotype"/>
          <w:sz w:val="22"/>
          <w:szCs w:val="22"/>
        </w:rPr>
        <w:t xml:space="preserve">de Minister van Financiën </w:t>
      </w:r>
      <w:r w:rsidRPr="00C42806">
        <w:rPr>
          <w:rFonts w:ascii="Palatino Linotype" w:hAnsi="Palatino Linotype"/>
          <w:sz w:val="22"/>
          <w:szCs w:val="22"/>
        </w:rPr>
        <w:t>aangewezen instantie belast met het casinowezen</w:t>
      </w:r>
      <w:r w:rsidRPr="00C42806">
        <w:rPr>
          <w:rStyle w:val="FootnoteReference"/>
          <w:rFonts w:ascii="Palatino Linotype" w:hAnsi="Palatino Linotype"/>
          <w:sz w:val="22"/>
          <w:szCs w:val="22"/>
        </w:rPr>
        <w:footnoteReference w:id="5"/>
      </w:r>
      <w:r w:rsidRPr="00C42806">
        <w:rPr>
          <w:rFonts w:ascii="Palatino Linotype" w:hAnsi="Palatino Linotype"/>
          <w:sz w:val="22"/>
          <w:szCs w:val="22"/>
        </w:rPr>
        <w:t>.</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2</w:t>
      </w: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De aanslag</w:t>
      </w:r>
    </w:p>
    <w:p w:rsidR="008D72DF" w:rsidRPr="00C42806" w:rsidRDefault="008D72DF" w:rsidP="008D72DF">
      <w:pPr>
        <w:suppressAutoHyphens/>
        <w:jc w:val="center"/>
        <w:rPr>
          <w:rFonts w:ascii="Palatino Linotype" w:hAnsi="Palatino Linotype"/>
          <w:sz w:val="22"/>
          <w:szCs w:val="22"/>
          <w:lang w:val="nl-NL"/>
        </w:rPr>
      </w:pPr>
    </w:p>
    <w:p w:rsidR="008D72DF" w:rsidRPr="00C42806" w:rsidRDefault="008D72DF" w:rsidP="008D72DF">
      <w:pPr>
        <w:suppressAutoHyphens/>
        <w:jc w:val="both"/>
        <w:rPr>
          <w:rFonts w:ascii="Palatino Linotype" w:hAnsi="Palatino Linotype"/>
          <w:sz w:val="22"/>
          <w:szCs w:val="22"/>
          <w:lang w:val="nl-NL"/>
        </w:rPr>
      </w:pPr>
      <w:r w:rsidRPr="00C42806">
        <w:rPr>
          <w:rFonts w:ascii="Palatino Linotype" w:hAnsi="Palatino Linotype"/>
          <w:sz w:val="22"/>
          <w:szCs w:val="22"/>
          <w:lang w:val="nl-NL"/>
        </w:rPr>
        <w:t>De toezichthouder legt jaarlijks vóór 1 juni aan iedere casinovergunninghouder een aanslag op ter dekking van de kosten, bedoeld in artikel 18, eerste lid, van de landsverordening, belopen in het voorafgaande kalenderjaar</w:t>
      </w:r>
      <w:r>
        <w:rPr>
          <w:rFonts w:ascii="Palatino Linotype" w:hAnsi="Palatino Linotype"/>
          <w:sz w:val="22"/>
          <w:szCs w:val="22"/>
          <w:lang w:val="nl-NL"/>
        </w:rPr>
        <w:t>.</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3</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Vaststelling van de toezichtkosten</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suppressAutoHyphens/>
        <w:jc w:val="both"/>
        <w:rPr>
          <w:rFonts w:ascii="Palatino Linotype" w:hAnsi="Palatino Linotype"/>
          <w:sz w:val="22"/>
          <w:szCs w:val="22"/>
          <w:lang w:val="nl-NL"/>
        </w:rPr>
      </w:pPr>
      <w:r w:rsidRPr="00C42806">
        <w:rPr>
          <w:rFonts w:ascii="Palatino Linotype" w:hAnsi="Palatino Linotype"/>
          <w:sz w:val="22"/>
          <w:szCs w:val="22"/>
          <w:lang w:val="nl-NL"/>
        </w:rPr>
        <w:t>De toezichthouder stelt jaarlijks het bedrag vast van de in artikel 2 bedoelde kosten.</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4</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Toerekening per casinovergunninghouder</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pStyle w:val="ListParagraph"/>
        <w:widowControl w:val="0"/>
        <w:numPr>
          <w:ilvl w:val="0"/>
          <w:numId w:val="8"/>
        </w:numPr>
        <w:suppressAutoHyphens/>
        <w:ind w:left="360"/>
        <w:jc w:val="both"/>
        <w:rPr>
          <w:rFonts w:ascii="Palatino Linotype" w:hAnsi="Palatino Linotype"/>
          <w:sz w:val="22"/>
          <w:szCs w:val="22"/>
        </w:rPr>
      </w:pPr>
      <w:r w:rsidRPr="00C42806">
        <w:rPr>
          <w:rFonts w:ascii="Palatino Linotype" w:hAnsi="Palatino Linotype"/>
          <w:sz w:val="22"/>
          <w:szCs w:val="22"/>
        </w:rPr>
        <w:t>De casino-omzet is de basis voor het toerekenen van de kosten van het toezicht naar de individuele casinovergunninghouder.</w:t>
      </w:r>
    </w:p>
    <w:p w:rsidR="008D72DF" w:rsidRPr="00C42806" w:rsidRDefault="008D72DF" w:rsidP="008D72DF">
      <w:pPr>
        <w:pStyle w:val="ListParagraph"/>
        <w:widowControl w:val="0"/>
        <w:numPr>
          <w:ilvl w:val="0"/>
          <w:numId w:val="8"/>
        </w:numPr>
        <w:suppressAutoHyphens/>
        <w:ind w:left="360"/>
        <w:jc w:val="both"/>
        <w:rPr>
          <w:rFonts w:ascii="Palatino Linotype" w:hAnsi="Palatino Linotype"/>
          <w:sz w:val="22"/>
          <w:szCs w:val="22"/>
        </w:rPr>
      </w:pPr>
      <w:r w:rsidRPr="00C42806">
        <w:rPr>
          <w:rFonts w:ascii="Palatino Linotype" w:hAnsi="Palatino Linotype"/>
          <w:sz w:val="22"/>
          <w:szCs w:val="22"/>
        </w:rPr>
        <w:t>De toerekening naar de individuele casinovergunninghouder geschiedt volgens het quotiënt van de casino-omzet van de betrokken casinovergunninghouder en de casino-omzet van alle casinovergunninghouders.</w:t>
      </w:r>
    </w:p>
    <w:p w:rsidR="008D72DF" w:rsidRPr="00C42806" w:rsidRDefault="008D72DF" w:rsidP="008D72DF">
      <w:pPr>
        <w:pStyle w:val="ListParagraph"/>
        <w:widowControl w:val="0"/>
        <w:numPr>
          <w:ilvl w:val="0"/>
          <w:numId w:val="8"/>
        </w:numPr>
        <w:suppressAutoHyphens/>
        <w:ind w:left="360"/>
        <w:jc w:val="both"/>
        <w:rPr>
          <w:rFonts w:ascii="Palatino Linotype" w:hAnsi="Palatino Linotype"/>
          <w:sz w:val="22"/>
          <w:szCs w:val="22"/>
        </w:rPr>
      </w:pPr>
      <w:r w:rsidRPr="00C42806">
        <w:rPr>
          <w:rFonts w:ascii="Palatino Linotype" w:hAnsi="Palatino Linotype"/>
          <w:sz w:val="22"/>
          <w:szCs w:val="22"/>
        </w:rPr>
        <w:lastRenderedPageBreak/>
        <w:t>De toezichthouder stelt elk jaar de casino-omzet van iedere casinovergunninghouder vast.</w:t>
      </w:r>
    </w:p>
    <w:p w:rsidR="008D72DF" w:rsidRPr="00C42806" w:rsidRDefault="008D72DF" w:rsidP="008D72DF">
      <w:pPr>
        <w:pStyle w:val="ListParagraph"/>
        <w:widowControl w:val="0"/>
        <w:numPr>
          <w:ilvl w:val="0"/>
          <w:numId w:val="8"/>
        </w:numPr>
        <w:suppressAutoHyphens/>
        <w:ind w:left="360"/>
        <w:jc w:val="both"/>
        <w:rPr>
          <w:rFonts w:ascii="Palatino Linotype" w:hAnsi="Palatino Linotype"/>
          <w:sz w:val="22"/>
          <w:szCs w:val="22"/>
        </w:rPr>
      </w:pPr>
      <w:r w:rsidRPr="00C42806">
        <w:rPr>
          <w:rFonts w:ascii="Palatino Linotype" w:hAnsi="Palatino Linotype"/>
          <w:sz w:val="22"/>
          <w:szCs w:val="22"/>
        </w:rPr>
        <w:t>Onverminderd het bepaalde in het vijfde lid, gaat de toezichthouder bij de vaststelling van de casino-omzet uit van de door elke casinovergunninghouder over het betrokken jaar verrichte opgaven, bedoeld in artikel 5.</w:t>
      </w:r>
    </w:p>
    <w:p w:rsidR="008D72DF" w:rsidRPr="00C42806" w:rsidRDefault="008D72DF" w:rsidP="008D72DF">
      <w:pPr>
        <w:pStyle w:val="ListParagraph"/>
        <w:widowControl w:val="0"/>
        <w:numPr>
          <w:ilvl w:val="0"/>
          <w:numId w:val="8"/>
        </w:numPr>
        <w:suppressAutoHyphens/>
        <w:ind w:left="360"/>
        <w:jc w:val="both"/>
        <w:rPr>
          <w:rFonts w:ascii="Palatino Linotype" w:hAnsi="Palatino Linotype"/>
          <w:sz w:val="22"/>
          <w:szCs w:val="22"/>
        </w:rPr>
      </w:pPr>
      <w:r w:rsidRPr="00C42806">
        <w:rPr>
          <w:rFonts w:ascii="Palatino Linotype" w:hAnsi="Palatino Linotype"/>
          <w:sz w:val="22"/>
          <w:szCs w:val="22"/>
        </w:rPr>
        <w:t>Indien geen, onvolledige of onjuiste opgave is gedaan maakt de toezichthouder ambtshalve een schatting van de betreffende casino-omzet.</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5</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Casino-omzet</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suppressAutoHyphens/>
        <w:jc w:val="both"/>
        <w:rPr>
          <w:rFonts w:ascii="Palatino Linotype" w:hAnsi="Palatino Linotype"/>
          <w:sz w:val="22"/>
          <w:szCs w:val="22"/>
          <w:lang w:val="nl-NL"/>
        </w:rPr>
      </w:pPr>
      <w:r w:rsidRPr="00C42806">
        <w:rPr>
          <w:rFonts w:ascii="Palatino Linotype" w:hAnsi="Palatino Linotype"/>
          <w:sz w:val="22"/>
          <w:szCs w:val="22"/>
          <w:lang w:val="nl-NL"/>
        </w:rPr>
        <w:t>De casinovergunninghouder is verplicht conform de richtlijnen van de toezichthouder aantekening te houden en opgave te doen van de casino-omzet aan de toezichthouder.</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6</w:t>
      </w:r>
    </w:p>
    <w:p w:rsidR="008D72DF" w:rsidRPr="00C42806" w:rsidRDefault="008D72DF" w:rsidP="008D72DF">
      <w:pPr>
        <w:suppressAutoHyphens/>
        <w:jc w:val="center"/>
        <w:rPr>
          <w:rFonts w:ascii="Palatino Linotype" w:hAnsi="Palatino Linotype"/>
          <w:sz w:val="22"/>
          <w:szCs w:val="22"/>
          <w:lang w:val="nl-NL"/>
        </w:rPr>
      </w:pPr>
      <w:r>
        <w:rPr>
          <w:rFonts w:ascii="Palatino Linotype" w:hAnsi="Palatino Linotype"/>
          <w:sz w:val="22"/>
          <w:szCs w:val="22"/>
          <w:lang w:val="nl-NL"/>
        </w:rPr>
        <w:t>H</w:t>
      </w:r>
      <w:r w:rsidRPr="00C42806">
        <w:rPr>
          <w:rFonts w:ascii="Palatino Linotype" w:hAnsi="Palatino Linotype"/>
          <w:sz w:val="22"/>
          <w:szCs w:val="22"/>
          <w:lang w:val="nl-NL"/>
        </w:rPr>
        <w:t>et bedrag van de aanslag</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suppressAutoHyphens/>
        <w:jc w:val="both"/>
        <w:rPr>
          <w:rFonts w:ascii="Palatino Linotype" w:hAnsi="Palatino Linotype"/>
          <w:sz w:val="22"/>
          <w:szCs w:val="22"/>
          <w:lang w:val="nl-NL"/>
        </w:rPr>
      </w:pPr>
      <w:r w:rsidRPr="00C42806">
        <w:rPr>
          <w:rFonts w:ascii="Palatino Linotype" w:hAnsi="Palatino Linotype"/>
          <w:sz w:val="22"/>
          <w:szCs w:val="22"/>
          <w:lang w:val="nl-NL"/>
        </w:rPr>
        <w:t>Het bedrag van de aanslag is gelijk aan het product van het quotiënt, bedoeld in artikel 4, tweede lid, en het bedrag van de kosten van het toezicht op het casinowezen, bedoeld in artikel 3. Het bedrag van de aanslag wordt naar boven afgerond op hele guldens.</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7</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Overname rechten en verplichtingen vergunninghouder</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suppressAutoHyphens/>
        <w:jc w:val="both"/>
        <w:rPr>
          <w:rFonts w:ascii="Palatino Linotype" w:hAnsi="Palatino Linotype"/>
          <w:sz w:val="22"/>
          <w:szCs w:val="22"/>
          <w:lang w:val="nl-NL"/>
        </w:rPr>
      </w:pPr>
      <w:r w:rsidRPr="00C42806">
        <w:rPr>
          <w:rFonts w:ascii="Palatino Linotype" w:hAnsi="Palatino Linotype"/>
          <w:sz w:val="22"/>
          <w:szCs w:val="22"/>
          <w:lang w:val="nl-NL"/>
        </w:rPr>
        <w:t>Voor zover een vergunninghouder de rechten en verplichtingen heeft overgenomen van een vergunninghouder die in de loop van het jaar waarover de aanslag moet plaatshebben heeft opgehouden het casinobedrijf uit te oefenen, wordt de casino-omzet van laatstbedoelde vergunninghouder gerekend te behoren tot het casinobedrijf van de overnemende vergunninghouder.</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8</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Aanslag en navorderingsaanslag</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pStyle w:val="ListParagraph"/>
        <w:widowControl w:val="0"/>
        <w:numPr>
          <w:ilvl w:val="0"/>
          <w:numId w:val="9"/>
        </w:numPr>
        <w:suppressAutoHyphens/>
        <w:ind w:left="360"/>
        <w:jc w:val="both"/>
        <w:rPr>
          <w:rFonts w:ascii="Palatino Linotype" w:hAnsi="Palatino Linotype"/>
          <w:sz w:val="22"/>
          <w:szCs w:val="22"/>
        </w:rPr>
      </w:pPr>
      <w:r w:rsidRPr="00C42806">
        <w:rPr>
          <w:rFonts w:ascii="Palatino Linotype" w:hAnsi="Palatino Linotype"/>
          <w:sz w:val="22"/>
          <w:szCs w:val="22"/>
        </w:rPr>
        <w:t>De toezichthouder deelt de aanslag schriftelijk mee aan de casinovergunning houder, onder vermelding van de in aanmerking genomen casino-omzet, het berekende quotiënt, de kosten van toezicht, bedoeld in artikel 3, de wijze van betaling en het tijdstip waarop de betaling uiterlijk moet geschieden.</w:t>
      </w:r>
    </w:p>
    <w:p w:rsidR="008D72DF" w:rsidRPr="00C42806" w:rsidRDefault="008D72DF" w:rsidP="008D72DF">
      <w:pPr>
        <w:pStyle w:val="ListParagraph"/>
        <w:widowControl w:val="0"/>
        <w:numPr>
          <w:ilvl w:val="0"/>
          <w:numId w:val="9"/>
        </w:numPr>
        <w:suppressAutoHyphens/>
        <w:ind w:left="360"/>
        <w:jc w:val="both"/>
        <w:rPr>
          <w:rFonts w:ascii="Palatino Linotype" w:hAnsi="Palatino Linotype"/>
          <w:sz w:val="22"/>
          <w:szCs w:val="22"/>
        </w:rPr>
      </w:pPr>
      <w:r w:rsidRPr="00C42806">
        <w:rPr>
          <w:rFonts w:ascii="Palatino Linotype" w:hAnsi="Palatino Linotype"/>
          <w:sz w:val="22"/>
          <w:szCs w:val="22"/>
        </w:rPr>
        <w:t>Indien enig feit grond oplevert voor het vermoeden dat een aanslag ten onrechte achterwege is gelaten of tot een te laag bedrag is vastgesteld, kan de toezichthouder de te weinig geheven kosten van toezicht navorderen. Een feit, dat de toezichthouder bekend was of redelijkerwijs bekend had kunnen zijn ten tijde van het opleggen van de aanslag, kan geen grond voor navordering opleveren, behoudens in de gevallen waarin de casinovergunninghouder ter zake van dit feit te kwader trouw is.</w:t>
      </w:r>
    </w:p>
    <w:p w:rsidR="008D72DF" w:rsidRPr="00C42806" w:rsidRDefault="008D72DF" w:rsidP="008D72DF">
      <w:pPr>
        <w:pStyle w:val="ListParagraph"/>
        <w:widowControl w:val="0"/>
        <w:numPr>
          <w:ilvl w:val="0"/>
          <w:numId w:val="9"/>
        </w:numPr>
        <w:suppressAutoHyphens/>
        <w:ind w:left="360"/>
        <w:jc w:val="both"/>
        <w:rPr>
          <w:rFonts w:ascii="Palatino Linotype" w:hAnsi="Palatino Linotype"/>
          <w:sz w:val="22"/>
          <w:szCs w:val="22"/>
        </w:rPr>
      </w:pPr>
      <w:r w:rsidRPr="00C42806">
        <w:rPr>
          <w:rFonts w:ascii="Palatino Linotype" w:hAnsi="Palatino Linotype"/>
          <w:sz w:val="22"/>
          <w:szCs w:val="22"/>
        </w:rPr>
        <w:t>De bevoegdheid tot het opleggen van een navorderingsaanslag als bedoeld in het tweede lid vervalt door verloop van vijf jaar na het opleggen van de aanslag.</w:t>
      </w:r>
    </w:p>
    <w:p w:rsidR="008D72DF" w:rsidRPr="00C42806" w:rsidRDefault="008D72DF" w:rsidP="008D72DF">
      <w:pPr>
        <w:suppressAutoHyphens/>
        <w:jc w:val="both"/>
        <w:rPr>
          <w:rFonts w:ascii="Palatino Linotype" w:hAnsi="Palatino Linotype"/>
          <w:sz w:val="22"/>
          <w:szCs w:val="22"/>
          <w:lang w:val="nl-NL"/>
        </w:rPr>
      </w:pPr>
    </w:p>
    <w:p w:rsidR="008D72DF" w:rsidRDefault="008D72DF">
      <w:pPr>
        <w:widowControl/>
        <w:rPr>
          <w:rFonts w:ascii="Palatino Linotype" w:hAnsi="Palatino Linotype"/>
          <w:sz w:val="22"/>
          <w:szCs w:val="22"/>
          <w:lang w:val="nl-NL"/>
        </w:rPr>
      </w:pPr>
      <w:r>
        <w:rPr>
          <w:rFonts w:ascii="Palatino Linotype" w:hAnsi="Palatino Linotype"/>
          <w:sz w:val="22"/>
          <w:szCs w:val="22"/>
          <w:lang w:val="nl-NL"/>
        </w:rPr>
        <w:br w:type="page"/>
      </w: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lastRenderedPageBreak/>
        <w:t>Artikel 9</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Verrekening</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suppressAutoHyphens/>
        <w:jc w:val="both"/>
        <w:rPr>
          <w:rFonts w:ascii="Palatino Linotype" w:hAnsi="Palatino Linotype"/>
          <w:sz w:val="22"/>
          <w:szCs w:val="22"/>
          <w:lang w:val="nl-NL"/>
        </w:rPr>
      </w:pPr>
      <w:r w:rsidRPr="00C42806">
        <w:rPr>
          <w:rFonts w:ascii="Palatino Linotype" w:hAnsi="Palatino Linotype"/>
          <w:sz w:val="22"/>
          <w:szCs w:val="22"/>
          <w:lang w:val="nl-NL"/>
        </w:rPr>
        <w:t>Het verschil tussen de in enig jaar gemaakte kosten van toezicht, bedoeld in artikel 3, en de ontvangsten voortvloeiende uit de aanslagen over datzelfde jaar, wordt verrekend met het bedrag van de kosten van toezicht, bedoeld in artikel 3, dat ten grondslag ligt aan de aanslag voor het daaropvolgende jaar.</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10</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Voorlopige aanslag</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pStyle w:val="ListParagraph"/>
        <w:widowControl w:val="0"/>
        <w:numPr>
          <w:ilvl w:val="0"/>
          <w:numId w:val="10"/>
        </w:numPr>
        <w:suppressAutoHyphens/>
        <w:ind w:left="360"/>
        <w:jc w:val="both"/>
        <w:rPr>
          <w:rFonts w:ascii="Palatino Linotype" w:hAnsi="Palatino Linotype"/>
          <w:sz w:val="22"/>
          <w:szCs w:val="22"/>
        </w:rPr>
      </w:pPr>
      <w:r w:rsidRPr="00C42806">
        <w:rPr>
          <w:rFonts w:ascii="Palatino Linotype" w:hAnsi="Palatino Linotype"/>
          <w:sz w:val="22"/>
          <w:szCs w:val="22"/>
        </w:rPr>
        <w:t>De voorlopige aanslag, bedoeld in artikel 18, vierde lid, van de landsverordening, bedraagt maximaal 90% van de aanslag, opgelegd in het voorafgaande jaar.</w:t>
      </w:r>
    </w:p>
    <w:p w:rsidR="008D72DF" w:rsidRPr="00C42806" w:rsidRDefault="008D72DF" w:rsidP="008D72DF">
      <w:pPr>
        <w:pStyle w:val="ListParagraph"/>
        <w:widowControl w:val="0"/>
        <w:numPr>
          <w:ilvl w:val="0"/>
          <w:numId w:val="10"/>
        </w:numPr>
        <w:suppressAutoHyphens/>
        <w:ind w:left="360"/>
        <w:jc w:val="both"/>
        <w:rPr>
          <w:rFonts w:ascii="Palatino Linotype" w:hAnsi="Palatino Linotype"/>
          <w:sz w:val="22"/>
          <w:szCs w:val="22"/>
        </w:rPr>
      </w:pPr>
      <w:r w:rsidRPr="00C42806">
        <w:rPr>
          <w:rFonts w:ascii="Palatino Linotype" w:hAnsi="Palatino Linotype"/>
          <w:sz w:val="22"/>
          <w:szCs w:val="22"/>
        </w:rPr>
        <w:t>Het bedrag van de voorlopige aanslag dat de eerste keer aan een casinovergunninghouder wordt opgelegd, is gelijk aan het product van de goedgekeurde begrote kosten van de toezichthouder en het quotiënt van de casino-omzet van de betrokken casinovergunninghouder en de casino-omzet van alle casinovergunninghouders in het voorgaande jaar.</w:t>
      </w:r>
    </w:p>
    <w:p w:rsidR="008D72DF" w:rsidRPr="00C42806" w:rsidRDefault="008D72DF" w:rsidP="008D72DF">
      <w:pPr>
        <w:pStyle w:val="ListParagraph"/>
        <w:widowControl w:val="0"/>
        <w:numPr>
          <w:ilvl w:val="0"/>
          <w:numId w:val="10"/>
        </w:numPr>
        <w:suppressAutoHyphens/>
        <w:ind w:left="360"/>
        <w:jc w:val="both"/>
        <w:rPr>
          <w:rFonts w:ascii="Palatino Linotype" w:hAnsi="Palatino Linotype"/>
          <w:sz w:val="22"/>
          <w:szCs w:val="22"/>
        </w:rPr>
      </w:pPr>
      <w:r w:rsidRPr="00C42806">
        <w:rPr>
          <w:rFonts w:ascii="Palatino Linotype" w:hAnsi="Palatino Linotype"/>
          <w:sz w:val="22"/>
          <w:szCs w:val="22"/>
        </w:rPr>
        <w:t>De voorlopige aanslag over enig jaar wordt in mindering gebracht op het bedrag van de aanslag, bedoeld in artikel 2 over datzelfde jaar.</w:t>
      </w:r>
    </w:p>
    <w:p w:rsidR="008D72DF" w:rsidRPr="00C42806" w:rsidRDefault="008D72DF" w:rsidP="008D72DF">
      <w:pPr>
        <w:pStyle w:val="ListParagraph"/>
        <w:widowControl w:val="0"/>
        <w:numPr>
          <w:ilvl w:val="0"/>
          <w:numId w:val="10"/>
        </w:numPr>
        <w:suppressAutoHyphens/>
        <w:ind w:left="360"/>
        <w:jc w:val="both"/>
        <w:rPr>
          <w:rFonts w:ascii="Palatino Linotype" w:hAnsi="Palatino Linotype"/>
          <w:sz w:val="22"/>
          <w:szCs w:val="22"/>
        </w:rPr>
      </w:pPr>
      <w:r w:rsidRPr="00C42806">
        <w:rPr>
          <w:rFonts w:ascii="Palatino Linotype" w:hAnsi="Palatino Linotype"/>
          <w:sz w:val="22"/>
          <w:szCs w:val="22"/>
        </w:rPr>
        <w:t>De toezichthouder deelt de voorlopige aanslag schriftelijk mee aan de casinovergunninghouder, onder vermelding van het bedrag, bedoeld in het tweede lid, de wijze van betaling en het tijdstip waarop de betaling uiterlijk moet geschieden.</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11</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Inwerkingtreding</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(vervallen)</w:t>
      </w:r>
    </w:p>
    <w:p w:rsidR="008D72DF" w:rsidRPr="00C42806" w:rsidRDefault="008D72DF" w:rsidP="008D72DF">
      <w:pPr>
        <w:suppressAutoHyphens/>
        <w:jc w:val="both"/>
        <w:rPr>
          <w:rFonts w:ascii="Palatino Linotype" w:hAnsi="Palatino Linotype"/>
          <w:sz w:val="22"/>
          <w:szCs w:val="22"/>
          <w:lang w:val="nl-NL"/>
        </w:rPr>
      </w:pPr>
    </w:p>
    <w:p w:rsidR="008D72DF"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Artikel 12</w:t>
      </w: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Citeertitel</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suppressAutoHyphens/>
        <w:jc w:val="both"/>
        <w:rPr>
          <w:rFonts w:ascii="Palatino Linotype" w:hAnsi="Palatino Linotype"/>
          <w:sz w:val="22"/>
          <w:szCs w:val="22"/>
          <w:lang w:val="nl-NL"/>
        </w:rPr>
      </w:pPr>
      <w:r w:rsidRPr="00C42806">
        <w:rPr>
          <w:rFonts w:ascii="Palatino Linotype" w:hAnsi="Palatino Linotype"/>
          <w:sz w:val="22"/>
          <w:szCs w:val="22"/>
          <w:lang w:val="nl-NL"/>
        </w:rPr>
        <w:t>Dit landsbesluit, houdende algemene maatregelen, wordt aangehaald als: Landsbesluit Toezichtkosten Casinowezen.</w:t>
      </w:r>
    </w:p>
    <w:p w:rsidR="008D72DF" w:rsidRPr="00C42806" w:rsidRDefault="008D72DF" w:rsidP="008D72DF">
      <w:pPr>
        <w:suppressAutoHyphens/>
        <w:jc w:val="both"/>
        <w:rPr>
          <w:rFonts w:ascii="Palatino Linotype" w:hAnsi="Palatino Linotype"/>
          <w:sz w:val="22"/>
          <w:szCs w:val="22"/>
          <w:lang w:val="nl-NL"/>
        </w:rPr>
      </w:pPr>
    </w:p>
    <w:p w:rsidR="008D72DF" w:rsidRPr="00C42806" w:rsidRDefault="008D72DF" w:rsidP="008D72DF">
      <w:pPr>
        <w:suppressAutoHyphens/>
        <w:jc w:val="center"/>
        <w:rPr>
          <w:rFonts w:ascii="Palatino Linotype" w:hAnsi="Palatino Linotype"/>
          <w:sz w:val="22"/>
          <w:szCs w:val="22"/>
          <w:lang w:val="nl-NL"/>
        </w:rPr>
      </w:pPr>
      <w:r w:rsidRPr="00C42806">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8D72DF" w:rsidRPr="003E6793" w:rsidRDefault="008D72DF" w:rsidP="008D72DF">
      <w:pPr>
        <w:pStyle w:val="FootnoteText"/>
        <w:tabs>
          <w:tab w:val="left" w:pos="142"/>
        </w:tabs>
        <w:ind w:left="142" w:hanging="142"/>
        <w:jc w:val="both"/>
        <w:rPr>
          <w:rFonts w:ascii="Palatino Linotype" w:hAnsi="Palatino Linotype"/>
          <w:sz w:val="18"/>
          <w:szCs w:val="18"/>
          <w:lang w:val="nl-NL"/>
        </w:rPr>
      </w:pPr>
      <w:r w:rsidRPr="003E6793">
        <w:rPr>
          <w:rStyle w:val="FootnoteReference"/>
          <w:rFonts w:ascii="Palatino Linotype" w:hAnsi="Palatino Linotype"/>
          <w:sz w:val="18"/>
          <w:szCs w:val="18"/>
          <w:lang w:val="nl-NL"/>
        </w:rPr>
        <w:footnoteRef/>
      </w:r>
      <w:r w:rsidRPr="003E6793">
        <w:rPr>
          <w:rFonts w:ascii="Palatino Linotype" w:hAnsi="Palatino Linotype"/>
          <w:sz w:val="18"/>
          <w:szCs w:val="18"/>
          <w:lang w:val="nl-NL"/>
        </w:rPr>
        <w:t xml:space="preserve"> </w:t>
      </w:r>
      <w:r w:rsidRPr="003E6793">
        <w:rPr>
          <w:rFonts w:ascii="Palatino Linotype" w:hAnsi="Palatino Linotype"/>
          <w:sz w:val="18"/>
          <w:szCs w:val="18"/>
          <w:lang w:val="nl-NL"/>
        </w:rPr>
        <w:tab/>
        <w:t>Deze regeling heeft met ingang van 10 oktober 2010 de staat van landsbesluit, houdende algemene maatregelen</w:t>
      </w:r>
      <w:r>
        <w:rPr>
          <w:rFonts w:ascii="Palatino Linotype" w:hAnsi="Palatino Linotype"/>
          <w:sz w:val="18"/>
          <w:szCs w:val="18"/>
          <w:lang w:val="nl-NL"/>
        </w:rPr>
        <w:t xml:space="preserve">, </w:t>
      </w:r>
      <w:r w:rsidRPr="003E6793">
        <w:rPr>
          <w:rFonts w:ascii="Palatino Linotype" w:hAnsi="Palatino Linotype"/>
          <w:sz w:val="18"/>
          <w:szCs w:val="18"/>
          <w:lang w:val="nl-NL"/>
        </w:rPr>
        <w:t xml:space="preserve"> van Curaçao verkregen.</w:t>
      </w:r>
    </w:p>
  </w:footnote>
  <w:footnote w:id="2">
    <w:p w:rsidR="008D72DF" w:rsidRPr="00A411ED" w:rsidRDefault="008D72DF" w:rsidP="008D72DF">
      <w:pPr>
        <w:pStyle w:val="FootnoteText"/>
        <w:tabs>
          <w:tab w:val="left" w:pos="142"/>
        </w:tabs>
        <w:ind w:left="142" w:hanging="142"/>
        <w:rPr>
          <w:lang w:val="es-CO"/>
        </w:rPr>
      </w:pPr>
      <w:r w:rsidRPr="003E6793">
        <w:rPr>
          <w:rStyle w:val="FootnoteReference"/>
          <w:rFonts w:ascii="Palatino Linotype" w:hAnsi="Palatino Linotype"/>
          <w:sz w:val="18"/>
          <w:szCs w:val="18"/>
          <w:lang w:val="nl-NL"/>
        </w:rPr>
        <w:footnoteRef/>
      </w:r>
      <w:r w:rsidRPr="00A411ED">
        <w:rPr>
          <w:rFonts w:ascii="Palatino Linotype" w:hAnsi="Palatino Linotype"/>
          <w:sz w:val="18"/>
          <w:szCs w:val="18"/>
          <w:lang w:val="es-CO"/>
        </w:rPr>
        <w:t xml:space="preserve"> </w:t>
      </w:r>
      <w:r w:rsidRPr="00A411ED">
        <w:rPr>
          <w:rFonts w:ascii="Palatino Linotype" w:hAnsi="Palatino Linotype"/>
          <w:sz w:val="18"/>
          <w:szCs w:val="18"/>
          <w:lang w:val="es-CO"/>
        </w:rPr>
        <w:tab/>
        <w:t xml:space="preserve">A.B. 2010, no. 87, </w:t>
      </w:r>
      <w:proofErr w:type="spellStart"/>
      <w:r w:rsidRPr="00A411ED">
        <w:rPr>
          <w:rFonts w:ascii="Palatino Linotype" w:hAnsi="Palatino Linotype"/>
          <w:sz w:val="18"/>
          <w:szCs w:val="18"/>
          <w:lang w:val="es-CO"/>
        </w:rPr>
        <w:t>bijlage</w:t>
      </w:r>
      <w:proofErr w:type="spellEnd"/>
      <w:r w:rsidRPr="00A411ED">
        <w:rPr>
          <w:rFonts w:ascii="Palatino Linotype" w:hAnsi="Palatino Linotype"/>
          <w:sz w:val="18"/>
          <w:szCs w:val="18"/>
          <w:lang w:val="es-CO"/>
        </w:rPr>
        <w:t xml:space="preserve"> a.</w:t>
      </w:r>
    </w:p>
  </w:footnote>
  <w:footnote w:id="3">
    <w:p w:rsidR="008D72DF" w:rsidRPr="00A411ED" w:rsidRDefault="008D72DF" w:rsidP="008D72DF">
      <w:pPr>
        <w:pStyle w:val="FootnoteText"/>
        <w:rPr>
          <w:rFonts w:ascii="Palatino Linotype" w:hAnsi="Palatino Linotype"/>
          <w:sz w:val="18"/>
          <w:szCs w:val="18"/>
          <w:lang w:val="es-CO"/>
        </w:rPr>
      </w:pPr>
      <w:r w:rsidRPr="003E6793">
        <w:rPr>
          <w:rStyle w:val="FootnoteReference"/>
          <w:rFonts w:ascii="Palatino Linotype" w:hAnsi="Palatino Linotype"/>
          <w:sz w:val="18"/>
          <w:szCs w:val="18"/>
          <w:lang w:val="nl-NL"/>
        </w:rPr>
        <w:footnoteRef/>
      </w:r>
      <w:r w:rsidRPr="00A411ED">
        <w:rPr>
          <w:rFonts w:ascii="Palatino Linotype" w:hAnsi="Palatino Linotype"/>
          <w:sz w:val="18"/>
          <w:szCs w:val="18"/>
          <w:lang w:val="es-CO"/>
        </w:rPr>
        <w:t xml:space="preserve"> A.B. 2001, no. 108.</w:t>
      </w:r>
    </w:p>
  </w:footnote>
  <w:footnote w:id="4">
    <w:p w:rsidR="008D72DF" w:rsidRPr="003E6793" w:rsidRDefault="008D72DF" w:rsidP="008D72DF">
      <w:pPr>
        <w:pStyle w:val="FootnoteText"/>
        <w:rPr>
          <w:rFonts w:ascii="Palatino Linotype" w:hAnsi="Palatino Linotype"/>
          <w:sz w:val="18"/>
          <w:szCs w:val="18"/>
          <w:lang w:val="nl-NL"/>
        </w:rPr>
      </w:pPr>
      <w:r w:rsidRPr="003E6793">
        <w:rPr>
          <w:rStyle w:val="FootnoteReference"/>
          <w:rFonts w:ascii="Palatino Linotype" w:hAnsi="Palatino Linotype"/>
          <w:sz w:val="18"/>
          <w:szCs w:val="18"/>
          <w:lang w:val="nl-NL"/>
        </w:rPr>
        <w:footnoteRef/>
      </w:r>
      <w:r w:rsidRPr="003E6793">
        <w:rPr>
          <w:rFonts w:ascii="Palatino Linotype" w:hAnsi="Palatino Linotype"/>
          <w:sz w:val="18"/>
          <w:szCs w:val="18"/>
          <w:lang w:val="nl-NL"/>
        </w:rPr>
        <w:t xml:space="preserve"> A.B. 1999, no. 97.</w:t>
      </w:r>
    </w:p>
  </w:footnote>
  <w:footnote w:id="5">
    <w:p w:rsidR="008D72DF" w:rsidRPr="003E6793" w:rsidRDefault="008D72DF" w:rsidP="008D72DF">
      <w:pPr>
        <w:pStyle w:val="FootnoteText"/>
        <w:rPr>
          <w:rFonts w:ascii="Palatino Linotype" w:hAnsi="Palatino Linotype"/>
          <w:sz w:val="18"/>
          <w:szCs w:val="18"/>
          <w:lang w:val="nl-NL"/>
        </w:rPr>
      </w:pPr>
      <w:r w:rsidRPr="003E6793">
        <w:rPr>
          <w:rStyle w:val="FootnoteReference"/>
          <w:rFonts w:ascii="Palatino Linotype" w:hAnsi="Palatino Linotype"/>
          <w:sz w:val="18"/>
          <w:szCs w:val="18"/>
          <w:lang w:val="nl-NL"/>
        </w:rPr>
        <w:footnoteRef/>
      </w:r>
      <w:r w:rsidRPr="003E6793">
        <w:rPr>
          <w:rFonts w:ascii="Palatino Linotype" w:hAnsi="Palatino Linotype"/>
          <w:sz w:val="18"/>
          <w:szCs w:val="18"/>
          <w:lang w:val="nl-NL"/>
        </w:rPr>
        <w:t xml:space="preserve"> A.B. 1999, no. 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8D72DF" w:rsidRDefault="008D72DF">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8D72DF" w:rsidRDefault="008D72DF">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2DF" w:rsidRDefault="008D72DF">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E566BF4" wp14:editId="047871CC">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D72DF" w:rsidRDefault="008D72D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66BF4"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8D72DF" w:rsidRDefault="008D72DF">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8D72DF" w:rsidRDefault="008D72DF">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8D72DF">
      <w:rPr>
        <w:rFonts w:ascii="Times New Roman" w:hAnsi="Times New Roman"/>
        <w:b/>
        <w:spacing w:val="-4"/>
        <w:sz w:val="36"/>
      </w:rPr>
      <w:t>9</w:t>
    </w:r>
    <w:r w:rsidR="001C4DF2">
      <w:rPr>
        <w:rFonts w:ascii="Times New Roman" w:hAnsi="Times New Roman"/>
        <w:b/>
        <w:spacing w:val="-4"/>
        <w:sz w:val="36"/>
      </w:rPr>
      <w:t>3</w:t>
    </w:r>
    <w:r w:rsidR="008D72DF">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D72DF">
      <w:rPr>
        <w:rFonts w:ascii="Times New Roman" w:hAnsi="Times New Roman"/>
        <w:b/>
        <w:spacing w:val="-4"/>
        <w:sz w:val="36"/>
      </w:rPr>
      <w:t>93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BE070B"/>
    <w:multiLevelType w:val="hybridMultilevel"/>
    <w:tmpl w:val="BB08CD2E"/>
    <w:lvl w:ilvl="0" w:tplc="289087E2">
      <w:start w:val="1"/>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4F6226"/>
    <w:multiLevelType w:val="hybridMultilevel"/>
    <w:tmpl w:val="194CBFA4"/>
    <w:lvl w:ilvl="0" w:tplc="625831AE">
      <w:start w:val="1"/>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C09A2"/>
    <w:multiLevelType w:val="hybridMultilevel"/>
    <w:tmpl w:val="8CAC0E8A"/>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885C78"/>
    <w:multiLevelType w:val="hybridMultilevel"/>
    <w:tmpl w:val="50B82FD6"/>
    <w:lvl w:ilvl="0" w:tplc="462217FE">
      <w:start w:val="1"/>
      <w:numFmt w:val="decimal"/>
      <w:lvlText w:val="%1."/>
      <w:lvlJc w:val="left"/>
      <w:pPr>
        <w:ind w:left="720" w:hanging="36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9"/>
  </w:num>
  <w:num w:numId="4">
    <w:abstractNumId w:val="8"/>
  </w:num>
  <w:num w:numId="5">
    <w:abstractNumId w:val="0"/>
  </w:num>
  <w:num w:numId="6">
    <w:abstractNumId w:val="6"/>
  </w:num>
  <w:num w:numId="7">
    <w:abstractNumId w:val="5"/>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31D36"/>
    <w:rsid w:val="00853D6F"/>
    <w:rsid w:val="00862E7C"/>
    <w:rsid w:val="00864BBA"/>
    <w:rsid w:val="00870E7E"/>
    <w:rsid w:val="00876FF6"/>
    <w:rsid w:val="008A1329"/>
    <w:rsid w:val="008B0FBF"/>
    <w:rsid w:val="008C60C3"/>
    <w:rsid w:val="008D5E2E"/>
    <w:rsid w:val="008D67E9"/>
    <w:rsid w:val="008D72DF"/>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9214B"/>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8D72DF"/>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8D72DF"/>
    <w:rPr>
      <w:spacing w:val="-3"/>
      <w:sz w:val="24"/>
      <w:szCs w:val="24"/>
      <w:lang w:val="nl-NL"/>
    </w:rPr>
  </w:style>
  <w:style w:type="paragraph" w:styleId="Title">
    <w:name w:val="Title"/>
    <w:basedOn w:val="Normal"/>
    <w:link w:val="TitleChar"/>
    <w:qFormat/>
    <w:rsid w:val="008D72DF"/>
    <w:pPr>
      <w:widowControl/>
      <w:jc w:val="center"/>
    </w:pPr>
    <w:rPr>
      <w:rFonts w:ascii="Arial" w:hAnsi="Arial"/>
      <w:b/>
      <w:snapToGrid/>
      <w:sz w:val="32"/>
    </w:rPr>
  </w:style>
  <w:style w:type="character" w:customStyle="1" w:styleId="TitleChar">
    <w:name w:val="Title Char"/>
    <w:basedOn w:val="DefaultParagraphFont"/>
    <w:link w:val="Title"/>
    <w:rsid w:val="008D72DF"/>
    <w:rPr>
      <w:rFonts w:ascii="Arial" w:hAnsi="Arial"/>
      <w:b/>
      <w:sz w:val="32"/>
    </w:rPr>
  </w:style>
  <w:style w:type="paragraph" w:styleId="BodyText">
    <w:name w:val="Body Text"/>
    <w:basedOn w:val="Normal"/>
    <w:link w:val="BodyTextChar"/>
    <w:rsid w:val="008D72DF"/>
    <w:pPr>
      <w:spacing w:after="120"/>
    </w:pPr>
  </w:style>
  <w:style w:type="character" w:customStyle="1" w:styleId="BodyTextChar">
    <w:name w:val="Body Text Char"/>
    <w:basedOn w:val="DefaultParagraphFont"/>
    <w:link w:val="BodyText"/>
    <w:rsid w:val="008D72D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2026-05-06T13:53:00Z</dcterms:created>
  <dcterms:modified xsi:type="dcterms:W3CDTF">2026-05-08T14:28:00Z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