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B871E3">
        <w:rPr>
          <w:b/>
          <w:sz w:val="36"/>
          <w:szCs w:val="36"/>
        </w:rPr>
        <w:t>103</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871E3" w:rsidRPr="00B871E3" w:rsidRDefault="00B871E3" w:rsidP="00B871E3">
      <w:pPr>
        <w:autoSpaceDE w:val="0"/>
        <w:autoSpaceDN w:val="0"/>
        <w:adjustRightInd w:val="0"/>
        <w:jc w:val="both"/>
        <w:rPr>
          <w:rFonts w:ascii="Palatino Linotype" w:hAnsi="Palatino Linotype"/>
          <w:b/>
          <w:sz w:val="22"/>
          <w:szCs w:val="22"/>
          <w:lang w:val="nl-NL"/>
        </w:rPr>
      </w:pPr>
      <w:r w:rsidRPr="00B871E3">
        <w:rPr>
          <w:rFonts w:ascii="Palatino Linotype" w:hAnsi="Palatino Linotype"/>
          <w:b/>
          <w:sz w:val="22"/>
          <w:szCs w:val="22"/>
          <w:lang w:val="nl-NL"/>
        </w:rPr>
        <w:t>Onderlinge regeling inzake Samen Opleiden en Professionaliseren van Leraren in Opleiding in het Caribisch deel van het Koninkrijk der Nederlanden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Partijen,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 xml:space="preserve">het land Aruba, te dezen vertegenwoordigd door de Minister van Koninkrijksrelaties, Onderwijs, Jeugd, Innovatie en Sport, mevrouw </w:t>
      </w:r>
      <w:proofErr w:type="spellStart"/>
      <w:r w:rsidRPr="00B871E3">
        <w:rPr>
          <w:rFonts w:ascii="Palatino Linotype" w:hAnsi="Palatino Linotype"/>
          <w:sz w:val="22"/>
          <w:szCs w:val="22"/>
          <w:lang w:val="nl-NL"/>
        </w:rPr>
        <w:t>Gerlien</w:t>
      </w:r>
      <w:proofErr w:type="spellEnd"/>
      <w:r w:rsidRPr="00B871E3">
        <w:rPr>
          <w:rFonts w:ascii="Palatino Linotype" w:hAnsi="Palatino Linotype"/>
          <w:sz w:val="22"/>
          <w:szCs w:val="22"/>
          <w:lang w:val="nl-NL"/>
        </w:rPr>
        <w:t xml:space="preserve"> Croes, hierna te noemen: Aruba,</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 xml:space="preserve">het land Curaçao, te dezen vertegenwoordigd door de Minister van Onderwijs, Wetenschap, Cultuur en Sport, de heer </w:t>
      </w:r>
      <w:proofErr w:type="spellStart"/>
      <w:r w:rsidRPr="00B871E3">
        <w:rPr>
          <w:rFonts w:ascii="Palatino Linotype" w:hAnsi="Palatino Linotype"/>
          <w:sz w:val="22"/>
          <w:szCs w:val="22"/>
          <w:lang w:val="nl-NL"/>
        </w:rPr>
        <w:t>Sithree</w:t>
      </w:r>
      <w:proofErr w:type="spellEnd"/>
      <w:r w:rsidRPr="00B871E3">
        <w:rPr>
          <w:rFonts w:ascii="Palatino Linotype" w:hAnsi="Palatino Linotype"/>
          <w:sz w:val="22"/>
          <w:szCs w:val="22"/>
          <w:lang w:val="nl-NL"/>
        </w:rPr>
        <w:t xml:space="preserve"> van </w:t>
      </w:r>
      <w:proofErr w:type="spellStart"/>
      <w:r w:rsidRPr="00B871E3">
        <w:rPr>
          <w:rFonts w:ascii="Palatino Linotype" w:hAnsi="Palatino Linotype"/>
          <w:sz w:val="22"/>
          <w:szCs w:val="22"/>
          <w:lang w:val="nl-NL"/>
        </w:rPr>
        <w:t>Heydoorn</w:t>
      </w:r>
      <w:proofErr w:type="spellEnd"/>
      <w:r w:rsidRPr="00B871E3">
        <w:rPr>
          <w:rFonts w:ascii="Palatino Linotype" w:hAnsi="Palatino Linotype"/>
          <w:sz w:val="22"/>
          <w:szCs w:val="22"/>
          <w:lang w:val="nl-NL"/>
        </w:rPr>
        <w:t>, hierna te noemen: Curaçao,</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 xml:space="preserve">het land Sint Maarten, te dezen vertegenwoordigd door de Minister van Onderwijs, Cultuur, Jeugd en Sport, mevrouw Melissa </w:t>
      </w:r>
      <w:proofErr w:type="spellStart"/>
      <w:r w:rsidRPr="00B871E3">
        <w:rPr>
          <w:rFonts w:ascii="Palatino Linotype" w:hAnsi="Palatino Linotype"/>
          <w:sz w:val="22"/>
          <w:szCs w:val="22"/>
          <w:lang w:val="nl-NL"/>
        </w:rPr>
        <w:t>Gumbs</w:t>
      </w:r>
      <w:proofErr w:type="spellEnd"/>
      <w:r w:rsidRPr="00B871E3">
        <w:rPr>
          <w:rFonts w:ascii="Palatino Linotype" w:hAnsi="Palatino Linotype"/>
          <w:sz w:val="22"/>
          <w:szCs w:val="22"/>
          <w:lang w:val="nl-NL"/>
        </w:rPr>
        <w:t>, hierna te noemen: Sint Maarten,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 xml:space="preserve">de Staat der Nederlanden, te dezen vertegenwoordigd door de Minister van Onderwijs, Cultuur en Wetenschap, de heer </w:t>
      </w:r>
      <w:proofErr w:type="spellStart"/>
      <w:r w:rsidRPr="00B871E3">
        <w:rPr>
          <w:rFonts w:ascii="Palatino Linotype" w:hAnsi="Palatino Linotype"/>
          <w:sz w:val="22"/>
          <w:szCs w:val="22"/>
          <w:lang w:val="nl-NL"/>
        </w:rPr>
        <w:t>Gouke</w:t>
      </w:r>
      <w:proofErr w:type="spellEnd"/>
      <w:r w:rsidRPr="00B871E3">
        <w:rPr>
          <w:rFonts w:ascii="Palatino Linotype" w:hAnsi="Palatino Linotype"/>
          <w:sz w:val="22"/>
          <w:szCs w:val="22"/>
          <w:lang w:val="nl-NL"/>
        </w:rPr>
        <w:t xml:space="preserve"> Moes, hierna te noemen: Nederland,</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hierna te noemen: de ‘Partijen’</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sz w:val="22"/>
          <w:szCs w:val="22"/>
          <w:lang w:val="nl-NL"/>
        </w:rPr>
      </w:pPr>
      <w:r w:rsidRPr="00B871E3">
        <w:rPr>
          <w:rFonts w:ascii="Palatino Linotype" w:hAnsi="Palatino Linotype"/>
          <w:sz w:val="22"/>
          <w:szCs w:val="22"/>
          <w:lang w:val="nl-NL"/>
        </w:rPr>
        <w:t>Overwegende dat:</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Partijen elkaar op grond van artikelen 36 en 38, eerste lid, van het Statuut voor het Koninkrijk der Nederlanden hulp en bijstand kunnen verlenen, en onderling regelingen kunnen treffen;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Partijen het van belang vinden dat er voldoende bekwame leraren in het Caribisch deel van het Koninkrijk worden opgeleid om in de lokale vraag te voorzien;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Partijen continu de onderwijs- en opleidingspraktijk in het Caribisch deel van het Koninkrijk onderzoeken en verbeteren en hierin samen willen optrekken teneinde het opleiden en professionaliseren van leraren te verbeteren;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Partijen de verbetering van de opleiding van aanstaande leraren en de professionalisering van zittende leraren zien als één van de sleutels tot kwaliteitsverbetering in het onderwijs;</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de lerarenopleidingen nog niet goed op de beroepspraktijk aansluiten waardoor startende leraren een beroepsschok ervaren;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lastRenderedPageBreak/>
        <w:t>Partijen gezamenlijk het onderwijsconcept Samen Opleiden en Professionaliseren in Aruba, Bonaire en Curaçao willen voortzetten om zo de samenhang, aansluiting op de praktijk en borging van de kwaliteit van de begeleiding in de opleidingen te verbeteren;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het onderwijsconcept Samen Opleiden en Professionaliseren zich richt op de samenwerking tussen hoger onderwijsinstellingen, scholen en schoolbesturen waardoor leraren optimaal worden voorbereid op de praktijk en worden ondersteund in (de start van) hun loopbaan;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 xml:space="preserve">het Partnerschap </w:t>
      </w:r>
      <w:proofErr w:type="spellStart"/>
      <w:r w:rsidRPr="00B871E3">
        <w:rPr>
          <w:rFonts w:ascii="Palatino Linotype" w:hAnsi="Palatino Linotype"/>
          <w:snapToGrid/>
          <w:sz w:val="22"/>
          <w:szCs w:val="22"/>
          <w:lang w:val="nl-NL"/>
        </w:rPr>
        <w:t>Kibrahacha</w:t>
      </w:r>
      <w:proofErr w:type="spellEnd"/>
      <w:r w:rsidRPr="00B871E3">
        <w:rPr>
          <w:rFonts w:ascii="Palatino Linotype" w:hAnsi="Palatino Linotype"/>
          <w:snapToGrid/>
          <w:sz w:val="22"/>
          <w:szCs w:val="22"/>
          <w:lang w:val="nl-NL"/>
        </w:rPr>
        <w:t xml:space="preserve"> sinds 2019 met een bijdrage van Aruba, Curaçao en Nederland het onderwijsconcept Samen Opleiden en Professionaliseren uitvoert en succesvolle samenwerkingen tussen de lerarenopleidingen en scholen ontplooit;</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 xml:space="preserve">Partijen hun waardering uitspreken voor het Partnerschap </w:t>
      </w:r>
      <w:proofErr w:type="spellStart"/>
      <w:r w:rsidRPr="00B871E3">
        <w:rPr>
          <w:rFonts w:ascii="Palatino Linotype" w:hAnsi="Palatino Linotype"/>
          <w:snapToGrid/>
          <w:sz w:val="22"/>
          <w:szCs w:val="22"/>
          <w:lang w:val="nl-NL"/>
        </w:rPr>
        <w:t>Kibrahacha</w:t>
      </w:r>
      <w:proofErr w:type="spellEnd"/>
      <w:r w:rsidRPr="00B871E3">
        <w:rPr>
          <w:rFonts w:ascii="Palatino Linotype" w:hAnsi="Palatino Linotype"/>
          <w:snapToGrid/>
          <w:sz w:val="22"/>
          <w:szCs w:val="22"/>
          <w:lang w:val="nl-NL"/>
        </w:rPr>
        <w:t xml:space="preserve"> en hun steun willen voortzetten;</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het Samenwerkingsprotocol om lerarenopleidingen in het Caribisch deel van het Koninkrijk der Nederlanden te stimuleren 2019–2025 afloopt;</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 xml:space="preserve">Sint-Maarten en Nederland inventariseren of het wenselijk en haalbaar is om Samen Opleiden en Professionaliseren ook in Sint Maarten, Saba en Sint Eustatius te ontplooien. De uitkomsten hiervan worden vóór het Vierlandenoverleg in 2026 met Partijen en het Partnerschap </w:t>
      </w:r>
      <w:proofErr w:type="spellStart"/>
      <w:r w:rsidRPr="00B871E3">
        <w:rPr>
          <w:rFonts w:ascii="Palatino Linotype" w:hAnsi="Palatino Linotype"/>
          <w:snapToGrid/>
          <w:sz w:val="22"/>
          <w:szCs w:val="22"/>
          <w:lang w:val="nl-NL"/>
        </w:rPr>
        <w:t>Kibrahacha</w:t>
      </w:r>
      <w:proofErr w:type="spellEnd"/>
      <w:r w:rsidRPr="00B871E3">
        <w:rPr>
          <w:rFonts w:ascii="Palatino Linotype" w:hAnsi="Palatino Linotype"/>
          <w:snapToGrid/>
          <w:sz w:val="22"/>
          <w:szCs w:val="22"/>
          <w:lang w:val="nl-NL"/>
        </w:rPr>
        <w:t xml:space="preserve"> gedeeld.</w:t>
      </w:r>
    </w:p>
    <w:p w:rsidR="00B871E3" w:rsidRPr="00B871E3" w:rsidRDefault="00B871E3" w:rsidP="00B871E3">
      <w:pPr>
        <w:widowControl/>
        <w:numPr>
          <w:ilvl w:val="0"/>
          <w:numId w:val="7"/>
        </w:numPr>
        <w:autoSpaceDE w:val="0"/>
        <w:autoSpaceDN w:val="0"/>
        <w:adjustRightInd w:val="0"/>
        <w:contextualSpacing/>
        <w:jc w:val="both"/>
        <w:rPr>
          <w:rFonts w:ascii="Palatino Linotype" w:hAnsi="Palatino Linotype"/>
          <w:snapToGrid/>
          <w:sz w:val="22"/>
          <w:szCs w:val="22"/>
          <w:lang w:val="nl-NL"/>
        </w:rPr>
      </w:pPr>
      <w:r w:rsidRPr="00B871E3">
        <w:rPr>
          <w:rFonts w:ascii="Palatino Linotype" w:hAnsi="Palatino Linotype"/>
          <w:snapToGrid/>
          <w:sz w:val="22"/>
          <w:szCs w:val="22"/>
          <w:lang w:val="nl-NL"/>
        </w:rPr>
        <w:t>Partijen het financieel handboek en de meerjarenbegroting hebben vastgesteld in het Ministerieel Vierlandenoverleg op 6 november 2025.</w:t>
      </w:r>
    </w:p>
    <w:p w:rsidR="00B871E3" w:rsidRPr="00B871E3" w:rsidRDefault="00B871E3" w:rsidP="00B871E3">
      <w:pPr>
        <w:autoSpaceDE w:val="0"/>
        <w:autoSpaceDN w:val="0"/>
        <w:adjustRightInd w:val="0"/>
        <w:jc w:val="both"/>
        <w:rPr>
          <w:rFonts w:ascii="Palatino Linotype" w:hAnsi="Palatino Linotype"/>
          <w:sz w:val="22"/>
          <w:szCs w:val="22"/>
          <w:lang w:val="nl-NL"/>
        </w:rPr>
      </w:pPr>
    </w:p>
    <w:p w:rsidR="00B871E3" w:rsidRPr="00B871E3" w:rsidRDefault="00B871E3" w:rsidP="00B871E3">
      <w:pPr>
        <w:autoSpaceDE w:val="0"/>
        <w:autoSpaceDN w:val="0"/>
        <w:adjustRightInd w:val="0"/>
        <w:jc w:val="both"/>
        <w:rPr>
          <w:rFonts w:ascii="Palatino Linotype" w:hAnsi="Palatino Linotype" w:cs="Arial"/>
          <w:snapToGrid/>
          <w:sz w:val="22"/>
          <w:szCs w:val="22"/>
          <w:lang w:val="nl-NL"/>
        </w:rPr>
      </w:pPr>
      <w:r w:rsidRPr="00B871E3">
        <w:rPr>
          <w:rFonts w:ascii="Palatino Linotype" w:hAnsi="Palatino Linotype"/>
          <w:sz w:val="22"/>
          <w:szCs w:val="22"/>
          <w:lang w:val="nl-NL"/>
        </w:rPr>
        <w:t>Komen het volgende overeen:</w:t>
      </w:r>
    </w:p>
    <w:p w:rsidR="00B871E3" w:rsidRPr="00B871E3" w:rsidRDefault="00B871E3" w:rsidP="00B871E3">
      <w:pPr>
        <w:autoSpaceDE w:val="0"/>
        <w:autoSpaceDN w:val="0"/>
        <w:adjustRightInd w:val="0"/>
        <w:jc w:val="both"/>
        <w:rPr>
          <w:rFonts w:ascii="Palatino Linotype" w:hAnsi="Palatino Linotype" w:cs="Arial"/>
          <w:b/>
          <w:sz w:val="20"/>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t>Paragraaf 1</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Doelstelling</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De afspraken in deze onderlinge regeling hebben tot doel:</w:t>
      </w:r>
    </w:p>
    <w:p w:rsidR="00B871E3" w:rsidRPr="00B871E3" w:rsidRDefault="00B871E3" w:rsidP="00B871E3">
      <w:pPr>
        <w:widowControl/>
        <w:numPr>
          <w:ilvl w:val="0"/>
          <w:numId w:val="8"/>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het voortzetten van de uitvoering van het onderwijsconcept Samen Opleiden en Professionaliseren in Aruba, Bonaire en Curaçao door het Partnerschap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w:t>
      </w:r>
    </w:p>
    <w:p w:rsidR="00B871E3" w:rsidRPr="00B871E3" w:rsidRDefault="00B871E3" w:rsidP="00B871E3">
      <w:pPr>
        <w:widowControl/>
        <w:numPr>
          <w:ilvl w:val="0"/>
          <w:numId w:val="8"/>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te inventariseren of het wenselijk en haalbaar is om het onderwijsconcept Samen Opleiden en Professionaliseren ook in Sint Maarten, Saba en Sint Eustatius te ontplooien, rekening houdend met de betreffende onderwijstaal en onderwijssysteem.</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t xml:space="preserve">Paragraaf 2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Beschikbaarstelling</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9"/>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Onder voorwaarde van goedkeuring door de Nederlandse begrotingswetgever, stelt Nederland met dit programma jaarlijks financiële middelen beschikbaar aan de penvoerder ten behoefte aan activiteiten die zich richten op de doelstelling als omschreven in paragraaf 1, eerste lid.</w:t>
      </w:r>
    </w:p>
    <w:p w:rsidR="00B871E3" w:rsidRPr="00B871E3" w:rsidRDefault="00B871E3" w:rsidP="00B871E3">
      <w:pPr>
        <w:widowControl/>
        <w:numPr>
          <w:ilvl w:val="0"/>
          <w:numId w:val="9"/>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Aruba en Curaçao dragen bij door het in stand houden en bekostigen van de lerarenopleidingen, voor zowel primair als voortgezet onderwijs, aan de </w:t>
      </w:r>
      <w:proofErr w:type="spellStart"/>
      <w:r w:rsidRPr="00B871E3">
        <w:rPr>
          <w:rFonts w:ascii="Palatino Linotype" w:hAnsi="Palatino Linotype" w:cs="Arial"/>
          <w:snapToGrid/>
          <w:sz w:val="22"/>
          <w:lang w:val="nl-NL"/>
        </w:rPr>
        <w:t>Instituto</w:t>
      </w:r>
      <w:proofErr w:type="spellEnd"/>
      <w:r w:rsidRPr="00B871E3">
        <w:rPr>
          <w:rFonts w:ascii="Palatino Linotype" w:hAnsi="Palatino Linotype" w:cs="Arial"/>
          <w:snapToGrid/>
          <w:sz w:val="22"/>
          <w:lang w:val="nl-NL"/>
        </w:rPr>
        <w:t xml:space="preserve"> </w:t>
      </w:r>
      <w:proofErr w:type="spellStart"/>
      <w:r w:rsidRPr="00B871E3">
        <w:rPr>
          <w:rFonts w:ascii="Palatino Linotype" w:hAnsi="Palatino Linotype" w:cs="Arial"/>
          <w:snapToGrid/>
          <w:sz w:val="22"/>
          <w:lang w:val="nl-NL"/>
        </w:rPr>
        <w:t>Pedagogico</w:t>
      </w:r>
      <w:proofErr w:type="spellEnd"/>
      <w:r w:rsidRPr="00B871E3">
        <w:rPr>
          <w:rFonts w:ascii="Palatino Linotype" w:hAnsi="Palatino Linotype" w:cs="Arial"/>
          <w:snapToGrid/>
          <w:sz w:val="22"/>
          <w:lang w:val="nl-NL"/>
        </w:rPr>
        <w:t xml:space="preserve"> </w:t>
      </w:r>
      <w:proofErr w:type="spellStart"/>
      <w:r w:rsidRPr="00B871E3">
        <w:rPr>
          <w:rFonts w:ascii="Palatino Linotype" w:hAnsi="Palatino Linotype" w:cs="Arial"/>
          <w:snapToGrid/>
          <w:sz w:val="22"/>
          <w:lang w:val="nl-NL"/>
        </w:rPr>
        <w:t>Arubano</w:t>
      </w:r>
      <w:proofErr w:type="spellEnd"/>
      <w:r w:rsidRPr="00B871E3">
        <w:rPr>
          <w:rFonts w:ascii="Palatino Linotype" w:hAnsi="Palatino Linotype" w:cs="Arial"/>
          <w:snapToGrid/>
          <w:sz w:val="22"/>
          <w:lang w:val="nl-NL"/>
        </w:rPr>
        <w:t xml:space="preserve"> (IPA), University of Aruba (UA) en University of Curaçao (</w:t>
      </w:r>
      <w:proofErr w:type="spellStart"/>
      <w:r w:rsidRPr="00B871E3">
        <w:rPr>
          <w:rFonts w:ascii="Palatino Linotype" w:hAnsi="Palatino Linotype" w:cs="Arial"/>
          <w:snapToGrid/>
          <w:sz w:val="22"/>
          <w:lang w:val="nl-NL"/>
        </w:rPr>
        <w:t>UoC</w:t>
      </w:r>
      <w:proofErr w:type="spellEnd"/>
      <w:r w:rsidRPr="00B871E3">
        <w:rPr>
          <w:rFonts w:ascii="Palatino Linotype" w:hAnsi="Palatino Linotype" w:cs="Arial"/>
          <w:snapToGrid/>
          <w:sz w:val="22"/>
          <w:lang w:val="nl-NL"/>
        </w:rPr>
        <w:t>).</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lastRenderedPageBreak/>
        <w:t xml:space="preserve">Paragraaf 3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Subsidie</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10"/>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Voor de looptijd van deze onderlinge regeling stelt Nederland jaarlijks een totaalbudget van € 862.000,– beschikbaar aan de penvoerder voor de uitvoering van de activiteitenplannen van het Partnerschap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w:t>
      </w:r>
    </w:p>
    <w:p w:rsidR="00B871E3" w:rsidRPr="00B871E3" w:rsidRDefault="00B871E3" w:rsidP="00B871E3">
      <w:pPr>
        <w:widowControl/>
        <w:numPr>
          <w:ilvl w:val="0"/>
          <w:numId w:val="10"/>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De subsidie is alleen bestemd voor activiteiten die direct bijdragen aan Samen Opleiden en Professionaliseren in het primair onderwijs, voortgezet onderwijs en middelbaar beroepsonderwijs, zoals omschreven in de doelstelling van paragraaf 1, eerste lid.</w:t>
      </w:r>
    </w:p>
    <w:p w:rsidR="00B871E3" w:rsidRPr="00B871E3" w:rsidRDefault="00B871E3" w:rsidP="00B871E3">
      <w:pPr>
        <w:widowControl/>
        <w:numPr>
          <w:ilvl w:val="0"/>
          <w:numId w:val="10"/>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De stuurgroep van het Ministerieel Vierlandenoverleg wijst, in overleg met het Partnerschap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 een penvoerder aan.</w:t>
      </w:r>
    </w:p>
    <w:p w:rsidR="00B871E3" w:rsidRPr="00B871E3" w:rsidRDefault="00B871E3" w:rsidP="00B871E3">
      <w:pPr>
        <w:widowControl/>
        <w:numPr>
          <w:ilvl w:val="0"/>
          <w:numId w:val="10"/>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De penvoerder vraagt jaarlijks uiterlijk op 15 augustus subsidie aan bij Nederland op grond van de Kaderregeling subsidies OCW, SZW en VWS.</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t xml:space="preserve">Paragraaf 4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Lerarenopleidingen op Aruba en Curaçao</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11"/>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Onderscheidenlijk Aruba en Curaçao zetten zich in om de huidige tweede- en eerstegraads lerarenopleidingen aangeboden door respectievelijk </w:t>
      </w:r>
      <w:proofErr w:type="spellStart"/>
      <w:r w:rsidRPr="00B871E3">
        <w:rPr>
          <w:rFonts w:ascii="Palatino Linotype" w:hAnsi="Palatino Linotype" w:cs="Arial"/>
          <w:snapToGrid/>
          <w:sz w:val="22"/>
          <w:lang w:val="nl-NL"/>
        </w:rPr>
        <w:t>Instituto</w:t>
      </w:r>
      <w:proofErr w:type="spellEnd"/>
      <w:r w:rsidRPr="00B871E3">
        <w:rPr>
          <w:rFonts w:ascii="Palatino Linotype" w:hAnsi="Palatino Linotype" w:cs="Arial"/>
          <w:snapToGrid/>
          <w:sz w:val="22"/>
          <w:lang w:val="nl-NL"/>
        </w:rPr>
        <w:t xml:space="preserve"> </w:t>
      </w:r>
      <w:proofErr w:type="spellStart"/>
      <w:r w:rsidRPr="00B871E3">
        <w:rPr>
          <w:rFonts w:ascii="Palatino Linotype" w:hAnsi="Palatino Linotype" w:cs="Arial"/>
          <w:snapToGrid/>
          <w:sz w:val="22"/>
          <w:lang w:val="nl-NL"/>
        </w:rPr>
        <w:t>Pedagogico</w:t>
      </w:r>
      <w:proofErr w:type="spellEnd"/>
      <w:r w:rsidRPr="00B871E3">
        <w:rPr>
          <w:rFonts w:ascii="Palatino Linotype" w:hAnsi="Palatino Linotype" w:cs="Arial"/>
          <w:snapToGrid/>
          <w:sz w:val="22"/>
          <w:lang w:val="nl-NL"/>
        </w:rPr>
        <w:t xml:space="preserve"> </w:t>
      </w:r>
      <w:proofErr w:type="spellStart"/>
      <w:r w:rsidRPr="00B871E3">
        <w:rPr>
          <w:rFonts w:ascii="Palatino Linotype" w:hAnsi="Palatino Linotype" w:cs="Arial"/>
          <w:snapToGrid/>
          <w:sz w:val="22"/>
          <w:lang w:val="nl-NL"/>
        </w:rPr>
        <w:t>Arubano</w:t>
      </w:r>
      <w:proofErr w:type="spellEnd"/>
      <w:r w:rsidRPr="00B871E3">
        <w:rPr>
          <w:rFonts w:ascii="Palatino Linotype" w:hAnsi="Palatino Linotype" w:cs="Arial"/>
          <w:snapToGrid/>
          <w:sz w:val="22"/>
          <w:lang w:val="nl-NL"/>
        </w:rPr>
        <w:t xml:space="preserve"> en University of Aruba (Aruba) en University of Curaçao (Curaçao) vanaf september 2026 om te vormen en passend te maken voor het onderwijsconcept van Samen Opleiden en Professionaliseren.</w:t>
      </w:r>
    </w:p>
    <w:p w:rsidR="00B871E3" w:rsidRPr="00B871E3" w:rsidRDefault="00B871E3" w:rsidP="00B871E3">
      <w:pPr>
        <w:widowControl/>
        <w:numPr>
          <w:ilvl w:val="0"/>
          <w:numId w:val="11"/>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Aruba en Curaçao dragen zorg om eventueel noodzakelijke curriculumherzieningen bij de in het eerste lid genoemde opleidingen tot stand te brengen en dragen daarvoor eventuele samenhangende kosten.</w:t>
      </w:r>
    </w:p>
    <w:p w:rsidR="00B871E3" w:rsidRPr="00B871E3" w:rsidRDefault="00B871E3" w:rsidP="00B871E3">
      <w:pPr>
        <w:widowControl/>
        <w:numPr>
          <w:ilvl w:val="0"/>
          <w:numId w:val="11"/>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Aruba en Curaçao dragen bij aan de regie en coördinatie van hun instituten, te weten de inzet van opleiders, de coördinatie vanuit de instituten en de vertegenwoordiging in de stuurgroep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t xml:space="preserve">Paragraaf 5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Peer-review</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12"/>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Een onafhankelijk panel voert in opdracht van het Partnerschap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 xml:space="preserve"> in 2026 en in 2030 een ontwikkelingsgerichte peer-review uit bij het Partnerschap </w:t>
      </w:r>
      <w:proofErr w:type="spellStart"/>
      <w:r w:rsidRPr="00B871E3">
        <w:rPr>
          <w:rFonts w:ascii="Palatino Linotype" w:hAnsi="Palatino Linotype" w:cs="Arial"/>
          <w:snapToGrid/>
          <w:sz w:val="22"/>
          <w:lang w:val="nl-NL"/>
        </w:rPr>
        <w:t>Kibrahacha</w:t>
      </w:r>
      <w:proofErr w:type="spellEnd"/>
      <w:r w:rsidRPr="00B871E3">
        <w:rPr>
          <w:rFonts w:ascii="Palatino Linotype" w:hAnsi="Palatino Linotype" w:cs="Arial"/>
          <w:snapToGrid/>
          <w:sz w:val="22"/>
          <w:lang w:val="nl-NL"/>
        </w:rPr>
        <w:t>.</w:t>
      </w:r>
    </w:p>
    <w:p w:rsidR="00B871E3" w:rsidRPr="00B871E3" w:rsidRDefault="00B871E3" w:rsidP="00B871E3">
      <w:pPr>
        <w:widowControl/>
        <w:numPr>
          <w:ilvl w:val="0"/>
          <w:numId w:val="12"/>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De peer-review wordt uitgevoerd naar analogie van het Kwaliteitskader Samen Opleiden in de Onderwijsregio, zoals in Nederland wordt gehanteerd, houdt rekening met de lokale context met haar specifieke pedagogisch-didactische eisen en bevat vier waarborgen: de lerende leraar, de leeromgeving, de organisatie en de kwaliteitscultuur.</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jc w:val="both"/>
        <w:rPr>
          <w:rFonts w:ascii="Palatino Linotype" w:hAnsi="Palatino Linotype" w:cs="Arial"/>
          <w:sz w:val="22"/>
          <w:lang w:val="nl-NL"/>
        </w:rPr>
      </w:pPr>
      <w:r w:rsidRPr="00B871E3">
        <w:rPr>
          <w:rFonts w:ascii="Palatino Linotype" w:hAnsi="Palatino Linotype" w:cs="Arial"/>
          <w:sz w:val="22"/>
          <w:lang w:val="nl-NL"/>
        </w:rPr>
        <w:br w:type="page"/>
      </w: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lastRenderedPageBreak/>
        <w:t xml:space="preserve">Paragraaf 6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Inwerkingtreding en looptijd</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13"/>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 xml:space="preserve">Deze onderlinge regeling treedt in </w:t>
      </w:r>
      <w:bookmarkStart w:id="0" w:name="_GoBack"/>
      <w:bookmarkEnd w:id="0"/>
      <w:r w:rsidRPr="00B871E3">
        <w:rPr>
          <w:rFonts w:ascii="Palatino Linotype" w:hAnsi="Palatino Linotype" w:cs="Arial"/>
          <w:snapToGrid/>
          <w:sz w:val="22"/>
          <w:lang w:val="nl-NL"/>
        </w:rPr>
        <w:t>werking met ingang van de dag na ondertekening door alle Partijen en eindigt met ingang van 31 december 2031.</w:t>
      </w:r>
    </w:p>
    <w:p w:rsidR="00B871E3" w:rsidRPr="00B871E3" w:rsidRDefault="00B871E3" w:rsidP="00B871E3">
      <w:pPr>
        <w:widowControl/>
        <w:numPr>
          <w:ilvl w:val="0"/>
          <w:numId w:val="13"/>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Indien zich omstandigheden voordoen die van dien aard zijn dat deze onderlinge regeling behoort te worden gewijzigd, treden de Partijen daarover terstond met elkaar in overleg.</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i/>
          <w:sz w:val="22"/>
          <w:lang w:val="nl-NL"/>
        </w:rPr>
      </w:pPr>
      <w:r w:rsidRPr="00B871E3">
        <w:rPr>
          <w:rFonts w:ascii="Palatino Linotype" w:hAnsi="Palatino Linotype" w:cs="Arial"/>
          <w:i/>
          <w:sz w:val="22"/>
          <w:lang w:val="nl-NL"/>
        </w:rPr>
        <w:t xml:space="preserve">Paragraaf 7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b/>
          <w:sz w:val="22"/>
          <w:lang w:val="nl-NL"/>
        </w:rPr>
      </w:pPr>
      <w:r w:rsidRPr="00B871E3">
        <w:rPr>
          <w:rFonts w:ascii="Palatino Linotype" w:hAnsi="Palatino Linotype" w:cs="Arial"/>
          <w:b/>
          <w:sz w:val="22"/>
          <w:lang w:val="nl-NL"/>
        </w:rPr>
        <w:t>Publicatie</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widowControl/>
        <w:numPr>
          <w:ilvl w:val="0"/>
          <w:numId w:val="14"/>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Binnen 30 dagen na ondertekening van deze onderlinge regeling, wordt de tekst daarvan gepubliceerd in de Staatscourant en in de publicatiebladen van de andere Partijen.</w:t>
      </w:r>
    </w:p>
    <w:p w:rsidR="00B871E3" w:rsidRPr="00B871E3" w:rsidRDefault="00B871E3" w:rsidP="00B871E3">
      <w:pPr>
        <w:widowControl/>
        <w:numPr>
          <w:ilvl w:val="0"/>
          <w:numId w:val="14"/>
        </w:numPr>
        <w:autoSpaceDE w:val="0"/>
        <w:autoSpaceDN w:val="0"/>
        <w:adjustRightInd w:val="0"/>
        <w:ind w:left="360"/>
        <w:contextualSpacing/>
        <w:jc w:val="both"/>
        <w:rPr>
          <w:rFonts w:ascii="Palatino Linotype" w:hAnsi="Palatino Linotype" w:cs="Arial"/>
          <w:snapToGrid/>
          <w:sz w:val="22"/>
          <w:lang w:val="nl-NL"/>
        </w:rPr>
      </w:pPr>
      <w:r w:rsidRPr="00B871E3">
        <w:rPr>
          <w:rFonts w:ascii="Palatino Linotype" w:hAnsi="Palatino Linotype" w:cs="Arial"/>
          <w:snapToGrid/>
          <w:sz w:val="22"/>
          <w:lang w:val="nl-NL"/>
        </w:rPr>
        <w:t>Bij wijzigingen van deze onderlinge regeling, vindt het eerste lid overeenkomstige toepassing.</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Aldus overeengekomen en in viervoud ondertekend,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Kralendijk, Bonaire, 6 november 2025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De Minister van Koninkrijksrelaties, Onderwijs, Jeugd, Innovatie en Sport van Aruba, mevrouw G. Croes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De Minister van Onderwijs, Wetenschap, Cultuur en Sport van Curaçao, de heer S. van </w:t>
      </w:r>
      <w:proofErr w:type="spellStart"/>
      <w:r w:rsidRPr="00B871E3">
        <w:rPr>
          <w:rFonts w:ascii="Palatino Linotype" w:hAnsi="Palatino Linotype" w:cs="Arial"/>
          <w:sz w:val="22"/>
          <w:lang w:val="nl-NL"/>
        </w:rPr>
        <w:t>Heydoorn</w:t>
      </w:r>
      <w:proofErr w:type="spellEnd"/>
      <w:r w:rsidRPr="00B871E3">
        <w:rPr>
          <w:rFonts w:ascii="Palatino Linotype" w:hAnsi="Palatino Linotype" w:cs="Arial"/>
          <w:sz w:val="22"/>
          <w:lang w:val="nl-NL"/>
        </w:rPr>
        <w:t xml:space="preserve">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De Minister van Onderwijs, Cultuur, Jeugd en Sport van Sint Maarten, mevrouw M. </w:t>
      </w:r>
      <w:proofErr w:type="spellStart"/>
      <w:r w:rsidRPr="00B871E3">
        <w:rPr>
          <w:rFonts w:ascii="Palatino Linotype" w:hAnsi="Palatino Linotype" w:cs="Arial"/>
          <w:sz w:val="22"/>
          <w:lang w:val="nl-NL"/>
        </w:rPr>
        <w:t>Gumbs</w:t>
      </w:r>
      <w:proofErr w:type="spellEnd"/>
    </w:p>
    <w:p w:rsidR="00B871E3" w:rsidRPr="00B871E3" w:rsidRDefault="00B871E3" w:rsidP="00B871E3">
      <w:pPr>
        <w:autoSpaceDE w:val="0"/>
        <w:autoSpaceDN w:val="0"/>
        <w:adjustRightInd w:val="0"/>
        <w:jc w:val="both"/>
        <w:rPr>
          <w:rFonts w:ascii="Palatino Linotype" w:hAnsi="Palatino Linotype" w:cs="Arial"/>
          <w:sz w:val="22"/>
          <w:lang w:val="nl-NL"/>
        </w:rPr>
      </w:pPr>
      <w:r w:rsidRPr="00B871E3">
        <w:rPr>
          <w:rFonts w:ascii="Palatino Linotype" w:hAnsi="Palatino Linotype" w:cs="Arial"/>
          <w:sz w:val="22"/>
          <w:lang w:val="nl-NL"/>
        </w:rPr>
        <w:t xml:space="preserve"> </w:t>
      </w:r>
    </w:p>
    <w:p w:rsidR="00B871E3" w:rsidRPr="00B871E3" w:rsidRDefault="00B871E3" w:rsidP="00B871E3">
      <w:pPr>
        <w:autoSpaceDE w:val="0"/>
        <w:autoSpaceDN w:val="0"/>
        <w:adjustRightInd w:val="0"/>
        <w:jc w:val="both"/>
        <w:rPr>
          <w:rFonts w:ascii="Palatino Linotype" w:hAnsi="Palatino Linotype" w:cs="Arial"/>
          <w:sz w:val="22"/>
          <w:lang w:val="nl-NL"/>
        </w:rPr>
      </w:pPr>
    </w:p>
    <w:p w:rsidR="00B871E3" w:rsidRPr="00B871E3" w:rsidRDefault="00B871E3" w:rsidP="00B871E3">
      <w:pPr>
        <w:rPr>
          <w:rFonts w:ascii="Palatino Linotype" w:hAnsi="Palatino Linotype" w:cs="Arial"/>
          <w:sz w:val="22"/>
          <w:lang w:val="nl-NL"/>
        </w:rPr>
      </w:pPr>
      <w:r w:rsidRPr="00B871E3">
        <w:rPr>
          <w:rFonts w:ascii="Palatino Linotype" w:hAnsi="Palatino Linotype" w:cs="Arial"/>
          <w:sz w:val="22"/>
          <w:lang w:val="nl-NL"/>
        </w:rPr>
        <w:t>De Minister van Onderwijs, Cultuur en Wetenschap van Nederland, de heer G. Moes</w:t>
      </w:r>
    </w:p>
    <w:p w:rsidR="00B871E3" w:rsidRPr="00B871E3" w:rsidRDefault="00B871E3" w:rsidP="00B871E3">
      <w:pPr>
        <w:rPr>
          <w:lang w:val="nl-NL"/>
        </w:rPr>
      </w:pPr>
    </w:p>
    <w:p w:rsidR="00B871E3" w:rsidRPr="00B871E3" w:rsidRDefault="00B871E3" w:rsidP="00B871E3">
      <w:pPr>
        <w:rPr>
          <w:lang w:val="nl-NL"/>
        </w:rPr>
      </w:pPr>
    </w:p>
    <w:p w:rsidR="00B871E3" w:rsidRPr="00B871E3" w:rsidRDefault="00B871E3" w:rsidP="00B871E3">
      <w:pPr>
        <w:ind w:left="5040"/>
        <w:rPr>
          <w:rFonts w:ascii="Palatino Linotype" w:hAnsi="Palatino Linotype"/>
          <w:sz w:val="22"/>
          <w:lang w:val="nl-NL"/>
        </w:rPr>
      </w:pPr>
    </w:p>
    <w:p w:rsidR="00B871E3" w:rsidRPr="00B871E3" w:rsidRDefault="00B871E3" w:rsidP="00B871E3">
      <w:pPr>
        <w:ind w:left="5040"/>
        <w:rPr>
          <w:rFonts w:ascii="Palatino Linotype" w:hAnsi="Palatino Linotype"/>
          <w:sz w:val="22"/>
          <w:lang w:val="nl-NL"/>
        </w:rPr>
      </w:pPr>
      <w:r w:rsidRPr="00B871E3">
        <w:rPr>
          <w:rFonts w:ascii="Palatino Linotype" w:hAnsi="Palatino Linotype"/>
          <w:sz w:val="22"/>
          <w:lang w:val="nl-NL"/>
        </w:rPr>
        <w:t>Uitgegeven de</w:t>
      </w:r>
      <w:r>
        <w:rPr>
          <w:rFonts w:ascii="Palatino Linotype" w:hAnsi="Palatino Linotype"/>
          <w:sz w:val="22"/>
          <w:lang w:val="nl-NL"/>
        </w:rPr>
        <w:t xml:space="preserve"> 4</w:t>
      </w:r>
      <w:r w:rsidRPr="00B871E3">
        <w:rPr>
          <w:rFonts w:ascii="Palatino Linotype" w:hAnsi="Palatino Linotype"/>
          <w:sz w:val="22"/>
          <w:vertAlign w:val="superscript"/>
          <w:lang w:val="nl-NL"/>
        </w:rPr>
        <w:t>de</w:t>
      </w:r>
      <w:r>
        <w:rPr>
          <w:rFonts w:ascii="Palatino Linotype" w:hAnsi="Palatino Linotype"/>
          <w:sz w:val="22"/>
          <w:lang w:val="nl-NL"/>
        </w:rPr>
        <w:t xml:space="preserve"> juni 2026</w:t>
      </w:r>
    </w:p>
    <w:p w:rsidR="008D5E2E" w:rsidRDefault="00B871E3" w:rsidP="00B871E3">
      <w:pPr>
        <w:autoSpaceDE w:val="0"/>
        <w:autoSpaceDN w:val="0"/>
        <w:adjustRightInd w:val="0"/>
        <w:ind w:left="5040" w:right="850"/>
        <w:rPr>
          <w:rFonts w:ascii="Palatino Linotype" w:hAnsi="Palatino Linotype"/>
          <w:sz w:val="22"/>
          <w:lang w:val="nl-NL"/>
        </w:rPr>
      </w:pPr>
      <w:r w:rsidRPr="00B871E3">
        <w:rPr>
          <w:rFonts w:ascii="Palatino Linotype" w:hAnsi="Palatino Linotype"/>
          <w:sz w:val="22"/>
          <w:lang w:val="nl-NL"/>
        </w:rPr>
        <w:t>De Minister van Algemene Zaken,</w:t>
      </w:r>
    </w:p>
    <w:p w:rsidR="00B871E3" w:rsidRDefault="00B871E3" w:rsidP="00B871E3">
      <w:pPr>
        <w:autoSpaceDE w:val="0"/>
        <w:autoSpaceDN w:val="0"/>
        <w:adjustRightInd w:val="0"/>
        <w:ind w:left="5040" w:right="850"/>
        <w:jc w:val="center"/>
        <w:rPr>
          <w:rFonts w:ascii="Palatino Linotype" w:hAnsi="Palatino Linotype" w:cs="Arial"/>
          <w:snapToGrid/>
          <w:sz w:val="22"/>
          <w:szCs w:val="22"/>
          <w:lang w:val="nl-NL"/>
        </w:rPr>
      </w:pPr>
      <w:r w:rsidRPr="00B871E3">
        <w:rPr>
          <w:rFonts w:ascii="Palatino Linotype" w:hAnsi="Palatino Linotype" w:cs="Arial"/>
          <w:snapToGrid/>
          <w:sz w:val="22"/>
          <w:szCs w:val="22"/>
          <w:lang w:val="nl-NL"/>
        </w:rPr>
        <w:t>G.S. PISAS</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871E3">
      <w:rPr>
        <w:rFonts w:ascii="Times New Roman" w:hAnsi="Times New Roman"/>
        <w:b/>
        <w:spacing w:val="-4"/>
        <w:sz w:val="36"/>
      </w:rPr>
      <w:t>10</w:t>
    </w:r>
    <w:r w:rsidR="001C4DF2">
      <w:rPr>
        <w:rFonts w:ascii="Times New Roman" w:hAnsi="Times New Roman"/>
        <w:b/>
        <w:spacing w:val="-4"/>
        <w:sz w:val="36"/>
      </w:rPr>
      <w:t>3</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871E3">
      <w:rPr>
        <w:rFonts w:ascii="Times New Roman" w:hAnsi="Times New Roman"/>
        <w:b/>
        <w:spacing w:val="-4"/>
        <w:sz w:val="36"/>
      </w:rPr>
      <w:t>10</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2E81"/>
    <w:multiLevelType w:val="hybridMultilevel"/>
    <w:tmpl w:val="B20E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B739E6"/>
    <w:multiLevelType w:val="hybridMultilevel"/>
    <w:tmpl w:val="ABFA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D3375"/>
    <w:multiLevelType w:val="hybridMultilevel"/>
    <w:tmpl w:val="78AE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A93EAF"/>
    <w:multiLevelType w:val="hybridMultilevel"/>
    <w:tmpl w:val="2002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B6E3A"/>
    <w:multiLevelType w:val="hybridMultilevel"/>
    <w:tmpl w:val="7D02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A90298"/>
    <w:multiLevelType w:val="hybridMultilevel"/>
    <w:tmpl w:val="8412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E05917"/>
    <w:multiLevelType w:val="hybridMultilevel"/>
    <w:tmpl w:val="42C03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24FDC"/>
    <w:multiLevelType w:val="hybridMultilevel"/>
    <w:tmpl w:val="3C7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0"/>
  </w:num>
  <w:num w:numId="5">
    <w:abstractNumId w:val="1"/>
  </w:num>
  <w:num w:numId="6">
    <w:abstractNumId w:val="8"/>
  </w:num>
  <w:num w:numId="7">
    <w:abstractNumId w:val="0"/>
  </w:num>
  <w:num w:numId="8">
    <w:abstractNumId w:val="9"/>
  </w:num>
  <w:num w:numId="9">
    <w:abstractNumId w:val="12"/>
  </w:num>
  <w:num w:numId="10">
    <w:abstractNumId w:val="4"/>
  </w:num>
  <w:num w:numId="11">
    <w:abstractNumId w:val="7"/>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871E3"/>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51EB0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2026-06-04T18:35:00Z</dcterms:created>
  <dcterms:modified xsi:type="dcterms:W3CDTF">2026-06-04T18:35:00Z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20260604143420427</vt:lpwstr>
  </property>
</Properties>
</file>