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12755" w:rsidRPr="00D12755">
        <w:rPr>
          <w:b/>
          <w:sz w:val="36"/>
          <w:szCs w:val="36"/>
          <w:lang w:val="nl-NL"/>
        </w:rPr>
        <w:t>119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D12755">
      <w:pPr>
        <w:spacing w:line="220" w:lineRule="exact"/>
        <w:rPr>
          <w:lang w:val="nl-NL"/>
        </w:rPr>
      </w:pPr>
    </w:p>
    <w:p w:rsidR="00D12755" w:rsidRPr="00D12755" w:rsidRDefault="00D12755" w:rsidP="00D1275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D12755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D12755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12755">
        <w:rPr>
          <w:rFonts w:ascii="Times New Roman" w:hAnsi="Times New Roman"/>
          <w:b/>
          <w:snapToGrid/>
          <w:szCs w:val="24"/>
          <w:lang w:val="nl-NL"/>
        </w:rPr>
        <w:t xml:space="preserve"> juni 2026 tot wijziging van de Prijzenregeling basis-, brandstof- en consumententarieven (</w:t>
      </w:r>
      <w:r>
        <w:rPr>
          <w:rFonts w:ascii="Times New Roman" w:hAnsi="Times New Roman"/>
          <w:b/>
          <w:snapToGrid/>
          <w:szCs w:val="24"/>
          <w:lang w:val="nl-NL"/>
        </w:rPr>
        <w:t>P.B.</w:t>
      </w:r>
      <w:r w:rsidRPr="00D12755">
        <w:rPr>
          <w:rFonts w:ascii="Times New Roman" w:hAnsi="Times New Roman"/>
          <w:b/>
          <w:snapToGrid/>
          <w:szCs w:val="24"/>
          <w:lang w:val="nl-NL"/>
        </w:rPr>
        <w:t xml:space="preserve"> 2023, no. 91).</w:t>
      </w:r>
    </w:p>
    <w:p w:rsidR="00D12755" w:rsidRPr="00D12755" w:rsidRDefault="00D12755" w:rsidP="00D1275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D12755" w:rsidRPr="00D12755" w:rsidRDefault="00D12755" w:rsidP="00D1275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D12755" w:rsidRPr="00D12755" w:rsidRDefault="00D12755" w:rsidP="00D12755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6675D3">
      <w:pPr>
        <w:widowControl/>
        <w:tabs>
          <w:tab w:val="left" w:pos="126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D12755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D12755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</w:t>
      </w:r>
      <w:bookmarkStart w:id="0" w:name="_GoBack"/>
      <w:bookmarkEnd w:id="0"/>
      <w:r w:rsidRPr="00D12755">
        <w:rPr>
          <w:rFonts w:ascii="Times New Roman" w:hAnsi="Times New Roman"/>
          <w:snapToGrid/>
          <w:szCs w:val="24"/>
          <w:lang w:val="nl-NL"/>
        </w:rPr>
        <w:t>oor irrigatiewater vast te stellen;</w:t>
      </w:r>
    </w:p>
    <w:p w:rsidR="00D12755" w:rsidRPr="00D12755" w:rsidRDefault="00D12755" w:rsidP="00D1275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12755" w:rsidRPr="00D12755" w:rsidRDefault="00D12755" w:rsidP="00D12755">
      <w:pPr>
        <w:widowControl/>
        <w:tabs>
          <w:tab w:val="left" w:pos="108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D12755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D12755">
        <w:rPr>
          <w:rFonts w:ascii="Times New Roman" w:hAnsi="Times New Roman"/>
          <w:snapToGrid/>
          <w:szCs w:val="24"/>
          <w:lang w:val="nl-NL"/>
        </w:rPr>
        <w:t>;</w:t>
      </w:r>
    </w:p>
    <w:p w:rsidR="00D12755" w:rsidRPr="00D12755" w:rsidRDefault="00D12755" w:rsidP="00D1275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Artikel I</w:t>
      </w:r>
    </w:p>
    <w:p w:rsidR="00D12755" w:rsidRPr="00D12755" w:rsidRDefault="00D12755" w:rsidP="00D1275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D12755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D12755" w:rsidRPr="00D12755" w:rsidRDefault="00D12755" w:rsidP="00D1275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313" w:type="dxa"/>
        <w:tblLook w:val="04A0" w:firstRow="1" w:lastRow="0" w:firstColumn="1" w:lastColumn="0" w:noHBand="0" w:noVBand="1"/>
      </w:tblPr>
      <w:tblGrid>
        <w:gridCol w:w="3109"/>
        <w:gridCol w:w="283"/>
        <w:gridCol w:w="1325"/>
        <w:gridCol w:w="235"/>
        <w:gridCol w:w="850"/>
        <w:gridCol w:w="665"/>
        <w:gridCol w:w="871"/>
        <w:gridCol w:w="533"/>
        <w:gridCol w:w="975"/>
        <w:gridCol w:w="467"/>
      </w:tblGrid>
      <w:tr w:rsidR="00D12755" w:rsidRPr="00D12755" w:rsidTr="00325FF1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D12755" w:rsidRPr="00D12755" w:rsidTr="00325FF1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2755" w:rsidRPr="00D12755" w:rsidTr="00D12755">
        <w:trPr>
          <w:gridAfter w:val="1"/>
          <w:wAfter w:w="467" w:type="dxa"/>
          <w:trHeight w:val="313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2755" w:rsidRPr="00D12755" w:rsidTr="00D12755">
        <w:trPr>
          <w:gridAfter w:val="1"/>
          <w:wAfter w:w="467" w:type="dxa"/>
          <w:trHeight w:val="276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0,5909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0,4192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0,6972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0,4634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0,7414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0,4226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0,7006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0,3229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0,6009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0,3174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0,5954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0,1930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0,4710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0,1876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0,4656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0,2577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0,5357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0,2519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0,5299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0,1696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0,4476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0,1547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0,4327</w:t>
            </w:r>
          </w:p>
        </w:tc>
      </w:tr>
      <w:tr w:rsidR="00D12755" w:rsidRPr="00D12755" w:rsidTr="00325FF1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0,3043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0,2780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0,5823</w:t>
            </w:r>
          </w:p>
        </w:tc>
      </w:tr>
      <w:tr w:rsidR="00D12755" w:rsidRPr="006675D3" w:rsidTr="00325FF1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Tariefgroep water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D12755" w:rsidRPr="006675D3" w:rsidTr="00325FF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2755" w:rsidRPr="006675D3" w:rsidTr="00325FF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2755" w:rsidRPr="006675D3" w:rsidTr="00325FF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755" w:rsidRPr="00D12755" w:rsidRDefault="00D12755" w:rsidP="00D1275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8,4347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13,5850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15,5261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17,4898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13,9547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13,9547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13,9547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13,0047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13,0047</w:t>
            </w:r>
          </w:p>
        </w:tc>
      </w:tr>
      <w:tr w:rsidR="00D12755" w:rsidRPr="00D12755" w:rsidTr="00325FF1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755" w:rsidRPr="00D12755" w:rsidRDefault="00D12755" w:rsidP="00D1275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3,5058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12755" w:rsidRPr="00D12755" w:rsidRDefault="00D12755" w:rsidP="00D1275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12755">
              <w:rPr>
                <w:rFonts w:ascii="Times New Roman" w:eastAsia="Calibri" w:hAnsi="Times New Roman"/>
                <w:snapToGrid/>
                <w:color w:val="000000"/>
                <w:szCs w:val="24"/>
              </w:rPr>
              <w:t>7,0058</w:t>
            </w:r>
          </w:p>
        </w:tc>
      </w:tr>
    </w:tbl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Artikel II</w:t>
      </w: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Artikel III</w:t>
      </w: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Deze regeling treedt in werking met ingang van 1 juli 2026.</w:t>
      </w: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Gegeven te Willemstad, 24 juni 2026</w:t>
      </w:r>
    </w:p>
    <w:p w:rsidR="00D12755" w:rsidRDefault="00D12755" w:rsidP="00D12755">
      <w:pPr>
        <w:widowControl/>
        <w:ind w:left="4860" w:right="670" w:hanging="540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De Minister van Economische Ontwikkeling</w:t>
      </w:r>
    </w:p>
    <w:p w:rsidR="00D12755" w:rsidRPr="00D12755" w:rsidRDefault="00D12755" w:rsidP="00D12755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D12755" w:rsidRPr="00D12755" w:rsidRDefault="00D12755" w:rsidP="00D1275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2755" w:rsidRPr="00D12755" w:rsidRDefault="00D12755" w:rsidP="00D1275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2755" w:rsidRDefault="00D12755" w:rsidP="00D1275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26</w:t>
      </w:r>
      <w:r w:rsidRPr="00D1275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juni 2026</w:t>
      </w:r>
    </w:p>
    <w:p w:rsidR="008D5E2E" w:rsidRDefault="00D12755" w:rsidP="00861028">
      <w:pPr>
        <w:widowControl/>
        <w:ind w:left="4320" w:right="1210"/>
        <w:rPr>
          <w:rFonts w:ascii="Times New Roman" w:hAnsi="Times New Roman"/>
          <w:snapToGrid/>
          <w:szCs w:val="24"/>
          <w:lang w:val="nl-NL"/>
        </w:rPr>
      </w:pPr>
      <w:r w:rsidRPr="00D12755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861028">
        <w:rPr>
          <w:rFonts w:ascii="Times New Roman" w:hAnsi="Times New Roman"/>
          <w:snapToGrid/>
          <w:szCs w:val="24"/>
          <w:lang w:val="nl-NL"/>
        </w:rPr>
        <w:t xml:space="preserve"> a.i.</w:t>
      </w:r>
    </w:p>
    <w:p w:rsidR="00122C2D" w:rsidRDefault="00122C2D" w:rsidP="00861028">
      <w:pPr>
        <w:widowControl/>
        <w:ind w:left="4320" w:right="1210"/>
        <w:jc w:val="center"/>
        <w:rPr>
          <w:rFonts w:ascii="Times New Roman" w:hAnsi="Times New Roman"/>
          <w:snapToGrid/>
          <w:szCs w:val="24"/>
          <w:lang w:val="nl-NL"/>
        </w:rPr>
      </w:pPr>
      <w:r w:rsidRPr="00122C2D">
        <w:rPr>
          <w:rFonts w:ascii="Times New Roman" w:hAnsi="Times New Roman"/>
          <w:snapToGrid/>
          <w:szCs w:val="24"/>
          <w:lang w:val="nl-NL"/>
        </w:rPr>
        <w:t>S.X.T. HATO</w:t>
      </w:r>
    </w:p>
    <w:p w:rsidR="00D12755" w:rsidRDefault="00D12755" w:rsidP="00D12755">
      <w:pPr>
        <w:widowControl/>
        <w:ind w:left="4320" w:right="157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D12755" w:rsidRPr="00D12755" w:rsidRDefault="00D12755" w:rsidP="00D12755">
      <w:pPr>
        <w:pStyle w:val="FootnoteText"/>
        <w:rPr>
          <w:rFonts w:ascii="Palatino Linotype" w:hAnsi="Palatino Linotype"/>
          <w:sz w:val="18"/>
        </w:rPr>
      </w:pPr>
      <w:r w:rsidRPr="00D12755">
        <w:rPr>
          <w:rStyle w:val="FootnoteReference"/>
          <w:rFonts w:ascii="Palatino Linotype" w:hAnsi="Palatino Linotype"/>
          <w:sz w:val="18"/>
        </w:rPr>
        <w:footnoteRef/>
      </w:r>
      <w:r w:rsidRPr="00D12755">
        <w:rPr>
          <w:rFonts w:ascii="Palatino Linotype" w:hAnsi="Palatino Linotype"/>
          <w:sz w:val="18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12755">
      <w:rPr>
        <w:rFonts w:ascii="Times New Roman" w:hAnsi="Times New Roman"/>
        <w:b/>
        <w:spacing w:val="-4"/>
        <w:sz w:val="36"/>
      </w:rPr>
      <w:t>119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22C2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675D3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1028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275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371C3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WJZ9</cp:lastModifiedBy>
  <cp:revision>2</cp:revision>
  <cp:lastPrinted>2011-07-22T21:19:00Z</cp:lastPrinted>
  <dcterms:created xsi:type="dcterms:W3CDTF">2026-06-26T19:02:00Z</dcterms:created>
  <dcterms:modified xsi:type="dcterms:W3CDTF">2026-06-26T19:02:00Z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